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84B89" w14:textId="77777777" w:rsidR="00EA0FD7" w:rsidRPr="00907568" w:rsidRDefault="00EA0FD7" w:rsidP="00EA0FD7">
      <w:pPr>
        <w:spacing w:after="0" w:line="240" w:lineRule="auto"/>
        <w:jc w:val="center"/>
        <w:rPr>
          <w:rFonts w:ascii="Times New Roman" w:eastAsia="Times New Roman" w:hAnsi="Times New Roman" w:cs="Times New Roman"/>
          <w:b/>
          <w:spacing w:val="-8"/>
          <w:sz w:val="24"/>
          <w:szCs w:val="24"/>
          <w:lang w:val="bs-Cyrl-BA" w:eastAsia="hr-HR"/>
        </w:rPr>
      </w:pPr>
      <w:bookmarkStart w:id="0" w:name="_Toc39048839"/>
      <w:bookmarkStart w:id="1" w:name="_Toc39049126"/>
    </w:p>
    <w:p w14:paraId="3E7694C5" w14:textId="77777777" w:rsidR="00EA0FD7" w:rsidRPr="00EA0FD7" w:rsidRDefault="00EA0FD7" w:rsidP="00EA0FD7">
      <w:pPr>
        <w:spacing w:after="0" w:line="240" w:lineRule="auto"/>
        <w:jc w:val="center"/>
        <w:rPr>
          <w:rFonts w:ascii="Times New Roman" w:eastAsia="Times New Roman" w:hAnsi="Times New Roman" w:cs="Times New Roman"/>
          <w:b/>
          <w:spacing w:val="-8"/>
          <w:sz w:val="24"/>
          <w:szCs w:val="24"/>
          <w:lang w:val="sr-Cyrl-RS" w:eastAsia="hr-HR"/>
        </w:rPr>
      </w:pPr>
      <w:r w:rsidRPr="00EA0FD7">
        <w:rPr>
          <w:rFonts w:ascii="Arial" w:eastAsia="Times New Roman" w:hAnsi="Arial" w:cs="Arial"/>
          <w:noProof/>
          <w:color w:val="FFFFFF"/>
          <w:sz w:val="16"/>
          <w:szCs w:val="16"/>
          <w:lang w:val="sr-Cyrl-RS" w:eastAsia="hr-HR"/>
        </w:rPr>
        <w:drawing>
          <wp:inline distT="0" distB="0" distL="0" distR="0" wp14:anchorId="79DC51C4" wp14:editId="1439C703">
            <wp:extent cx="6050280" cy="1371600"/>
            <wp:effectExtent l="0" t="0" r="7620" b="0"/>
            <wp:docPr id="1" name="Picture 1" descr="v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d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0280" cy="1371600"/>
                    </a:xfrm>
                    <a:prstGeom prst="rect">
                      <a:avLst/>
                    </a:prstGeom>
                    <a:noFill/>
                    <a:ln>
                      <a:noFill/>
                    </a:ln>
                  </pic:spPr>
                </pic:pic>
              </a:graphicData>
            </a:graphic>
          </wp:inline>
        </w:drawing>
      </w:r>
    </w:p>
    <w:p w14:paraId="663626C6" w14:textId="77777777" w:rsidR="00EA0FD7" w:rsidRPr="00EA0FD7" w:rsidRDefault="00EA0FD7" w:rsidP="00EA0FD7">
      <w:pPr>
        <w:spacing w:after="0" w:line="240" w:lineRule="auto"/>
        <w:jc w:val="center"/>
        <w:rPr>
          <w:rFonts w:ascii="Times New Roman" w:eastAsia="Times New Roman" w:hAnsi="Times New Roman" w:cs="Times New Roman"/>
          <w:b/>
          <w:spacing w:val="-8"/>
          <w:sz w:val="24"/>
          <w:szCs w:val="24"/>
          <w:lang w:val="sr-Cyrl-RS" w:eastAsia="hr-HR"/>
        </w:rPr>
      </w:pPr>
    </w:p>
    <w:p w14:paraId="467A78A2" w14:textId="77777777" w:rsidR="00EA0FD7" w:rsidRPr="00EA0FD7" w:rsidRDefault="00EA0FD7" w:rsidP="00EA0FD7">
      <w:pPr>
        <w:tabs>
          <w:tab w:val="left" w:pos="4020"/>
        </w:tabs>
        <w:spacing w:after="0" w:line="240" w:lineRule="auto"/>
        <w:rPr>
          <w:rFonts w:ascii="Times New Roman" w:eastAsia="Times New Roman" w:hAnsi="Times New Roman" w:cs="Times New Roman"/>
          <w:b/>
          <w:spacing w:val="-8"/>
          <w:sz w:val="24"/>
          <w:szCs w:val="24"/>
          <w:lang w:val="sr-Cyrl-RS" w:eastAsia="hr-HR"/>
        </w:rPr>
      </w:pPr>
      <w:r w:rsidRPr="00EA0FD7">
        <w:rPr>
          <w:rFonts w:ascii="Times New Roman" w:eastAsia="Times New Roman" w:hAnsi="Times New Roman" w:cs="Times New Roman"/>
          <w:b/>
          <w:spacing w:val="-8"/>
          <w:sz w:val="24"/>
          <w:szCs w:val="24"/>
          <w:lang w:val="sr-Cyrl-RS" w:eastAsia="hr-HR"/>
        </w:rPr>
        <w:tab/>
      </w:r>
    </w:p>
    <w:p w14:paraId="6372BE9C" w14:textId="77777777" w:rsidR="00EA0FD7" w:rsidRPr="00EA0FD7" w:rsidRDefault="00EA0FD7" w:rsidP="00EA0FD7">
      <w:pPr>
        <w:spacing w:after="0" w:line="240" w:lineRule="auto"/>
        <w:jc w:val="center"/>
        <w:rPr>
          <w:rFonts w:ascii="Times New Roman" w:eastAsia="Times New Roman" w:hAnsi="Times New Roman" w:cs="Times New Roman"/>
          <w:b/>
          <w:spacing w:val="-8"/>
          <w:sz w:val="32"/>
          <w:szCs w:val="32"/>
          <w:lang w:val="sr-Cyrl-RS" w:eastAsia="hr-HR"/>
        </w:rPr>
      </w:pPr>
    </w:p>
    <w:p w14:paraId="440745C2" w14:textId="77777777" w:rsidR="00EA0FD7" w:rsidRPr="00EA0FD7" w:rsidRDefault="00EA0FD7" w:rsidP="00EA0FD7">
      <w:pPr>
        <w:spacing w:after="0" w:line="240" w:lineRule="auto"/>
        <w:jc w:val="center"/>
        <w:rPr>
          <w:rFonts w:ascii="Times New Roman" w:eastAsia="Times New Roman" w:hAnsi="Times New Roman" w:cs="Times New Roman"/>
          <w:b/>
          <w:spacing w:val="-8"/>
          <w:sz w:val="36"/>
          <w:szCs w:val="36"/>
          <w:lang w:val="sr-Cyrl-RS" w:eastAsia="hr-HR"/>
        </w:rPr>
      </w:pPr>
    </w:p>
    <w:p w14:paraId="660BEA35" w14:textId="77777777" w:rsidR="00EA0FD7" w:rsidRPr="00EA0FD7" w:rsidRDefault="00EA0FD7" w:rsidP="00EA0FD7">
      <w:pPr>
        <w:spacing w:after="0" w:line="240" w:lineRule="auto"/>
        <w:jc w:val="center"/>
        <w:rPr>
          <w:rFonts w:ascii="Times New Roman" w:eastAsia="Times New Roman" w:hAnsi="Times New Roman" w:cs="Times New Roman"/>
          <w:b/>
          <w:spacing w:val="-8"/>
          <w:sz w:val="36"/>
          <w:szCs w:val="36"/>
          <w:lang w:val="sr-Cyrl-RS" w:eastAsia="hr-HR"/>
        </w:rPr>
      </w:pPr>
    </w:p>
    <w:p w14:paraId="7224DF13" w14:textId="77777777" w:rsidR="00EA0FD7" w:rsidRPr="00EA0FD7" w:rsidRDefault="00EA0FD7" w:rsidP="00EA0FD7">
      <w:pPr>
        <w:spacing w:after="0" w:line="240" w:lineRule="auto"/>
        <w:jc w:val="center"/>
        <w:rPr>
          <w:rFonts w:ascii="Times New Roman" w:eastAsia="Times New Roman" w:hAnsi="Times New Roman" w:cs="Times New Roman"/>
          <w:b/>
          <w:spacing w:val="-8"/>
          <w:sz w:val="36"/>
          <w:szCs w:val="36"/>
          <w:lang w:val="sr-Cyrl-RS" w:eastAsia="hr-HR"/>
        </w:rPr>
      </w:pPr>
    </w:p>
    <w:p w14:paraId="0B8EC45B" w14:textId="77777777" w:rsidR="00EA0FD7" w:rsidRPr="00EA0FD7" w:rsidRDefault="00EA0FD7" w:rsidP="00EA0FD7">
      <w:pPr>
        <w:spacing w:after="0" w:line="240" w:lineRule="auto"/>
        <w:jc w:val="center"/>
        <w:rPr>
          <w:rFonts w:ascii="Times New Roman" w:eastAsia="Times New Roman" w:hAnsi="Times New Roman" w:cs="Times New Roman"/>
          <w:b/>
          <w:spacing w:val="-8"/>
          <w:sz w:val="36"/>
          <w:szCs w:val="36"/>
          <w:lang w:val="sr-Cyrl-RS" w:eastAsia="hr-HR"/>
        </w:rPr>
      </w:pPr>
    </w:p>
    <w:p w14:paraId="7F0F92A0" w14:textId="77777777" w:rsidR="00EA0FD7" w:rsidRPr="00EA0FD7" w:rsidRDefault="00EA0FD7" w:rsidP="00EA0FD7">
      <w:pPr>
        <w:spacing w:after="0" w:line="240" w:lineRule="auto"/>
        <w:jc w:val="center"/>
        <w:rPr>
          <w:rFonts w:ascii="Times New Roman" w:eastAsia="Times New Roman" w:hAnsi="Times New Roman" w:cs="Times New Roman"/>
          <w:b/>
          <w:spacing w:val="-8"/>
          <w:sz w:val="36"/>
          <w:szCs w:val="36"/>
          <w:lang w:val="sr-Cyrl-RS" w:eastAsia="hr-HR"/>
        </w:rPr>
      </w:pPr>
    </w:p>
    <w:p w14:paraId="1378ED7A" w14:textId="77777777" w:rsidR="00EA0FD7" w:rsidRPr="00EA0FD7" w:rsidRDefault="00EA0FD7" w:rsidP="00EA0FD7">
      <w:pPr>
        <w:spacing w:after="0" w:line="240" w:lineRule="auto"/>
        <w:jc w:val="center"/>
        <w:rPr>
          <w:rFonts w:ascii="Times New Roman" w:eastAsia="Times New Roman" w:hAnsi="Times New Roman" w:cs="Times New Roman"/>
          <w:b/>
          <w:spacing w:val="-8"/>
          <w:sz w:val="36"/>
          <w:szCs w:val="36"/>
          <w:lang w:val="sr-Cyrl-RS" w:eastAsia="hr-HR"/>
        </w:rPr>
      </w:pPr>
    </w:p>
    <w:p w14:paraId="213B23C9" w14:textId="77777777" w:rsidR="00EA0FD7" w:rsidRPr="00EA0FD7" w:rsidRDefault="00EA0FD7" w:rsidP="00EA0FD7">
      <w:pPr>
        <w:spacing w:after="0" w:line="240" w:lineRule="auto"/>
        <w:jc w:val="center"/>
        <w:rPr>
          <w:rFonts w:ascii="Times New Roman" w:eastAsia="Times New Roman" w:hAnsi="Times New Roman" w:cs="Times New Roman"/>
          <w:b/>
          <w:spacing w:val="-8"/>
          <w:sz w:val="36"/>
          <w:szCs w:val="36"/>
          <w:lang w:val="sr-Cyrl-RS" w:eastAsia="hr-HR"/>
        </w:rPr>
      </w:pPr>
    </w:p>
    <w:p w14:paraId="74D88DEA" w14:textId="77777777" w:rsidR="00EA0FD7" w:rsidRPr="00EA0FD7" w:rsidRDefault="00EA0FD7" w:rsidP="00EA0FD7">
      <w:pPr>
        <w:spacing w:after="0" w:line="240" w:lineRule="auto"/>
        <w:jc w:val="center"/>
        <w:rPr>
          <w:rFonts w:ascii="Times New Roman" w:eastAsia="Times New Roman" w:hAnsi="Times New Roman" w:cs="Times New Roman"/>
          <w:b/>
          <w:spacing w:val="-8"/>
          <w:sz w:val="36"/>
          <w:szCs w:val="36"/>
          <w:lang w:val="sr-Cyrl-RS" w:eastAsia="hr-HR"/>
        </w:rPr>
      </w:pPr>
    </w:p>
    <w:p w14:paraId="32C9372E" w14:textId="77777777" w:rsidR="00EA0FD7" w:rsidRPr="00EA0FD7" w:rsidRDefault="00EA0FD7" w:rsidP="00EA0FD7">
      <w:pPr>
        <w:spacing w:after="0" w:line="240" w:lineRule="auto"/>
        <w:jc w:val="center"/>
        <w:rPr>
          <w:rFonts w:ascii="Times New Roman" w:eastAsia="Times New Roman" w:hAnsi="Times New Roman" w:cs="Times New Roman"/>
          <w:b/>
          <w:spacing w:val="-8"/>
          <w:sz w:val="36"/>
          <w:szCs w:val="36"/>
          <w:lang w:val="sr-Cyrl-RS" w:eastAsia="hr-HR"/>
        </w:rPr>
      </w:pPr>
    </w:p>
    <w:p w14:paraId="6C56AC36" w14:textId="77777777" w:rsidR="00EA0FD7" w:rsidRPr="00EA0FD7" w:rsidRDefault="00EA0FD7" w:rsidP="00EA0FD7">
      <w:pPr>
        <w:spacing w:after="0" w:line="240" w:lineRule="auto"/>
        <w:jc w:val="center"/>
        <w:rPr>
          <w:rFonts w:ascii="Times New Roman" w:eastAsia="Times New Roman" w:hAnsi="Times New Roman" w:cs="Times New Roman"/>
          <w:b/>
          <w:spacing w:val="-8"/>
          <w:sz w:val="36"/>
          <w:szCs w:val="36"/>
          <w:lang w:val="sr-Cyrl-RS" w:eastAsia="hr-HR"/>
        </w:rPr>
      </w:pPr>
    </w:p>
    <w:p w14:paraId="54197EEA" w14:textId="77777777" w:rsidR="00EA0FD7" w:rsidRPr="00EA0FD7" w:rsidRDefault="00EA0FD7" w:rsidP="00EA0FD7">
      <w:pPr>
        <w:spacing w:after="0" w:line="240" w:lineRule="auto"/>
        <w:jc w:val="center"/>
        <w:rPr>
          <w:rFonts w:ascii="Times New Roman" w:eastAsia="Times New Roman" w:hAnsi="Times New Roman" w:cs="Times New Roman"/>
          <w:b/>
          <w:spacing w:val="-8"/>
          <w:sz w:val="36"/>
          <w:szCs w:val="36"/>
          <w:lang w:val="sr-Cyrl-RS" w:eastAsia="hr-HR"/>
        </w:rPr>
      </w:pPr>
    </w:p>
    <w:p w14:paraId="7126B50A" w14:textId="77777777" w:rsidR="00EA0FD7" w:rsidRPr="00EA0FD7" w:rsidRDefault="00EA0FD7" w:rsidP="00EA0FD7">
      <w:pPr>
        <w:spacing w:after="0" w:line="240" w:lineRule="auto"/>
        <w:jc w:val="center"/>
        <w:rPr>
          <w:rFonts w:ascii="Times New Roman" w:eastAsia="Times New Roman" w:hAnsi="Times New Roman" w:cs="Times New Roman"/>
          <w:b/>
          <w:spacing w:val="-8"/>
          <w:sz w:val="36"/>
          <w:szCs w:val="36"/>
          <w:lang w:val="sr-Cyrl-RS" w:eastAsia="hr-HR"/>
        </w:rPr>
      </w:pPr>
      <w:r w:rsidRPr="00EA0FD7">
        <w:rPr>
          <w:rFonts w:ascii="Times New Roman" w:eastAsia="Times New Roman" w:hAnsi="Times New Roman" w:cs="Times New Roman"/>
          <w:b/>
          <w:spacing w:val="-8"/>
          <w:sz w:val="36"/>
          <w:szCs w:val="36"/>
          <w:lang w:val="sr-Cyrl-RS" w:eastAsia="hr-HR"/>
        </w:rPr>
        <w:t>ДОКУМЕНТ ОКВИРНОГ БУЏЕТА (ДОБ)</w:t>
      </w:r>
    </w:p>
    <w:p w14:paraId="74FC3F42" w14:textId="77777777" w:rsidR="00EA0FD7" w:rsidRPr="00EA0FD7" w:rsidRDefault="00EA0FD7" w:rsidP="00EA0FD7">
      <w:pPr>
        <w:spacing w:after="0" w:line="240" w:lineRule="auto"/>
        <w:jc w:val="center"/>
        <w:rPr>
          <w:rFonts w:ascii="Times New Roman" w:eastAsia="Times New Roman" w:hAnsi="Times New Roman" w:cs="Times New Roman"/>
          <w:b/>
          <w:spacing w:val="-8"/>
          <w:sz w:val="36"/>
          <w:szCs w:val="36"/>
          <w:lang w:val="sr-Cyrl-RS" w:eastAsia="hr-HR"/>
        </w:rPr>
      </w:pPr>
      <w:r w:rsidRPr="00EA0FD7">
        <w:rPr>
          <w:rFonts w:ascii="Times New Roman" w:eastAsia="Times New Roman" w:hAnsi="Times New Roman" w:cs="Times New Roman"/>
          <w:b/>
          <w:spacing w:val="-8"/>
          <w:sz w:val="36"/>
          <w:szCs w:val="36"/>
          <w:lang w:val="sr-Cyrl-RS" w:eastAsia="hr-HR"/>
        </w:rPr>
        <w:t>БРЧКО ДИСТРИКТА БиХ</w:t>
      </w:r>
    </w:p>
    <w:p w14:paraId="0C13C649" w14:textId="77777777" w:rsidR="00EA0FD7" w:rsidRPr="00F42184" w:rsidRDefault="00EA0FD7" w:rsidP="00EA0FD7">
      <w:pPr>
        <w:spacing w:after="0" w:line="240" w:lineRule="auto"/>
        <w:jc w:val="center"/>
        <w:rPr>
          <w:rFonts w:ascii="Times New Roman" w:eastAsia="Times New Roman" w:hAnsi="Times New Roman" w:cs="Times New Roman"/>
          <w:b/>
          <w:sz w:val="36"/>
          <w:szCs w:val="36"/>
          <w:lang w:val="bs-Cyrl-BA" w:eastAsia="hr-HR"/>
        </w:rPr>
      </w:pPr>
      <w:r w:rsidRPr="00EA0FD7">
        <w:rPr>
          <w:rFonts w:ascii="Times New Roman" w:eastAsia="Times New Roman" w:hAnsi="Times New Roman" w:cs="Times New Roman"/>
          <w:b/>
          <w:spacing w:val="-8"/>
          <w:sz w:val="36"/>
          <w:szCs w:val="36"/>
          <w:lang w:val="sr-Cyrl-RS" w:eastAsia="hr-HR"/>
        </w:rPr>
        <w:t>2023–2025. године</w:t>
      </w:r>
    </w:p>
    <w:p w14:paraId="6DAA8302" w14:textId="77777777" w:rsidR="00EA0FD7" w:rsidRPr="00EA0FD7" w:rsidRDefault="00EA0FD7" w:rsidP="00EA0FD7">
      <w:pPr>
        <w:spacing w:after="0" w:line="240" w:lineRule="auto"/>
        <w:rPr>
          <w:rFonts w:ascii="Times New Roman" w:eastAsia="Times New Roman" w:hAnsi="Times New Roman" w:cs="Times New Roman"/>
          <w:b/>
          <w:sz w:val="36"/>
          <w:szCs w:val="36"/>
          <w:lang w:val="sr-Cyrl-RS" w:eastAsia="hr-HR"/>
        </w:rPr>
      </w:pPr>
    </w:p>
    <w:p w14:paraId="4170CF2D"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1FC8B71C"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722564C4"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1F97AADE"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1882BD46"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6AA3E9DD"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2D4FAF68"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650906BD"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26547853"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1198BEB4"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2BD8BBDC" w14:textId="62E71DBB" w:rsidR="00EA0FD7" w:rsidRPr="00AE5455" w:rsidRDefault="00EA0FD7" w:rsidP="00EA0FD7">
      <w:pPr>
        <w:spacing w:after="0" w:line="240" w:lineRule="auto"/>
        <w:rPr>
          <w:rFonts w:ascii="Times New Roman" w:eastAsia="Times New Roman" w:hAnsi="Times New Roman" w:cs="Times New Roman"/>
          <w:b/>
          <w:sz w:val="24"/>
          <w:szCs w:val="24"/>
          <w:lang w:val="sr-Cyrl-RS" w:eastAsia="hr-HR"/>
        </w:rPr>
      </w:pPr>
    </w:p>
    <w:p w14:paraId="576C8A7D" w14:textId="7A09CB67" w:rsidR="00EA0FD7" w:rsidRPr="00AE5455" w:rsidRDefault="00EA0FD7" w:rsidP="00EA0FD7">
      <w:pPr>
        <w:spacing w:after="0" w:line="240" w:lineRule="auto"/>
        <w:rPr>
          <w:rFonts w:ascii="Times New Roman" w:eastAsia="Times New Roman" w:hAnsi="Times New Roman" w:cs="Times New Roman"/>
          <w:b/>
          <w:sz w:val="24"/>
          <w:szCs w:val="24"/>
          <w:lang w:val="sr-Cyrl-RS" w:eastAsia="hr-HR"/>
        </w:rPr>
      </w:pPr>
    </w:p>
    <w:p w14:paraId="64CD2122" w14:textId="2C7CF2CA" w:rsidR="00EA0FD7" w:rsidRPr="00AE5455" w:rsidRDefault="00EA0FD7" w:rsidP="00EA0FD7">
      <w:pPr>
        <w:spacing w:after="0" w:line="240" w:lineRule="auto"/>
        <w:rPr>
          <w:rFonts w:ascii="Times New Roman" w:eastAsia="Times New Roman" w:hAnsi="Times New Roman" w:cs="Times New Roman"/>
          <w:b/>
          <w:sz w:val="24"/>
          <w:szCs w:val="24"/>
          <w:lang w:val="sr-Cyrl-RS" w:eastAsia="hr-HR"/>
        </w:rPr>
      </w:pPr>
    </w:p>
    <w:p w14:paraId="507AF644" w14:textId="1846621A" w:rsidR="00EA0FD7" w:rsidRPr="00AE5455" w:rsidRDefault="00EA0FD7" w:rsidP="00EA0FD7">
      <w:pPr>
        <w:spacing w:after="0" w:line="240" w:lineRule="auto"/>
        <w:rPr>
          <w:rFonts w:ascii="Times New Roman" w:eastAsia="Times New Roman" w:hAnsi="Times New Roman" w:cs="Times New Roman"/>
          <w:b/>
          <w:sz w:val="24"/>
          <w:szCs w:val="24"/>
          <w:lang w:val="sr-Cyrl-RS" w:eastAsia="hr-HR"/>
        </w:rPr>
      </w:pPr>
    </w:p>
    <w:p w14:paraId="5F2E394A" w14:textId="0B58AE6B" w:rsidR="00EA0FD7" w:rsidRPr="00AE5455" w:rsidRDefault="00EA0FD7" w:rsidP="00EA0FD7">
      <w:pPr>
        <w:spacing w:after="0" w:line="240" w:lineRule="auto"/>
        <w:rPr>
          <w:rFonts w:ascii="Times New Roman" w:eastAsia="Times New Roman" w:hAnsi="Times New Roman" w:cs="Times New Roman"/>
          <w:b/>
          <w:sz w:val="24"/>
          <w:szCs w:val="24"/>
          <w:lang w:val="sr-Cyrl-RS" w:eastAsia="hr-HR"/>
        </w:rPr>
      </w:pPr>
    </w:p>
    <w:p w14:paraId="6427ECE0" w14:textId="6AB73B71" w:rsidR="00EA0FD7" w:rsidRPr="00AE5455" w:rsidRDefault="00EA0FD7" w:rsidP="00EA0FD7">
      <w:pPr>
        <w:spacing w:after="0" w:line="240" w:lineRule="auto"/>
        <w:rPr>
          <w:rFonts w:ascii="Times New Roman" w:eastAsia="Times New Roman" w:hAnsi="Times New Roman" w:cs="Times New Roman"/>
          <w:b/>
          <w:sz w:val="24"/>
          <w:szCs w:val="24"/>
          <w:lang w:val="sr-Cyrl-RS" w:eastAsia="hr-HR"/>
        </w:rPr>
      </w:pPr>
    </w:p>
    <w:p w14:paraId="127057BD" w14:textId="7AE2A088" w:rsidR="00EA0FD7" w:rsidRPr="00AE5455" w:rsidRDefault="00EA0FD7" w:rsidP="00EA0FD7">
      <w:pPr>
        <w:spacing w:after="0" w:line="240" w:lineRule="auto"/>
        <w:rPr>
          <w:rFonts w:ascii="Times New Roman" w:eastAsia="Times New Roman" w:hAnsi="Times New Roman" w:cs="Times New Roman"/>
          <w:b/>
          <w:sz w:val="24"/>
          <w:szCs w:val="24"/>
          <w:lang w:val="sr-Cyrl-RS" w:eastAsia="hr-HR"/>
        </w:rPr>
      </w:pPr>
    </w:p>
    <w:p w14:paraId="3BB15F90"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34ABB0CD"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39AA860F"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t xml:space="preserve">                                                   Брчко, јун 2022. године</w:t>
      </w:r>
    </w:p>
    <w:p w14:paraId="5DE5C244"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525A9C38" w14:textId="77777777" w:rsidR="00EA0FD7" w:rsidRPr="00EA0FD7" w:rsidRDefault="00EA0FD7" w:rsidP="00EA0FD7">
      <w:pPr>
        <w:spacing w:after="0" w:line="240" w:lineRule="auto"/>
        <w:jc w:val="center"/>
        <w:rPr>
          <w:rFonts w:ascii="Times New Roman" w:eastAsia="Times New Roman" w:hAnsi="Times New Roman" w:cs="Times New Roman"/>
          <w:b/>
          <w:sz w:val="24"/>
          <w:szCs w:val="24"/>
          <w:lang w:val="sr-Cyrl-RS" w:eastAsia="hr-HR"/>
        </w:rPr>
      </w:pPr>
    </w:p>
    <w:p w14:paraId="7927F14C" w14:textId="77777777" w:rsidR="00EA0FD7" w:rsidRPr="00EA0FD7" w:rsidRDefault="00EA0FD7" w:rsidP="00EA0FD7">
      <w:pPr>
        <w:spacing w:after="0" w:line="240" w:lineRule="auto"/>
        <w:jc w:val="center"/>
        <w:rPr>
          <w:rFonts w:ascii="Times New Roman" w:eastAsia="Times New Roman" w:hAnsi="Times New Roman" w:cs="Times New Roman"/>
          <w:b/>
          <w:sz w:val="24"/>
          <w:szCs w:val="24"/>
          <w:lang w:val="sr-Cyrl-RS" w:eastAsia="hr-HR"/>
        </w:rPr>
      </w:pPr>
    </w:p>
    <w:tbl>
      <w:tblPr>
        <w:tblW w:w="0" w:type="auto"/>
        <w:tblLook w:val="01E0" w:firstRow="1" w:lastRow="1" w:firstColumn="1" w:lastColumn="1" w:noHBand="0" w:noVBand="0"/>
      </w:tblPr>
      <w:tblGrid>
        <w:gridCol w:w="8322"/>
        <w:gridCol w:w="553"/>
      </w:tblGrid>
      <w:tr w:rsidR="00EA0FD7" w:rsidRPr="00EA0FD7" w14:paraId="54FB29A7" w14:textId="77777777" w:rsidTr="00EA0FD7">
        <w:tc>
          <w:tcPr>
            <w:tcW w:w="8303" w:type="dxa"/>
            <w:hideMark/>
          </w:tcPr>
          <w:p w14:paraId="0C60F277" w14:textId="77777777" w:rsidR="00EA0FD7" w:rsidRPr="00EA0FD7" w:rsidRDefault="00EA0FD7" w:rsidP="00EA0FD7">
            <w:pPr>
              <w:spacing w:after="0" w:line="240" w:lineRule="auto"/>
              <w:jc w:val="center"/>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САДРЖАЈ</w:t>
            </w:r>
          </w:p>
        </w:tc>
        <w:tc>
          <w:tcPr>
            <w:tcW w:w="553" w:type="dxa"/>
          </w:tcPr>
          <w:p w14:paraId="7E426A76" w14:textId="77777777" w:rsidR="00EA0FD7" w:rsidRPr="00EA0FD7" w:rsidRDefault="00EA0FD7" w:rsidP="00EA0FD7">
            <w:pPr>
              <w:spacing w:after="0" w:line="240" w:lineRule="auto"/>
              <w:rPr>
                <w:rFonts w:ascii="Times New Roman" w:eastAsia="Times New Roman" w:hAnsi="Times New Roman" w:cs="Times New Roman"/>
                <w:lang w:val="sr-Cyrl-RS" w:eastAsia="hr-HR"/>
              </w:rPr>
            </w:pPr>
          </w:p>
        </w:tc>
      </w:tr>
      <w:tr w:rsidR="00EA0FD7" w:rsidRPr="00EA0FD7" w14:paraId="40BE3CE1" w14:textId="77777777" w:rsidTr="00EA0FD7">
        <w:tc>
          <w:tcPr>
            <w:tcW w:w="8303" w:type="dxa"/>
            <w:hideMark/>
          </w:tcPr>
          <w:p w14:paraId="4279BE04" w14:textId="77777777" w:rsidR="00EA0FD7" w:rsidRPr="00EA0FD7" w:rsidRDefault="00EA0FD7" w:rsidP="00EA0FD7">
            <w:pPr>
              <w:spacing w:after="0" w:line="240" w:lineRule="auto"/>
              <w:jc w:val="both"/>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ИЗВРШНИ САЖЕТАК...........................................................................................................</w:t>
            </w:r>
          </w:p>
        </w:tc>
        <w:tc>
          <w:tcPr>
            <w:tcW w:w="553" w:type="dxa"/>
            <w:hideMark/>
          </w:tcPr>
          <w:p w14:paraId="537B6AD5"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4</w:t>
            </w:r>
          </w:p>
        </w:tc>
      </w:tr>
      <w:tr w:rsidR="00EA0FD7" w:rsidRPr="00EA0FD7" w14:paraId="4D8D23B6" w14:textId="77777777" w:rsidTr="00EA0FD7">
        <w:tc>
          <w:tcPr>
            <w:tcW w:w="8303" w:type="dxa"/>
            <w:hideMark/>
          </w:tcPr>
          <w:p w14:paraId="5D3252DC" w14:textId="3116F6EB" w:rsidR="00EA0FD7" w:rsidRPr="00EA0FD7" w:rsidRDefault="00EA0FD7" w:rsidP="00EA0FD7">
            <w:pPr>
              <w:spacing w:after="0" w:line="240" w:lineRule="auto"/>
              <w:jc w:val="both"/>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ПОГЛАВЉЕ 1: УВОД У ДОКУМЕНТ ОКВИРНОГ БУЏЕТА 2023</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w:t>
            </w:r>
            <w:r w:rsidRPr="00AE5455">
              <w:rPr>
                <w:rFonts w:ascii="Times New Roman" w:eastAsia="Times New Roman" w:hAnsi="Times New Roman" w:cs="Times New Roman"/>
                <w:lang w:val="sr-Cyrl-RS" w:eastAsia="hr-HR"/>
              </w:rPr>
              <w:t xml:space="preserve"> године................................................................................................................</w:t>
            </w:r>
            <w:r w:rsidRPr="00EA0FD7">
              <w:rPr>
                <w:rFonts w:ascii="Times New Roman" w:eastAsia="Times New Roman" w:hAnsi="Times New Roman" w:cs="Times New Roman"/>
                <w:lang w:val="sr-Cyrl-RS" w:eastAsia="hr-HR"/>
              </w:rPr>
              <w:t>.......................</w:t>
            </w:r>
          </w:p>
        </w:tc>
        <w:tc>
          <w:tcPr>
            <w:tcW w:w="553" w:type="dxa"/>
            <w:hideMark/>
          </w:tcPr>
          <w:p w14:paraId="6EA1BAEE"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8</w:t>
            </w:r>
          </w:p>
        </w:tc>
      </w:tr>
      <w:tr w:rsidR="00EA0FD7" w:rsidRPr="00EA0FD7" w14:paraId="3BBABB2E" w14:textId="77777777" w:rsidTr="00EA0FD7">
        <w:tc>
          <w:tcPr>
            <w:tcW w:w="8303" w:type="dxa"/>
            <w:hideMark/>
          </w:tcPr>
          <w:p w14:paraId="3A9FE2A5" w14:textId="77777777" w:rsidR="00EA0FD7" w:rsidRPr="00EA0FD7" w:rsidRDefault="00EA0FD7" w:rsidP="00EA0FD7">
            <w:pPr>
              <w:spacing w:after="0" w:line="240" w:lineRule="auto"/>
              <w:jc w:val="both"/>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ПОГЛАВЉЕ 2: СРЕДЊОРОЧНЕ МАКРОЕКОНОМСКЕ ПРОЈЕКЦИЈЕ........................</w:t>
            </w:r>
          </w:p>
        </w:tc>
        <w:tc>
          <w:tcPr>
            <w:tcW w:w="553" w:type="dxa"/>
            <w:hideMark/>
          </w:tcPr>
          <w:p w14:paraId="22C6B281"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9</w:t>
            </w:r>
          </w:p>
        </w:tc>
      </w:tr>
      <w:tr w:rsidR="00EA0FD7" w:rsidRPr="00EA0FD7" w14:paraId="7308A739" w14:textId="77777777" w:rsidTr="00EA0FD7">
        <w:tc>
          <w:tcPr>
            <w:tcW w:w="8303" w:type="dxa"/>
            <w:hideMark/>
          </w:tcPr>
          <w:p w14:paraId="05ABB605" w14:textId="77777777" w:rsidR="00EA0FD7" w:rsidRPr="00EA0FD7" w:rsidRDefault="00EA0FD7" w:rsidP="00EA0FD7">
            <w:pPr>
              <w:spacing w:after="0" w:line="240" w:lineRule="auto"/>
              <w:jc w:val="both"/>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РЕАЛНИ СЕКТОР..................................................................................................................</w:t>
            </w:r>
          </w:p>
        </w:tc>
        <w:tc>
          <w:tcPr>
            <w:tcW w:w="553" w:type="dxa"/>
            <w:hideMark/>
          </w:tcPr>
          <w:p w14:paraId="27729D48"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10</w:t>
            </w:r>
          </w:p>
        </w:tc>
      </w:tr>
      <w:tr w:rsidR="00EA0FD7" w:rsidRPr="00EA0FD7" w14:paraId="68BB94D6" w14:textId="77777777" w:rsidTr="00EA0FD7">
        <w:tc>
          <w:tcPr>
            <w:tcW w:w="8303" w:type="dxa"/>
            <w:hideMark/>
          </w:tcPr>
          <w:p w14:paraId="2E042E45" w14:textId="77777777" w:rsidR="00EA0FD7" w:rsidRPr="00EA0FD7" w:rsidRDefault="00EA0FD7" w:rsidP="00EA0FD7">
            <w:pPr>
              <w:spacing w:after="0" w:line="240" w:lineRule="auto"/>
              <w:jc w:val="both"/>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Економска кретања у 2021. години.......................................................................................</w:t>
            </w:r>
          </w:p>
        </w:tc>
        <w:tc>
          <w:tcPr>
            <w:tcW w:w="553" w:type="dxa"/>
            <w:hideMark/>
          </w:tcPr>
          <w:p w14:paraId="716FCA94"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10</w:t>
            </w:r>
          </w:p>
        </w:tc>
      </w:tr>
      <w:tr w:rsidR="00EA0FD7" w:rsidRPr="00EA0FD7" w14:paraId="0A1928C7" w14:textId="77777777" w:rsidTr="00EA0FD7">
        <w:tc>
          <w:tcPr>
            <w:tcW w:w="8303" w:type="dxa"/>
            <w:hideMark/>
          </w:tcPr>
          <w:p w14:paraId="7F49C65B" w14:textId="30CFDC26" w:rsidR="00EA0FD7" w:rsidRPr="00EA0FD7" w:rsidRDefault="00EA0FD7" w:rsidP="00EA0FD7">
            <w:pPr>
              <w:spacing w:after="0" w:line="240" w:lineRule="auto"/>
              <w:jc w:val="both"/>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Пројекције економских кретања за период 2022</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 године..........................................</w:t>
            </w:r>
          </w:p>
        </w:tc>
        <w:tc>
          <w:tcPr>
            <w:tcW w:w="553" w:type="dxa"/>
            <w:hideMark/>
          </w:tcPr>
          <w:p w14:paraId="4C4B917C"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11</w:t>
            </w:r>
          </w:p>
        </w:tc>
      </w:tr>
      <w:tr w:rsidR="00EA0FD7" w:rsidRPr="00EA0FD7" w14:paraId="7DD301E9" w14:textId="77777777" w:rsidTr="00EA0FD7">
        <w:tc>
          <w:tcPr>
            <w:tcW w:w="8303" w:type="dxa"/>
            <w:hideMark/>
          </w:tcPr>
          <w:p w14:paraId="023E0EE6" w14:textId="77777777" w:rsidR="00EA0FD7" w:rsidRPr="00EA0FD7" w:rsidRDefault="00EA0FD7" w:rsidP="00EA0FD7">
            <w:pPr>
              <w:spacing w:after="0" w:line="240" w:lineRule="auto"/>
              <w:jc w:val="both"/>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Ризици.......................................................................................................................................</w:t>
            </w:r>
          </w:p>
        </w:tc>
        <w:tc>
          <w:tcPr>
            <w:tcW w:w="553" w:type="dxa"/>
            <w:hideMark/>
          </w:tcPr>
          <w:p w14:paraId="21CE2E4D"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13</w:t>
            </w:r>
          </w:p>
        </w:tc>
      </w:tr>
      <w:tr w:rsidR="00EA0FD7" w:rsidRPr="00EA0FD7" w14:paraId="60460827" w14:textId="77777777" w:rsidTr="00EA0FD7">
        <w:tc>
          <w:tcPr>
            <w:tcW w:w="8303" w:type="dxa"/>
            <w:hideMark/>
          </w:tcPr>
          <w:p w14:paraId="22FD327F" w14:textId="77777777" w:rsidR="00EA0FD7" w:rsidRPr="00EA0FD7" w:rsidRDefault="00EA0FD7" w:rsidP="00EA0FD7">
            <w:pPr>
              <w:spacing w:after="0" w:line="240" w:lineRule="auto"/>
              <w:jc w:val="both"/>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Индустријска производња  у БиХ – 2022. година................................................................</w:t>
            </w:r>
          </w:p>
        </w:tc>
        <w:tc>
          <w:tcPr>
            <w:tcW w:w="553" w:type="dxa"/>
            <w:hideMark/>
          </w:tcPr>
          <w:p w14:paraId="6686E682"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13</w:t>
            </w:r>
          </w:p>
        </w:tc>
      </w:tr>
      <w:tr w:rsidR="00EA0FD7" w:rsidRPr="00EA0FD7" w14:paraId="2482074E" w14:textId="77777777" w:rsidTr="00EA0FD7">
        <w:tc>
          <w:tcPr>
            <w:tcW w:w="8303" w:type="dxa"/>
            <w:hideMark/>
          </w:tcPr>
          <w:p w14:paraId="79B3B4D4" w14:textId="77777777" w:rsidR="00EA0FD7" w:rsidRPr="00EA0FD7" w:rsidRDefault="00EA0FD7" w:rsidP="00EA0FD7">
            <w:pPr>
              <w:spacing w:after="0" w:line="240" w:lineRule="auto"/>
              <w:jc w:val="both"/>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Тржиште рада – 2021. година.................................................................................................</w:t>
            </w:r>
          </w:p>
        </w:tc>
        <w:tc>
          <w:tcPr>
            <w:tcW w:w="553" w:type="dxa"/>
            <w:hideMark/>
          </w:tcPr>
          <w:p w14:paraId="7E2D2219"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15</w:t>
            </w:r>
          </w:p>
        </w:tc>
      </w:tr>
      <w:tr w:rsidR="00EA0FD7" w:rsidRPr="00EA0FD7" w14:paraId="4A5EFB41" w14:textId="77777777" w:rsidTr="00EA0FD7">
        <w:tc>
          <w:tcPr>
            <w:tcW w:w="8303" w:type="dxa"/>
            <w:hideMark/>
          </w:tcPr>
          <w:p w14:paraId="2B5EF64E" w14:textId="7ABDC68F" w:rsidR="00EA0FD7" w:rsidRPr="00EA0FD7" w:rsidRDefault="00EA0FD7" w:rsidP="00EA0FD7">
            <w:pPr>
              <w:spacing w:after="0" w:line="240" w:lineRule="auto"/>
              <w:jc w:val="both"/>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Тржиште рада – пројекције 2022</w:t>
            </w:r>
            <w:r w:rsidR="009E1E82">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 године....................................................................</w:t>
            </w:r>
          </w:p>
        </w:tc>
        <w:tc>
          <w:tcPr>
            <w:tcW w:w="553" w:type="dxa"/>
            <w:hideMark/>
          </w:tcPr>
          <w:p w14:paraId="751BE64D"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15</w:t>
            </w:r>
          </w:p>
        </w:tc>
      </w:tr>
      <w:tr w:rsidR="00EA0FD7" w:rsidRPr="00EA0FD7" w14:paraId="1338581B" w14:textId="77777777" w:rsidTr="00EA0FD7">
        <w:tc>
          <w:tcPr>
            <w:tcW w:w="8303" w:type="dxa"/>
            <w:hideMark/>
          </w:tcPr>
          <w:p w14:paraId="38D9BA04" w14:textId="77777777" w:rsidR="00EA0FD7" w:rsidRPr="00EA0FD7" w:rsidRDefault="00EA0FD7" w:rsidP="00EA0FD7">
            <w:pPr>
              <w:spacing w:after="0" w:line="240" w:lineRule="auto"/>
              <w:jc w:val="both"/>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Ризици......................................................................................................................................</w:t>
            </w:r>
          </w:p>
        </w:tc>
        <w:tc>
          <w:tcPr>
            <w:tcW w:w="553" w:type="dxa"/>
            <w:hideMark/>
          </w:tcPr>
          <w:p w14:paraId="13C1F749"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16</w:t>
            </w:r>
          </w:p>
        </w:tc>
      </w:tr>
      <w:tr w:rsidR="00EA0FD7" w:rsidRPr="00EA0FD7" w14:paraId="513E7C00" w14:textId="77777777" w:rsidTr="00EA0FD7">
        <w:tc>
          <w:tcPr>
            <w:tcW w:w="8303" w:type="dxa"/>
            <w:hideMark/>
          </w:tcPr>
          <w:p w14:paraId="7398BA34" w14:textId="77777777" w:rsidR="00EA0FD7" w:rsidRPr="00EA0FD7" w:rsidRDefault="00EA0FD7" w:rsidP="00EA0FD7">
            <w:pPr>
              <w:spacing w:after="0" w:line="240" w:lineRule="auto"/>
              <w:jc w:val="both"/>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Цијене – 2021. година.............................................................................................................</w:t>
            </w:r>
          </w:p>
        </w:tc>
        <w:tc>
          <w:tcPr>
            <w:tcW w:w="553" w:type="dxa"/>
            <w:hideMark/>
          </w:tcPr>
          <w:p w14:paraId="452C5826"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16</w:t>
            </w:r>
          </w:p>
        </w:tc>
      </w:tr>
      <w:tr w:rsidR="00EA0FD7" w:rsidRPr="00EA0FD7" w14:paraId="2FD5C124" w14:textId="77777777" w:rsidTr="00EA0FD7">
        <w:tc>
          <w:tcPr>
            <w:tcW w:w="8303" w:type="dxa"/>
            <w:hideMark/>
          </w:tcPr>
          <w:p w14:paraId="6527EFCD" w14:textId="347E1BC8" w:rsidR="00EA0FD7" w:rsidRPr="00EA0FD7" w:rsidRDefault="00EA0FD7" w:rsidP="00EA0FD7">
            <w:pPr>
              <w:spacing w:after="0" w:line="240" w:lineRule="auto"/>
              <w:jc w:val="both"/>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Цијене – пројекције 2022</w:t>
            </w:r>
            <w:r w:rsidR="009E1E82">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 године.................................................................................</w:t>
            </w:r>
          </w:p>
        </w:tc>
        <w:tc>
          <w:tcPr>
            <w:tcW w:w="553" w:type="dxa"/>
            <w:hideMark/>
          </w:tcPr>
          <w:p w14:paraId="48278994"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17</w:t>
            </w:r>
          </w:p>
        </w:tc>
      </w:tr>
      <w:tr w:rsidR="00EA0FD7" w:rsidRPr="00EA0FD7" w14:paraId="3C58639B" w14:textId="77777777" w:rsidTr="00EA0FD7">
        <w:tc>
          <w:tcPr>
            <w:tcW w:w="8303" w:type="dxa"/>
            <w:hideMark/>
          </w:tcPr>
          <w:p w14:paraId="365F5BC5"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Ризици......................................................................................................................................</w:t>
            </w:r>
          </w:p>
        </w:tc>
        <w:tc>
          <w:tcPr>
            <w:tcW w:w="553" w:type="dxa"/>
            <w:hideMark/>
          </w:tcPr>
          <w:p w14:paraId="0350584E"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18</w:t>
            </w:r>
          </w:p>
        </w:tc>
      </w:tr>
      <w:tr w:rsidR="00EA0FD7" w:rsidRPr="00EA0FD7" w14:paraId="5284940C" w14:textId="77777777" w:rsidTr="00EA0FD7">
        <w:tc>
          <w:tcPr>
            <w:tcW w:w="8303" w:type="dxa"/>
            <w:hideMark/>
          </w:tcPr>
          <w:p w14:paraId="25F1FECA" w14:textId="520B7D9B"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Прогноза кретања раста банкарских кредита и депозита у 2022</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2025.години................</w:t>
            </w:r>
          </w:p>
        </w:tc>
        <w:tc>
          <w:tcPr>
            <w:tcW w:w="553" w:type="dxa"/>
            <w:hideMark/>
          </w:tcPr>
          <w:p w14:paraId="4FC84ED1"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18</w:t>
            </w:r>
          </w:p>
        </w:tc>
      </w:tr>
      <w:tr w:rsidR="00EA0FD7" w:rsidRPr="00EA0FD7" w14:paraId="416D55E7" w14:textId="77777777" w:rsidTr="00EA0FD7">
        <w:tc>
          <w:tcPr>
            <w:tcW w:w="8303" w:type="dxa"/>
            <w:hideMark/>
          </w:tcPr>
          <w:p w14:paraId="43306E52"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Ризици.......................................................................................................................................</w:t>
            </w:r>
          </w:p>
        </w:tc>
        <w:tc>
          <w:tcPr>
            <w:tcW w:w="553" w:type="dxa"/>
            <w:hideMark/>
          </w:tcPr>
          <w:p w14:paraId="34051116"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19</w:t>
            </w:r>
          </w:p>
        </w:tc>
      </w:tr>
      <w:tr w:rsidR="00EA0FD7" w:rsidRPr="00EA0FD7" w14:paraId="4ECE1A13" w14:textId="77777777" w:rsidTr="00EA0FD7">
        <w:tc>
          <w:tcPr>
            <w:tcW w:w="8303" w:type="dxa"/>
            <w:hideMark/>
          </w:tcPr>
          <w:p w14:paraId="1A8561C0"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СПОЉНИ СЕКТОР................................................................................................................</w:t>
            </w:r>
          </w:p>
        </w:tc>
        <w:tc>
          <w:tcPr>
            <w:tcW w:w="553" w:type="dxa"/>
            <w:hideMark/>
          </w:tcPr>
          <w:p w14:paraId="0A03CCA2"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19</w:t>
            </w:r>
          </w:p>
        </w:tc>
      </w:tr>
      <w:tr w:rsidR="00EA0FD7" w:rsidRPr="00EA0FD7" w14:paraId="5DC8F561" w14:textId="77777777" w:rsidTr="00EA0FD7">
        <w:tc>
          <w:tcPr>
            <w:tcW w:w="8303" w:type="dxa"/>
            <w:hideMark/>
          </w:tcPr>
          <w:p w14:paraId="53CB1FB8"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Платни биланс Босне и Херцеговине....................................................................................</w:t>
            </w:r>
          </w:p>
        </w:tc>
        <w:tc>
          <w:tcPr>
            <w:tcW w:w="553" w:type="dxa"/>
            <w:hideMark/>
          </w:tcPr>
          <w:p w14:paraId="328CC75C"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19</w:t>
            </w:r>
          </w:p>
        </w:tc>
      </w:tr>
      <w:tr w:rsidR="00EA0FD7" w:rsidRPr="00EA0FD7" w14:paraId="63C8FE2C" w14:textId="77777777" w:rsidTr="00EA0FD7">
        <w:tc>
          <w:tcPr>
            <w:tcW w:w="8303" w:type="dxa"/>
            <w:hideMark/>
          </w:tcPr>
          <w:p w14:paraId="017A65BB" w14:textId="54A2309D"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Претпоставке за платни биланс  2022</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 године............................................................</w:t>
            </w:r>
          </w:p>
        </w:tc>
        <w:tc>
          <w:tcPr>
            <w:tcW w:w="553" w:type="dxa"/>
            <w:hideMark/>
          </w:tcPr>
          <w:p w14:paraId="4F9D6217"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20</w:t>
            </w:r>
          </w:p>
        </w:tc>
      </w:tr>
      <w:tr w:rsidR="00EA0FD7" w:rsidRPr="00EA0FD7" w14:paraId="57A054BB" w14:textId="77777777" w:rsidTr="00EA0FD7">
        <w:tc>
          <w:tcPr>
            <w:tcW w:w="8303" w:type="dxa"/>
            <w:hideMark/>
          </w:tcPr>
          <w:p w14:paraId="30CBBFEB"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Ризици......................................................................................................................................</w:t>
            </w:r>
          </w:p>
        </w:tc>
        <w:tc>
          <w:tcPr>
            <w:tcW w:w="553" w:type="dxa"/>
            <w:hideMark/>
          </w:tcPr>
          <w:p w14:paraId="138E5D5C"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21</w:t>
            </w:r>
          </w:p>
        </w:tc>
      </w:tr>
      <w:tr w:rsidR="00EA0FD7" w:rsidRPr="00EA0FD7" w14:paraId="3482513E" w14:textId="77777777" w:rsidTr="00EA0FD7">
        <w:tc>
          <w:tcPr>
            <w:tcW w:w="8303" w:type="dxa"/>
            <w:hideMark/>
          </w:tcPr>
          <w:p w14:paraId="3CDF809F" w14:textId="4EA0416F"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Кретања спо</w:t>
            </w:r>
            <w:r w:rsidR="00752F04">
              <w:rPr>
                <w:rFonts w:ascii="Times New Roman" w:eastAsia="Times New Roman" w:hAnsi="Times New Roman" w:cs="Times New Roman"/>
                <w:lang w:val="sr-Cyrl-RS" w:eastAsia="hr-HR"/>
              </w:rPr>
              <w:t>љ</w:t>
            </w:r>
            <w:r w:rsidRPr="00EA0FD7">
              <w:rPr>
                <w:rFonts w:ascii="Times New Roman" w:eastAsia="Times New Roman" w:hAnsi="Times New Roman" w:cs="Times New Roman"/>
                <w:lang w:val="sr-Cyrl-RS" w:eastAsia="hr-HR"/>
              </w:rPr>
              <w:t>нотрговинске размјене у 2021. години.........................................................</w:t>
            </w:r>
          </w:p>
        </w:tc>
        <w:tc>
          <w:tcPr>
            <w:tcW w:w="553" w:type="dxa"/>
            <w:hideMark/>
          </w:tcPr>
          <w:p w14:paraId="655622CF"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22</w:t>
            </w:r>
          </w:p>
        </w:tc>
      </w:tr>
      <w:tr w:rsidR="00EA0FD7" w:rsidRPr="00EA0FD7" w14:paraId="3DCF5A4A" w14:textId="77777777" w:rsidTr="00EA0FD7">
        <w:tc>
          <w:tcPr>
            <w:tcW w:w="8303" w:type="dxa"/>
            <w:hideMark/>
          </w:tcPr>
          <w:p w14:paraId="06737C89" w14:textId="028CE25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Пројекција кретања спољнотрговинске размјене за период 2022</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2025.године...............</w:t>
            </w:r>
          </w:p>
        </w:tc>
        <w:tc>
          <w:tcPr>
            <w:tcW w:w="553" w:type="dxa"/>
            <w:hideMark/>
          </w:tcPr>
          <w:p w14:paraId="177D526A"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22</w:t>
            </w:r>
          </w:p>
        </w:tc>
      </w:tr>
      <w:tr w:rsidR="00EA0FD7" w:rsidRPr="00EA0FD7" w14:paraId="00432C1E" w14:textId="77777777" w:rsidTr="00EA0FD7">
        <w:tc>
          <w:tcPr>
            <w:tcW w:w="8303" w:type="dxa"/>
            <w:hideMark/>
          </w:tcPr>
          <w:p w14:paraId="56C7A20C"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Ризици......................................................................................................................................</w:t>
            </w:r>
          </w:p>
        </w:tc>
        <w:tc>
          <w:tcPr>
            <w:tcW w:w="553" w:type="dxa"/>
            <w:hideMark/>
          </w:tcPr>
          <w:p w14:paraId="43A0860B"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23</w:t>
            </w:r>
          </w:p>
        </w:tc>
      </w:tr>
      <w:tr w:rsidR="00EA0FD7" w:rsidRPr="00EA0FD7" w14:paraId="56D32A80" w14:textId="77777777" w:rsidTr="00EA0FD7">
        <w:tc>
          <w:tcPr>
            <w:tcW w:w="8303" w:type="dxa"/>
            <w:hideMark/>
          </w:tcPr>
          <w:p w14:paraId="2C001F64" w14:textId="583888E4"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Страна директна улагања за период 2022</w:t>
            </w:r>
            <w:r w:rsidR="009E1E82">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 године.....................................................</w:t>
            </w:r>
          </w:p>
        </w:tc>
        <w:tc>
          <w:tcPr>
            <w:tcW w:w="553" w:type="dxa"/>
            <w:hideMark/>
          </w:tcPr>
          <w:p w14:paraId="1BC1046A"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24</w:t>
            </w:r>
          </w:p>
        </w:tc>
      </w:tr>
      <w:tr w:rsidR="00EA0FD7" w:rsidRPr="00EA0FD7" w14:paraId="0A2D459A" w14:textId="77777777" w:rsidTr="00EA0FD7">
        <w:tc>
          <w:tcPr>
            <w:tcW w:w="8303" w:type="dxa"/>
            <w:hideMark/>
          </w:tcPr>
          <w:p w14:paraId="7E126216"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Ризици......................................................................................................................................</w:t>
            </w:r>
          </w:p>
        </w:tc>
        <w:tc>
          <w:tcPr>
            <w:tcW w:w="553" w:type="dxa"/>
            <w:hideMark/>
          </w:tcPr>
          <w:p w14:paraId="2249F448"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26</w:t>
            </w:r>
          </w:p>
        </w:tc>
      </w:tr>
      <w:tr w:rsidR="00EA0FD7" w:rsidRPr="00EA0FD7" w14:paraId="3A88C313" w14:textId="77777777" w:rsidTr="00EA0FD7">
        <w:tc>
          <w:tcPr>
            <w:tcW w:w="8303" w:type="dxa"/>
            <w:hideMark/>
          </w:tcPr>
          <w:p w14:paraId="05D3D773"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ПРОГНОЗЕ ОСНОВНИХ МАКРОЕКОНОМСКИХ ПОКАЗАТЕЉА БРЧКО ДИСТРИКТА БиХ..................................................................................................................</w:t>
            </w:r>
          </w:p>
        </w:tc>
        <w:tc>
          <w:tcPr>
            <w:tcW w:w="553" w:type="dxa"/>
          </w:tcPr>
          <w:p w14:paraId="2AFD1A97"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p>
          <w:p w14:paraId="4AF1D517"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26</w:t>
            </w:r>
          </w:p>
        </w:tc>
      </w:tr>
      <w:tr w:rsidR="00EA0FD7" w:rsidRPr="00EA0FD7" w14:paraId="664E7A43" w14:textId="77777777" w:rsidTr="00EA0FD7">
        <w:tc>
          <w:tcPr>
            <w:tcW w:w="8303" w:type="dxa"/>
            <w:hideMark/>
          </w:tcPr>
          <w:p w14:paraId="2BB08313" w14:textId="4CFE291C"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Кретање БДП-а у Брчко дистрикту БиХ у периоду 2015</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2021. пројекције за 2022. и претпоставке кретања у периоду 2023</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2025.године...........................................................</w:t>
            </w:r>
          </w:p>
        </w:tc>
        <w:tc>
          <w:tcPr>
            <w:tcW w:w="553" w:type="dxa"/>
          </w:tcPr>
          <w:p w14:paraId="2DA13B35"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p>
          <w:p w14:paraId="1D6928C9"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27</w:t>
            </w:r>
          </w:p>
        </w:tc>
      </w:tr>
      <w:tr w:rsidR="00EA0FD7" w:rsidRPr="00EA0FD7" w14:paraId="0D7A0E22" w14:textId="77777777" w:rsidTr="00EA0FD7">
        <w:tc>
          <w:tcPr>
            <w:tcW w:w="8303" w:type="dxa"/>
            <w:hideMark/>
          </w:tcPr>
          <w:p w14:paraId="6BB554F9" w14:textId="2D17BADE"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Цијене / инфлација у 2021. пројекције 2022</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2025.године..................................................</w:t>
            </w:r>
          </w:p>
        </w:tc>
        <w:tc>
          <w:tcPr>
            <w:tcW w:w="553" w:type="dxa"/>
            <w:hideMark/>
          </w:tcPr>
          <w:p w14:paraId="2689BF3B"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28</w:t>
            </w:r>
          </w:p>
        </w:tc>
      </w:tr>
      <w:tr w:rsidR="00EA0FD7" w:rsidRPr="00EA0FD7" w14:paraId="68A6A057" w14:textId="77777777" w:rsidTr="00EA0FD7">
        <w:tc>
          <w:tcPr>
            <w:tcW w:w="8303" w:type="dxa"/>
            <w:hideMark/>
          </w:tcPr>
          <w:p w14:paraId="1E7CDDB5"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Становништво и демографија Брчко дистрикта БиХ..........................................................</w:t>
            </w:r>
          </w:p>
        </w:tc>
        <w:tc>
          <w:tcPr>
            <w:tcW w:w="553" w:type="dxa"/>
            <w:hideMark/>
          </w:tcPr>
          <w:p w14:paraId="37523ACD"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28</w:t>
            </w:r>
          </w:p>
        </w:tc>
      </w:tr>
      <w:tr w:rsidR="00EA0FD7" w:rsidRPr="00EA0FD7" w14:paraId="10F0566B" w14:textId="77777777" w:rsidTr="00EA0FD7">
        <w:tc>
          <w:tcPr>
            <w:tcW w:w="8303" w:type="dxa"/>
            <w:hideMark/>
          </w:tcPr>
          <w:p w14:paraId="5B620996"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Тржиште рада .........................................................................................................................</w:t>
            </w:r>
          </w:p>
        </w:tc>
        <w:tc>
          <w:tcPr>
            <w:tcW w:w="553" w:type="dxa"/>
            <w:hideMark/>
          </w:tcPr>
          <w:p w14:paraId="5B16B37B"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28</w:t>
            </w:r>
          </w:p>
        </w:tc>
      </w:tr>
      <w:tr w:rsidR="00EA0FD7" w:rsidRPr="00EA0FD7" w14:paraId="4A146AEA" w14:textId="77777777" w:rsidTr="00EA0FD7">
        <w:tc>
          <w:tcPr>
            <w:tcW w:w="8303" w:type="dxa"/>
            <w:hideMark/>
          </w:tcPr>
          <w:p w14:paraId="6F300D73" w14:textId="6B24D6F4"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Бруто и нето плате и пензије у периоду 2015</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2021. и њихове процјене 2022</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 године.......................................................................................................................................</w:t>
            </w:r>
          </w:p>
        </w:tc>
        <w:tc>
          <w:tcPr>
            <w:tcW w:w="553" w:type="dxa"/>
          </w:tcPr>
          <w:p w14:paraId="2180F907"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p>
          <w:p w14:paraId="6BDE4BF2"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29</w:t>
            </w:r>
          </w:p>
        </w:tc>
      </w:tr>
      <w:tr w:rsidR="00EA0FD7" w:rsidRPr="00EA0FD7" w14:paraId="41A4B014" w14:textId="77777777" w:rsidTr="00EA0FD7">
        <w:tc>
          <w:tcPr>
            <w:tcW w:w="8303" w:type="dxa"/>
            <w:hideMark/>
          </w:tcPr>
          <w:p w14:paraId="0C567159"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ПОГЛАВЉЕ 3: СРЕДЊОРОЧНА ФИСКАЛНА ПОЛИТИКА И ПРОЈЕКЦИЈА ПРИХОДА ..............................................................................................................................</w:t>
            </w:r>
          </w:p>
        </w:tc>
        <w:tc>
          <w:tcPr>
            <w:tcW w:w="553" w:type="dxa"/>
          </w:tcPr>
          <w:p w14:paraId="6B470ABE"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p>
          <w:p w14:paraId="1F7409B2"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32</w:t>
            </w:r>
          </w:p>
        </w:tc>
      </w:tr>
      <w:tr w:rsidR="00EA0FD7" w:rsidRPr="00EA0FD7" w14:paraId="6D9A52E8" w14:textId="77777777" w:rsidTr="00EA0FD7">
        <w:tc>
          <w:tcPr>
            <w:tcW w:w="8303" w:type="dxa"/>
            <w:hideMark/>
          </w:tcPr>
          <w:p w14:paraId="6603D4DE" w14:textId="6D891A26"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Пројекције прихода од индиректних пореза 2022</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 године........................................</w:t>
            </w:r>
          </w:p>
        </w:tc>
        <w:tc>
          <w:tcPr>
            <w:tcW w:w="553" w:type="dxa"/>
            <w:hideMark/>
          </w:tcPr>
          <w:p w14:paraId="3C0A2E2D"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32</w:t>
            </w:r>
          </w:p>
        </w:tc>
      </w:tr>
      <w:tr w:rsidR="00EA0FD7" w:rsidRPr="00EA0FD7" w14:paraId="1E9EDE06" w14:textId="77777777" w:rsidTr="00EA0FD7">
        <w:tc>
          <w:tcPr>
            <w:tcW w:w="8303" w:type="dxa"/>
            <w:hideMark/>
          </w:tcPr>
          <w:p w14:paraId="546B70F6"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Основе и претпоставке пројекција прихода од индиректних пореза из основног сценарија.................................................................................................................................</w:t>
            </w:r>
          </w:p>
        </w:tc>
        <w:tc>
          <w:tcPr>
            <w:tcW w:w="553" w:type="dxa"/>
          </w:tcPr>
          <w:p w14:paraId="38D96FC0"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p>
          <w:p w14:paraId="08A0DF30"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32</w:t>
            </w:r>
          </w:p>
        </w:tc>
      </w:tr>
      <w:tr w:rsidR="00EA0FD7" w:rsidRPr="00EA0FD7" w14:paraId="7EFB3867" w14:textId="77777777" w:rsidTr="00EA0FD7">
        <w:tc>
          <w:tcPr>
            <w:tcW w:w="8303" w:type="dxa"/>
            <w:hideMark/>
          </w:tcPr>
          <w:p w14:paraId="4FB85EC0"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Пројекције макроекономских показатеља, ДЕП, март 2022. године.................................</w:t>
            </w:r>
          </w:p>
        </w:tc>
        <w:tc>
          <w:tcPr>
            <w:tcW w:w="553" w:type="dxa"/>
            <w:hideMark/>
          </w:tcPr>
          <w:p w14:paraId="6F17CC08"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32</w:t>
            </w:r>
          </w:p>
        </w:tc>
      </w:tr>
      <w:tr w:rsidR="00EA0FD7" w:rsidRPr="00EA0FD7" w14:paraId="43A79994" w14:textId="77777777" w:rsidTr="00EA0FD7">
        <w:tc>
          <w:tcPr>
            <w:tcW w:w="8303" w:type="dxa"/>
            <w:hideMark/>
          </w:tcPr>
          <w:p w14:paraId="06AFBE09"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Пројекције за 2022. годину....................................................................................................</w:t>
            </w:r>
          </w:p>
        </w:tc>
        <w:tc>
          <w:tcPr>
            <w:tcW w:w="553" w:type="dxa"/>
            <w:hideMark/>
          </w:tcPr>
          <w:p w14:paraId="1F1A0111"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33</w:t>
            </w:r>
          </w:p>
        </w:tc>
      </w:tr>
      <w:tr w:rsidR="00EA0FD7" w:rsidRPr="00EA0FD7" w14:paraId="0541EA8D" w14:textId="77777777" w:rsidTr="00EA0FD7">
        <w:tc>
          <w:tcPr>
            <w:tcW w:w="8303" w:type="dxa"/>
            <w:hideMark/>
          </w:tcPr>
          <w:p w14:paraId="0FBBA9A5" w14:textId="074D72BC"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Пројекције за период 2023</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 године..............................................................................</w:t>
            </w:r>
          </w:p>
        </w:tc>
        <w:tc>
          <w:tcPr>
            <w:tcW w:w="553" w:type="dxa"/>
            <w:hideMark/>
          </w:tcPr>
          <w:p w14:paraId="2D67E17B"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33</w:t>
            </w:r>
          </w:p>
        </w:tc>
      </w:tr>
      <w:tr w:rsidR="00EA0FD7" w:rsidRPr="00EA0FD7" w14:paraId="36E93E39" w14:textId="77777777" w:rsidTr="00EA0FD7">
        <w:tc>
          <w:tcPr>
            <w:tcW w:w="8303" w:type="dxa"/>
            <w:hideMark/>
          </w:tcPr>
          <w:p w14:paraId="4CCFE5E9"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Текуће политике у области индиректног опорезивања......................................................</w:t>
            </w:r>
          </w:p>
        </w:tc>
        <w:tc>
          <w:tcPr>
            <w:tcW w:w="553" w:type="dxa"/>
            <w:hideMark/>
          </w:tcPr>
          <w:p w14:paraId="5EB3E872"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33</w:t>
            </w:r>
          </w:p>
        </w:tc>
      </w:tr>
      <w:tr w:rsidR="00EA0FD7" w:rsidRPr="00EA0FD7" w14:paraId="65323ABA" w14:textId="77777777" w:rsidTr="00EA0FD7">
        <w:tc>
          <w:tcPr>
            <w:tcW w:w="8303" w:type="dxa"/>
            <w:hideMark/>
          </w:tcPr>
          <w:p w14:paraId="2D04DE42"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Трендови наплате индиректних пореза................................................................................</w:t>
            </w:r>
          </w:p>
        </w:tc>
        <w:tc>
          <w:tcPr>
            <w:tcW w:w="553" w:type="dxa"/>
            <w:hideMark/>
          </w:tcPr>
          <w:p w14:paraId="2ECF63BE"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34</w:t>
            </w:r>
          </w:p>
        </w:tc>
      </w:tr>
      <w:tr w:rsidR="00EA0FD7" w:rsidRPr="00EA0FD7" w14:paraId="3CCD0BF5" w14:textId="77777777" w:rsidTr="00EA0FD7">
        <w:tc>
          <w:tcPr>
            <w:tcW w:w="8303" w:type="dxa"/>
            <w:hideMark/>
          </w:tcPr>
          <w:p w14:paraId="5303CF14" w14:textId="713758F9"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Наплата у периоду 2006</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2021. година..................................................................................</w:t>
            </w:r>
          </w:p>
        </w:tc>
        <w:tc>
          <w:tcPr>
            <w:tcW w:w="553" w:type="dxa"/>
            <w:hideMark/>
          </w:tcPr>
          <w:p w14:paraId="542C267A"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34</w:t>
            </w:r>
          </w:p>
        </w:tc>
      </w:tr>
      <w:tr w:rsidR="00EA0FD7" w:rsidRPr="00EA0FD7" w14:paraId="47312FA1" w14:textId="77777777" w:rsidTr="00EA0FD7">
        <w:tc>
          <w:tcPr>
            <w:tcW w:w="8303" w:type="dxa"/>
            <w:hideMark/>
          </w:tcPr>
          <w:p w14:paraId="21509697"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Наплата у периоду  јануар–март 2022. године.....................................................................</w:t>
            </w:r>
          </w:p>
        </w:tc>
        <w:tc>
          <w:tcPr>
            <w:tcW w:w="553" w:type="dxa"/>
            <w:hideMark/>
          </w:tcPr>
          <w:p w14:paraId="2BADD781"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36</w:t>
            </w:r>
          </w:p>
        </w:tc>
      </w:tr>
      <w:tr w:rsidR="00EA0FD7" w:rsidRPr="00EA0FD7" w14:paraId="6F57458D" w14:textId="77777777" w:rsidTr="00EA0FD7">
        <w:tc>
          <w:tcPr>
            <w:tcW w:w="8303" w:type="dxa"/>
            <w:hideMark/>
          </w:tcPr>
          <w:p w14:paraId="44FCFD11"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Наплата прихода по врстама..................................................................................................</w:t>
            </w:r>
          </w:p>
        </w:tc>
        <w:tc>
          <w:tcPr>
            <w:tcW w:w="553" w:type="dxa"/>
            <w:hideMark/>
          </w:tcPr>
          <w:p w14:paraId="38855D41"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37</w:t>
            </w:r>
          </w:p>
        </w:tc>
      </w:tr>
      <w:tr w:rsidR="00EA0FD7" w:rsidRPr="00EA0FD7" w14:paraId="15D724F3" w14:textId="77777777" w:rsidTr="00EA0FD7">
        <w:tc>
          <w:tcPr>
            <w:tcW w:w="8303" w:type="dxa"/>
            <w:hideMark/>
          </w:tcPr>
          <w:p w14:paraId="0214223F" w14:textId="59E39982"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Пројекције прихода од индиректних пореза 2022</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 године........................................</w:t>
            </w:r>
          </w:p>
        </w:tc>
        <w:tc>
          <w:tcPr>
            <w:tcW w:w="553" w:type="dxa"/>
            <w:hideMark/>
          </w:tcPr>
          <w:p w14:paraId="59726D47"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45</w:t>
            </w:r>
          </w:p>
        </w:tc>
      </w:tr>
      <w:tr w:rsidR="00EA0FD7" w:rsidRPr="00EA0FD7" w14:paraId="40F61000" w14:textId="77777777" w:rsidTr="00EA0FD7">
        <w:tc>
          <w:tcPr>
            <w:tcW w:w="8303" w:type="dxa"/>
            <w:hideMark/>
          </w:tcPr>
          <w:p w14:paraId="79B134D2"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Пројекције за 2022. годину....................................................................................................</w:t>
            </w:r>
          </w:p>
        </w:tc>
        <w:tc>
          <w:tcPr>
            <w:tcW w:w="553" w:type="dxa"/>
            <w:hideMark/>
          </w:tcPr>
          <w:p w14:paraId="1E44657C"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47</w:t>
            </w:r>
          </w:p>
        </w:tc>
      </w:tr>
      <w:tr w:rsidR="00EA0FD7" w:rsidRPr="00EA0FD7" w14:paraId="14CBC80D" w14:textId="77777777" w:rsidTr="00EA0FD7">
        <w:tc>
          <w:tcPr>
            <w:tcW w:w="8303" w:type="dxa"/>
            <w:hideMark/>
          </w:tcPr>
          <w:p w14:paraId="3AD0B48E"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Пројекције за период 2023–2025. године.............................................................................</w:t>
            </w:r>
          </w:p>
        </w:tc>
        <w:tc>
          <w:tcPr>
            <w:tcW w:w="553" w:type="dxa"/>
            <w:hideMark/>
          </w:tcPr>
          <w:p w14:paraId="73AB7C48"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50</w:t>
            </w:r>
          </w:p>
        </w:tc>
      </w:tr>
      <w:tr w:rsidR="00EA0FD7" w:rsidRPr="00EA0FD7" w14:paraId="058474AC" w14:textId="77777777" w:rsidTr="00EA0FD7">
        <w:tc>
          <w:tcPr>
            <w:tcW w:w="8303" w:type="dxa"/>
            <w:hideMark/>
          </w:tcPr>
          <w:p w14:paraId="68C651CB"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Ризици......................................................................................................................................</w:t>
            </w:r>
          </w:p>
        </w:tc>
        <w:tc>
          <w:tcPr>
            <w:tcW w:w="553" w:type="dxa"/>
            <w:hideMark/>
          </w:tcPr>
          <w:p w14:paraId="1B3CC5FE"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51</w:t>
            </w:r>
          </w:p>
        </w:tc>
      </w:tr>
      <w:tr w:rsidR="00EA0FD7" w:rsidRPr="00EA0FD7" w14:paraId="2B3659BB" w14:textId="77777777" w:rsidTr="00EA0FD7">
        <w:tc>
          <w:tcPr>
            <w:tcW w:w="8303" w:type="dxa"/>
            <w:hideMark/>
          </w:tcPr>
          <w:p w14:paraId="457CA454"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Посљедње пројекције међународних институција..............................................................</w:t>
            </w:r>
          </w:p>
        </w:tc>
        <w:tc>
          <w:tcPr>
            <w:tcW w:w="553" w:type="dxa"/>
            <w:hideMark/>
          </w:tcPr>
          <w:p w14:paraId="59B90D0C"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51</w:t>
            </w:r>
          </w:p>
        </w:tc>
      </w:tr>
      <w:tr w:rsidR="00EA0FD7" w:rsidRPr="00EA0FD7" w14:paraId="2C082279" w14:textId="77777777" w:rsidTr="00EA0FD7">
        <w:tc>
          <w:tcPr>
            <w:tcW w:w="8303" w:type="dxa"/>
            <w:hideMark/>
          </w:tcPr>
          <w:p w14:paraId="5F1D22A3" w14:textId="0FAAA538"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Приходи од индиректних пореза у корист Брчко дистрикта БиХ за период 2023</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 године.......................................................................................................................................</w:t>
            </w:r>
          </w:p>
        </w:tc>
        <w:tc>
          <w:tcPr>
            <w:tcW w:w="553" w:type="dxa"/>
          </w:tcPr>
          <w:p w14:paraId="7BC6C0E5"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p>
          <w:p w14:paraId="12E310CC"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53</w:t>
            </w:r>
          </w:p>
        </w:tc>
      </w:tr>
      <w:tr w:rsidR="00EA0FD7" w:rsidRPr="00EA0FD7" w14:paraId="556DFBA0" w14:textId="77777777" w:rsidTr="00EA0FD7">
        <w:tc>
          <w:tcPr>
            <w:tcW w:w="8303" w:type="dxa"/>
            <w:hideMark/>
          </w:tcPr>
          <w:p w14:paraId="4F1F56EB" w14:textId="5EC3CE8E"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lastRenderedPageBreak/>
              <w:t>Приходи од директних пореза у корист Брчко дистрикта БиХ за период 2023</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 године.......................................................................................................................................</w:t>
            </w:r>
          </w:p>
        </w:tc>
        <w:tc>
          <w:tcPr>
            <w:tcW w:w="553" w:type="dxa"/>
          </w:tcPr>
          <w:p w14:paraId="005662D8"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p>
          <w:p w14:paraId="0D1ABA69"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54</w:t>
            </w:r>
          </w:p>
        </w:tc>
      </w:tr>
      <w:tr w:rsidR="00EA0FD7" w:rsidRPr="00EA0FD7" w14:paraId="5BD0F561" w14:textId="77777777" w:rsidTr="00EA0FD7">
        <w:tc>
          <w:tcPr>
            <w:tcW w:w="8303" w:type="dxa"/>
            <w:hideMark/>
          </w:tcPr>
          <w:p w14:paraId="775B1B27"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Непорески приходи.................................................................................................................</w:t>
            </w:r>
          </w:p>
        </w:tc>
        <w:tc>
          <w:tcPr>
            <w:tcW w:w="553" w:type="dxa"/>
            <w:hideMark/>
          </w:tcPr>
          <w:p w14:paraId="7D2DA99D"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56</w:t>
            </w:r>
          </w:p>
        </w:tc>
      </w:tr>
      <w:tr w:rsidR="00EA0FD7" w:rsidRPr="00EA0FD7" w14:paraId="6CBD236B" w14:textId="77777777" w:rsidTr="00EA0FD7">
        <w:tc>
          <w:tcPr>
            <w:tcW w:w="8303" w:type="dxa"/>
            <w:hideMark/>
          </w:tcPr>
          <w:p w14:paraId="7A626220" w14:textId="3BE656E0"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Текуће донације и трансфери за период 2023</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 године...............................................</w:t>
            </w:r>
          </w:p>
        </w:tc>
        <w:tc>
          <w:tcPr>
            <w:tcW w:w="553" w:type="dxa"/>
            <w:hideMark/>
          </w:tcPr>
          <w:p w14:paraId="2B5B684D"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61</w:t>
            </w:r>
          </w:p>
        </w:tc>
      </w:tr>
      <w:tr w:rsidR="00EA0FD7" w:rsidRPr="00EA0FD7" w14:paraId="2B2C3FB2" w14:textId="77777777" w:rsidTr="00EA0FD7">
        <w:tc>
          <w:tcPr>
            <w:tcW w:w="8303" w:type="dxa"/>
            <w:hideMark/>
          </w:tcPr>
          <w:p w14:paraId="2F04AAB8" w14:textId="5D77CCFA"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Укупно расположиви приходи за период 2023</w:t>
            </w:r>
            <w:r w:rsidRPr="00AE5455">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 године.............................................</w:t>
            </w:r>
          </w:p>
        </w:tc>
        <w:tc>
          <w:tcPr>
            <w:tcW w:w="553" w:type="dxa"/>
            <w:hideMark/>
          </w:tcPr>
          <w:p w14:paraId="61162F95"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62</w:t>
            </w:r>
          </w:p>
        </w:tc>
      </w:tr>
      <w:tr w:rsidR="00EA0FD7" w:rsidRPr="00EA0FD7" w14:paraId="3522ECFF" w14:textId="77777777" w:rsidTr="00EA0FD7">
        <w:tc>
          <w:tcPr>
            <w:tcW w:w="8303" w:type="dxa"/>
            <w:hideMark/>
          </w:tcPr>
          <w:p w14:paraId="5B945DF6"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Оцјена ризика..........................................................................................................................</w:t>
            </w:r>
          </w:p>
        </w:tc>
        <w:tc>
          <w:tcPr>
            <w:tcW w:w="553" w:type="dxa"/>
            <w:hideMark/>
          </w:tcPr>
          <w:p w14:paraId="65E59F73"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62</w:t>
            </w:r>
          </w:p>
        </w:tc>
      </w:tr>
      <w:tr w:rsidR="00EA0FD7" w:rsidRPr="00EA0FD7" w14:paraId="0C661DD8" w14:textId="77777777" w:rsidTr="00EA0FD7">
        <w:tc>
          <w:tcPr>
            <w:tcW w:w="8303" w:type="dxa"/>
            <w:hideMark/>
          </w:tcPr>
          <w:p w14:paraId="17EAD3E5"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Финансирање...........................................................................................................................</w:t>
            </w:r>
          </w:p>
        </w:tc>
        <w:tc>
          <w:tcPr>
            <w:tcW w:w="553" w:type="dxa"/>
            <w:hideMark/>
          </w:tcPr>
          <w:p w14:paraId="26CFC931"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63</w:t>
            </w:r>
          </w:p>
        </w:tc>
      </w:tr>
      <w:tr w:rsidR="00EA0FD7" w:rsidRPr="00EA0FD7" w14:paraId="544C6F86" w14:textId="77777777" w:rsidTr="00EA0FD7">
        <w:tc>
          <w:tcPr>
            <w:tcW w:w="8303" w:type="dxa"/>
            <w:hideMark/>
          </w:tcPr>
          <w:p w14:paraId="44938E0F"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Финансијски планови ванбуџетских фондова и ванбуџетских корисника који су обвезници примјене буџетског рачуноводства (по извору финансирања).......................</w:t>
            </w:r>
          </w:p>
        </w:tc>
        <w:tc>
          <w:tcPr>
            <w:tcW w:w="553" w:type="dxa"/>
          </w:tcPr>
          <w:p w14:paraId="6BBD9DD4"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p>
          <w:p w14:paraId="645CB9B0"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65</w:t>
            </w:r>
          </w:p>
        </w:tc>
      </w:tr>
      <w:tr w:rsidR="00EA0FD7" w:rsidRPr="00EA0FD7" w14:paraId="59F539DA" w14:textId="77777777" w:rsidTr="00EA0FD7">
        <w:tc>
          <w:tcPr>
            <w:tcW w:w="8303" w:type="dxa"/>
            <w:hideMark/>
          </w:tcPr>
          <w:p w14:paraId="135F58AD"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Консолидовани јавни приходи буџета и финансијских планова ванбуџетских фондова и ванбуџетских корисника који су обвезници примјене буџетског рачуноводства.........</w:t>
            </w:r>
          </w:p>
        </w:tc>
        <w:tc>
          <w:tcPr>
            <w:tcW w:w="553" w:type="dxa"/>
          </w:tcPr>
          <w:p w14:paraId="4BD99507"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p>
          <w:p w14:paraId="7536FF83"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68</w:t>
            </w:r>
          </w:p>
        </w:tc>
      </w:tr>
      <w:tr w:rsidR="00EA0FD7" w:rsidRPr="00EA0FD7" w14:paraId="79C7D7D9" w14:textId="77777777" w:rsidTr="00EA0FD7">
        <w:tc>
          <w:tcPr>
            <w:tcW w:w="8303" w:type="dxa"/>
            <w:hideMark/>
          </w:tcPr>
          <w:p w14:paraId="2FB94460"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ПОГЛАВЉЕ 4: ПРОБЛЕМАТИКА ПОТРОШЊЕ У ЈАВНОМ СЕКТОРУ......................</w:t>
            </w:r>
          </w:p>
        </w:tc>
        <w:tc>
          <w:tcPr>
            <w:tcW w:w="553" w:type="dxa"/>
            <w:hideMark/>
          </w:tcPr>
          <w:p w14:paraId="7180EB17"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70</w:t>
            </w:r>
          </w:p>
        </w:tc>
      </w:tr>
      <w:tr w:rsidR="00EA0FD7" w:rsidRPr="00EA0FD7" w14:paraId="42FCA630" w14:textId="77777777" w:rsidTr="00EA0FD7">
        <w:tc>
          <w:tcPr>
            <w:tcW w:w="8303" w:type="dxa"/>
            <w:hideMark/>
          </w:tcPr>
          <w:p w14:paraId="02B0A1D6"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Бруто плате и доприноси.......................................................................................................</w:t>
            </w:r>
          </w:p>
        </w:tc>
        <w:tc>
          <w:tcPr>
            <w:tcW w:w="553" w:type="dxa"/>
            <w:hideMark/>
          </w:tcPr>
          <w:p w14:paraId="4D3D47E9"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70</w:t>
            </w:r>
          </w:p>
        </w:tc>
      </w:tr>
      <w:tr w:rsidR="00EA0FD7" w:rsidRPr="00EA0FD7" w14:paraId="2E2CD2F8" w14:textId="77777777" w:rsidTr="00EA0FD7">
        <w:tc>
          <w:tcPr>
            <w:tcW w:w="8303" w:type="dxa"/>
            <w:hideMark/>
          </w:tcPr>
          <w:p w14:paraId="71806989"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Накнаде трошкова запослених..............................................................................................</w:t>
            </w:r>
          </w:p>
        </w:tc>
        <w:tc>
          <w:tcPr>
            <w:tcW w:w="553" w:type="dxa"/>
            <w:hideMark/>
          </w:tcPr>
          <w:p w14:paraId="665D8E66"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72</w:t>
            </w:r>
          </w:p>
        </w:tc>
      </w:tr>
      <w:tr w:rsidR="00EA0FD7" w:rsidRPr="00EA0FD7" w14:paraId="49FBC6A3" w14:textId="77777777" w:rsidTr="00EA0FD7">
        <w:tc>
          <w:tcPr>
            <w:tcW w:w="8303" w:type="dxa"/>
            <w:hideMark/>
          </w:tcPr>
          <w:p w14:paraId="08A64DDD"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Расходи за материјал, робе, ситан инвентар и услуге.........................................................</w:t>
            </w:r>
          </w:p>
        </w:tc>
        <w:tc>
          <w:tcPr>
            <w:tcW w:w="553" w:type="dxa"/>
            <w:hideMark/>
          </w:tcPr>
          <w:p w14:paraId="6F05BB9F"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72</w:t>
            </w:r>
          </w:p>
        </w:tc>
      </w:tr>
      <w:tr w:rsidR="00EA0FD7" w:rsidRPr="00EA0FD7" w14:paraId="5F995C5C" w14:textId="77777777" w:rsidTr="00EA0FD7">
        <w:tc>
          <w:tcPr>
            <w:tcW w:w="8303" w:type="dxa"/>
            <w:hideMark/>
          </w:tcPr>
          <w:p w14:paraId="5B002910"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Текући и капитални трансфери, донације и субвенције................................................................................................................................</w:t>
            </w:r>
          </w:p>
        </w:tc>
        <w:tc>
          <w:tcPr>
            <w:tcW w:w="553" w:type="dxa"/>
            <w:hideMark/>
          </w:tcPr>
          <w:p w14:paraId="30344074"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73</w:t>
            </w:r>
          </w:p>
        </w:tc>
      </w:tr>
      <w:tr w:rsidR="00EA0FD7" w:rsidRPr="00EA0FD7" w14:paraId="211D89F0" w14:textId="77777777" w:rsidTr="00EA0FD7">
        <w:tc>
          <w:tcPr>
            <w:tcW w:w="8303" w:type="dxa"/>
            <w:hideMark/>
          </w:tcPr>
          <w:p w14:paraId="1979146F"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Издаци за набавку сталних средстава (капитални буџет)...................................................</w:t>
            </w:r>
          </w:p>
        </w:tc>
        <w:tc>
          <w:tcPr>
            <w:tcW w:w="553" w:type="dxa"/>
            <w:hideMark/>
          </w:tcPr>
          <w:p w14:paraId="5511A616"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74</w:t>
            </w:r>
          </w:p>
        </w:tc>
      </w:tr>
      <w:tr w:rsidR="00EA0FD7" w:rsidRPr="00EA0FD7" w14:paraId="3FBE5294" w14:textId="77777777" w:rsidTr="00EA0FD7">
        <w:tc>
          <w:tcPr>
            <w:tcW w:w="8303" w:type="dxa"/>
            <w:hideMark/>
          </w:tcPr>
          <w:p w14:paraId="05417DE7"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Отплата дуга............................................................................................................................</w:t>
            </w:r>
          </w:p>
        </w:tc>
        <w:tc>
          <w:tcPr>
            <w:tcW w:w="553" w:type="dxa"/>
            <w:hideMark/>
          </w:tcPr>
          <w:p w14:paraId="3C87C5DC"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75</w:t>
            </w:r>
          </w:p>
        </w:tc>
      </w:tr>
      <w:tr w:rsidR="00EA0FD7" w:rsidRPr="00EA0FD7" w14:paraId="1462D59D" w14:textId="77777777" w:rsidTr="00EA0FD7">
        <w:tc>
          <w:tcPr>
            <w:tcW w:w="8303" w:type="dxa"/>
            <w:hideMark/>
          </w:tcPr>
          <w:p w14:paraId="0372C073"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Судске пресуде и рјешења, судска и вансудска поравнања...............................................</w:t>
            </w:r>
          </w:p>
        </w:tc>
        <w:tc>
          <w:tcPr>
            <w:tcW w:w="553" w:type="dxa"/>
            <w:hideMark/>
          </w:tcPr>
          <w:p w14:paraId="644DB698"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81</w:t>
            </w:r>
          </w:p>
        </w:tc>
      </w:tr>
      <w:tr w:rsidR="00EA0FD7" w:rsidRPr="00EA0FD7" w14:paraId="6F75FBEC" w14:textId="77777777" w:rsidTr="00EA0FD7">
        <w:tc>
          <w:tcPr>
            <w:tcW w:w="8303" w:type="dxa"/>
            <w:hideMark/>
          </w:tcPr>
          <w:p w14:paraId="2EA9AD32"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Средства резерве.....................................................................................................................</w:t>
            </w:r>
          </w:p>
        </w:tc>
        <w:tc>
          <w:tcPr>
            <w:tcW w:w="553" w:type="dxa"/>
            <w:hideMark/>
          </w:tcPr>
          <w:p w14:paraId="3E6623BE"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81</w:t>
            </w:r>
          </w:p>
        </w:tc>
      </w:tr>
      <w:tr w:rsidR="00EA0FD7" w:rsidRPr="00EA0FD7" w14:paraId="2EEDCC7E" w14:textId="77777777" w:rsidTr="00EA0FD7">
        <w:tc>
          <w:tcPr>
            <w:tcW w:w="8303" w:type="dxa"/>
            <w:hideMark/>
          </w:tcPr>
          <w:p w14:paraId="1C4E8D04" w14:textId="7777777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Финансијски планови ванбуџетских фондова и ванбуџетских корисника који су обвезници примјене буџетског рачуноводства (расходи)...................................................</w:t>
            </w:r>
          </w:p>
        </w:tc>
        <w:tc>
          <w:tcPr>
            <w:tcW w:w="553" w:type="dxa"/>
          </w:tcPr>
          <w:p w14:paraId="0C8484BC"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p>
          <w:p w14:paraId="52E4CF33"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95</w:t>
            </w:r>
          </w:p>
        </w:tc>
      </w:tr>
      <w:tr w:rsidR="00EA0FD7" w:rsidRPr="00EA0FD7" w14:paraId="35C68BEA" w14:textId="77777777" w:rsidTr="00EA0FD7">
        <w:tc>
          <w:tcPr>
            <w:tcW w:w="8303" w:type="dxa"/>
            <w:hideMark/>
          </w:tcPr>
          <w:p w14:paraId="73CAC600" w14:textId="7C815737" w:rsidR="00EA0FD7" w:rsidRPr="00EA0FD7" w:rsidRDefault="00EA0FD7" w:rsidP="00EA0FD7">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ПОГЛАВЉЕ 5: БУЏЕТСКИ ПРИОРИТЕТИ ЗА ПЕРИОД 2023</w:t>
            </w:r>
            <w:r w:rsidR="000C192B">
              <w:rPr>
                <w:rFonts w:ascii="Times New Roman" w:eastAsia="Times New Roman" w:hAnsi="Times New Roman" w:cs="Times New Roman"/>
                <w:lang w:val="sr-Cyrl-RS" w:eastAsia="hr-HR"/>
              </w:rPr>
              <w:t>–</w:t>
            </w:r>
            <w:r w:rsidRPr="00EA0FD7">
              <w:rPr>
                <w:rFonts w:ascii="Times New Roman" w:eastAsia="Times New Roman" w:hAnsi="Times New Roman" w:cs="Times New Roman"/>
                <w:lang w:val="sr-Cyrl-RS" w:eastAsia="hr-HR"/>
              </w:rPr>
              <w:t>2025. ГОДИНЕ...........</w:t>
            </w:r>
          </w:p>
        </w:tc>
        <w:tc>
          <w:tcPr>
            <w:tcW w:w="553" w:type="dxa"/>
            <w:hideMark/>
          </w:tcPr>
          <w:p w14:paraId="451AF219" w14:textId="77777777" w:rsidR="00EA0FD7" w:rsidRPr="00EA0FD7" w:rsidRDefault="00EA0FD7" w:rsidP="00EA0FD7">
            <w:pPr>
              <w:spacing w:after="0" w:line="240" w:lineRule="auto"/>
              <w:jc w:val="right"/>
              <w:rPr>
                <w:rFonts w:ascii="Times New Roman" w:eastAsia="Times New Roman" w:hAnsi="Times New Roman" w:cs="Times New Roman"/>
                <w:lang w:val="sr-Cyrl-RS" w:eastAsia="hr-HR"/>
              </w:rPr>
            </w:pPr>
            <w:r w:rsidRPr="00EA0FD7">
              <w:rPr>
                <w:rFonts w:ascii="Times New Roman" w:eastAsia="Times New Roman" w:hAnsi="Times New Roman" w:cs="Times New Roman"/>
                <w:lang w:val="sr-Cyrl-RS" w:eastAsia="hr-HR"/>
              </w:rPr>
              <w:t>102</w:t>
            </w:r>
          </w:p>
        </w:tc>
      </w:tr>
    </w:tbl>
    <w:p w14:paraId="1CF259E4" w14:textId="77777777" w:rsidR="00EA0FD7" w:rsidRPr="00EA0FD7" w:rsidRDefault="00EA0FD7" w:rsidP="00EA0FD7">
      <w:pPr>
        <w:spacing w:after="0" w:line="240" w:lineRule="auto"/>
        <w:jc w:val="center"/>
        <w:rPr>
          <w:rFonts w:ascii="Times New Roman" w:eastAsia="Times New Roman" w:hAnsi="Times New Roman" w:cs="Times New Roman"/>
          <w:b/>
          <w:sz w:val="24"/>
          <w:szCs w:val="24"/>
          <w:lang w:val="sr-Cyrl-RS" w:eastAsia="hr-HR"/>
        </w:rPr>
      </w:pPr>
    </w:p>
    <w:p w14:paraId="186F370E" w14:textId="77777777" w:rsidR="00EA0FD7" w:rsidRPr="00EA0FD7" w:rsidRDefault="00EA0FD7" w:rsidP="00EA0FD7">
      <w:pPr>
        <w:tabs>
          <w:tab w:val="left" w:pos="937"/>
        </w:tabs>
        <w:spacing w:after="0" w:line="240" w:lineRule="auto"/>
        <w:jc w:val="both"/>
        <w:rPr>
          <w:rFonts w:ascii="Times New Roman" w:eastAsia="Times New Roman" w:hAnsi="Times New Roman" w:cs="Times New Roman"/>
          <w:b/>
          <w:sz w:val="24"/>
          <w:szCs w:val="24"/>
          <w:lang w:val="sr-Cyrl-RS" w:eastAsia="hr-HR"/>
        </w:rPr>
      </w:pPr>
    </w:p>
    <w:p w14:paraId="7D9FC28A"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74F719A5"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469FD656"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7CEE83C5"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6542174C"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3384ACD4"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03E72247"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551AA86D"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7ABC44FF"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23AFDDF4"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2CE2A219"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0D71655D"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524A50D0"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080B25F7"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2EBC2583"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02F7CF96"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77E35B6C"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68372556"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26A042C3"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6D2E099B"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1A336630"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40E4020D"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062F728F"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654A9683"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797D1320" w14:textId="1EABE22B" w:rsidR="00EA0FD7" w:rsidRPr="00AE5455" w:rsidRDefault="00EA0FD7" w:rsidP="00EA0FD7">
      <w:pPr>
        <w:spacing w:after="0" w:line="240" w:lineRule="auto"/>
        <w:rPr>
          <w:rFonts w:ascii="Times New Roman" w:eastAsia="Times New Roman" w:hAnsi="Times New Roman" w:cs="Times New Roman"/>
          <w:b/>
          <w:sz w:val="24"/>
          <w:szCs w:val="24"/>
          <w:lang w:val="sr-Cyrl-RS" w:eastAsia="hr-HR"/>
        </w:rPr>
      </w:pPr>
    </w:p>
    <w:p w14:paraId="431050B5" w14:textId="63F4F55C" w:rsidR="00EA0FD7" w:rsidRPr="00AE5455" w:rsidRDefault="00EA0FD7" w:rsidP="00EA0FD7">
      <w:pPr>
        <w:spacing w:after="0" w:line="240" w:lineRule="auto"/>
        <w:rPr>
          <w:rFonts w:ascii="Times New Roman" w:eastAsia="Times New Roman" w:hAnsi="Times New Roman" w:cs="Times New Roman"/>
          <w:b/>
          <w:sz w:val="24"/>
          <w:szCs w:val="24"/>
          <w:lang w:val="sr-Cyrl-RS" w:eastAsia="hr-HR"/>
        </w:rPr>
      </w:pPr>
    </w:p>
    <w:p w14:paraId="4775C0CF" w14:textId="0B729EBE" w:rsidR="00EA0FD7" w:rsidRPr="00AE5455" w:rsidRDefault="00EA0FD7" w:rsidP="00EA0FD7">
      <w:pPr>
        <w:spacing w:after="0" w:line="240" w:lineRule="auto"/>
        <w:rPr>
          <w:rFonts w:ascii="Times New Roman" w:eastAsia="Times New Roman" w:hAnsi="Times New Roman" w:cs="Times New Roman"/>
          <w:b/>
          <w:sz w:val="24"/>
          <w:szCs w:val="24"/>
          <w:lang w:val="sr-Cyrl-RS" w:eastAsia="hr-HR"/>
        </w:rPr>
      </w:pPr>
    </w:p>
    <w:p w14:paraId="474094D2" w14:textId="139A262A" w:rsidR="00EA0FD7" w:rsidRPr="00AE5455" w:rsidRDefault="00EA0FD7" w:rsidP="00EA0FD7">
      <w:pPr>
        <w:spacing w:after="0" w:line="240" w:lineRule="auto"/>
        <w:rPr>
          <w:rFonts w:ascii="Times New Roman" w:eastAsia="Times New Roman" w:hAnsi="Times New Roman" w:cs="Times New Roman"/>
          <w:b/>
          <w:sz w:val="24"/>
          <w:szCs w:val="24"/>
          <w:lang w:val="sr-Cyrl-RS" w:eastAsia="hr-HR"/>
        </w:rPr>
      </w:pPr>
    </w:p>
    <w:p w14:paraId="1BB6E5FD" w14:textId="52A1CE63" w:rsidR="00EA0FD7" w:rsidRPr="00AE5455" w:rsidRDefault="00EA0FD7" w:rsidP="00EA0FD7">
      <w:pPr>
        <w:spacing w:after="0" w:line="240" w:lineRule="auto"/>
        <w:rPr>
          <w:rFonts w:ascii="Times New Roman" w:eastAsia="Times New Roman" w:hAnsi="Times New Roman" w:cs="Times New Roman"/>
          <w:b/>
          <w:sz w:val="24"/>
          <w:szCs w:val="24"/>
          <w:lang w:val="sr-Cyrl-RS" w:eastAsia="hr-HR"/>
        </w:rPr>
      </w:pPr>
    </w:p>
    <w:p w14:paraId="24777DA4" w14:textId="171BAF9B" w:rsidR="00EA0FD7" w:rsidRPr="00AE5455" w:rsidRDefault="00EA0FD7" w:rsidP="00EA0FD7">
      <w:pPr>
        <w:spacing w:after="0" w:line="240" w:lineRule="auto"/>
        <w:rPr>
          <w:rFonts w:ascii="Times New Roman" w:eastAsia="Times New Roman" w:hAnsi="Times New Roman" w:cs="Times New Roman"/>
          <w:b/>
          <w:sz w:val="24"/>
          <w:szCs w:val="24"/>
          <w:lang w:val="sr-Cyrl-RS" w:eastAsia="hr-HR"/>
        </w:rPr>
      </w:pPr>
    </w:p>
    <w:p w14:paraId="7C847ACF"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0168602C"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lastRenderedPageBreak/>
        <w:t>ИЗВРШНИ САЖЕТАК</w:t>
      </w:r>
    </w:p>
    <w:p w14:paraId="1C3E2CF6"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184F9CF5" w14:textId="6B67C77E"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  У складу са Законом о буџету Брчко дистрикта Босне и Херцеговине („Службени гласник Брчко дистрикта Босне и Херцеговине“, број: 34/19) припрем</w:t>
      </w:r>
      <w:r w:rsidR="009E1E82">
        <w:rPr>
          <w:rFonts w:ascii="Times New Roman" w:eastAsia="Times New Roman" w:hAnsi="Times New Roman" w:cs="Times New Roman"/>
          <w:sz w:val="24"/>
          <w:szCs w:val="24"/>
          <w:lang w:val="bs-Cyrl-BA" w:eastAsia="hr-HR"/>
        </w:rPr>
        <w:t>љ</w:t>
      </w:r>
      <w:r w:rsidR="009E1E82">
        <w:rPr>
          <w:rFonts w:ascii="Times New Roman" w:eastAsia="Times New Roman" w:hAnsi="Times New Roman" w:cs="Times New Roman"/>
          <w:sz w:val="24"/>
          <w:szCs w:val="24"/>
          <w:lang w:val="sr-Cyrl-RS" w:eastAsia="hr-HR"/>
        </w:rPr>
        <w:t>ен</w:t>
      </w:r>
      <w:r w:rsidRPr="00EA0FD7">
        <w:rPr>
          <w:rFonts w:ascii="Times New Roman" w:eastAsia="Times New Roman" w:hAnsi="Times New Roman" w:cs="Times New Roman"/>
          <w:sz w:val="24"/>
          <w:szCs w:val="24"/>
          <w:lang w:val="sr-Cyrl-RS" w:eastAsia="hr-HR"/>
        </w:rPr>
        <w:t xml:space="preserve"> </w:t>
      </w:r>
      <w:r w:rsidR="009E1E82">
        <w:rPr>
          <w:rFonts w:ascii="Times New Roman" w:eastAsia="Times New Roman" w:hAnsi="Times New Roman" w:cs="Times New Roman"/>
          <w:sz w:val="24"/>
          <w:szCs w:val="24"/>
          <w:lang w:val="sr-Cyrl-RS" w:eastAsia="hr-HR"/>
        </w:rPr>
        <w:t>је</w:t>
      </w:r>
      <w:r w:rsidRPr="00EA0FD7">
        <w:rPr>
          <w:rFonts w:ascii="Times New Roman" w:eastAsia="Times New Roman" w:hAnsi="Times New Roman" w:cs="Times New Roman"/>
          <w:sz w:val="24"/>
          <w:szCs w:val="24"/>
          <w:lang w:val="sr-Cyrl-RS" w:eastAsia="hr-HR"/>
        </w:rPr>
        <w:t xml:space="preserve"> </w:t>
      </w:r>
      <w:r w:rsidR="009E1E82">
        <w:rPr>
          <w:rFonts w:ascii="Times New Roman" w:eastAsia="Times New Roman" w:hAnsi="Times New Roman" w:cs="Times New Roman"/>
          <w:sz w:val="24"/>
          <w:szCs w:val="24"/>
          <w:lang w:val="sr-Cyrl-RS" w:eastAsia="hr-HR"/>
        </w:rPr>
        <w:t>Документ</w:t>
      </w:r>
      <w:r w:rsidRPr="00EA0FD7">
        <w:rPr>
          <w:rFonts w:ascii="Times New Roman" w:eastAsia="Times New Roman" w:hAnsi="Times New Roman" w:cs="Times New Roman"/>
          <w:sz w:val="24"/>
          <w:szCs w:val="24"/>
          <w:lang w:val="sr-Cyrl-RS" w:eastAsia="hr-HR"/>
        </w:rPr>
        <w:t xml:space="preserve"> </w:t>
      </w:r>
      <w:r w:rsidR="009E1E82">
        <w:rPr>
          <w:rFonts w:ascii="Times New Roman" w:eastAsia="Times New Roman" w:hAnsi="Times New Roman" w:cs="Times New Roman"/>
          <w:sz w:val="24"/>
          <w:szCs w:val="24"/>
          <w:lang w:val="sr-Cyrl-RS" w:eastAsia="hr-HR"/>
        </w:rPr>
        <w:t>оквирног</w:t>
      </w:r>
      <w:r w:rsidRPr="00EA0FD7">
        <w:rPr>
          <w:rFonts w:ascii="Times New Roman" w:eastAsia="Times New Roman" w:hAnsi="Times New Roman" w:cs="Times New Roman"/>
          <w:sz w:val="24"/>
          <w:szCs w:val="24"/>
          <w:lang w:val="sr-Cyrl-RS" w:eastAsia="hr-HR"/>
        </w:rPr>
        <w:t xml:space="preserve"> </w:t>
      </w:r>
      <w:r w:rsidR="009E1E82">
        <w:rPr>
          <w:rFonts w:ascii="Times New Roman" w:eastAsia="Times New Roman" w:hAnsi="Times New Roman" w:cs="Times New Roman"/>
          <w:sz w:val="24"/>
          <w:szCs w:val="24"/>
          <w:lang w:val="sr-Cyrl-RS" w:eastAsia="hr-HR"/>
        </w:rPr>
        <w:t>буџета</w:t>
      </w:r>
      <w:r w:rsidRPr="00EA0FD7">
        <w:rPr>
          <w:rFonts w:ascii="Times New Roman" w:eastAsia="Times New Roman" w:hAnsi="Times New Roman" w:cs="Times New Roman"/>
          <w:sz w:val="24"/>
          <w:szCs w:val="24"/>
          <w:lang w:val="sr-Cyrl-RS" w:eastAsia="hr-HR"/>
        </w:rPr>
        <w:t xml:space="preserve"> 2023–2025. </w:t>
      </w:r>
      <w:r w:rsidR="009E1E82">
        <w:rPr>
          <w:rFonts w:ascii="Times New Roman" w:eastAsia="Times New Roman" w:hAnsi="Times New Roman" w:cs="Times New Roman"/>
          <w:sz w:val="24"/>
          <w:szCs w:val="24"/>
          <w:lang w:val="sr-Cyrl-RS" w:eastAsia="hr-HR"/>
        </w:rPr>
        <w:t>године</w:t>
      </w:r>
      <w:r w:rsidRPr="00EA0FD7">
        <w:rPr>
          <w:rFonts w:ascii="Times New Roman" w:eastAsia="Times New Roman" w:hAnsi="Times New Roman" w:cs="Times New Roman"/>
          <w:sz w:val="24"/>
          <w:szCs w:val="24"/>
          <w:lang w:val="sr-Cyrl-RS" w:eastAsia="hr-HR"/>
        </w:rPr>
        <w:t xml:space="preserve">. </w:t>
      </w:r>
    </w:p>
    <w:p w14:paraId="41451BD6"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349C51D" w14:textId="5C5CA31A" w:rsidR="00EA0FD7" w:rsidRPr="00EA0FD7" w:rsidRDefault="009E1E82" w:rsidP="00EA0FD7">
      <w:pPr>
        <w:spacing w:after="0" w:line="240" w:lineRule="auto"/>
        <w:jc w:val="both"/>
        <w:rPr>
          <w:rFonts w:ascii="Times New Roman" w:eastAsia="Times New Roman" w:hAnsi="Times New Roman" w:cs="Times New Roman"/>
          <w:sz w:val="24"/>
          <w:szCs w:val="24"/>
          <w:lang w:val="sr-Cyrl-RS" w:eastAsia="hr-HR"/>
        </w:rPr>
      </w:pPr>
      <w:r>
        <w:rPr>
          <w:rFonts w:ascii="Times New Roman" w:eastAsia="Times New Roman" w:hAnsi="Times New Roman" w:cs="Times New Roman"/>
          <w:sz w:val="24"/>
          <w:szCs w:val="24"/>
          <w:lang w:val="sr-Cyrl-RS" w:eastAsia="hr-HR"/>
        </w:rPr>
        <w:t>Документ</w:t>
      </w:r>
      <w:r w:rsidR="00EA0FD7" w:rsidRPr="00EA0FD7">
        <w:rPr>
          <w:rFonts w:ascii="Times New Roman" w:eastAsia="Times New Roman" w:hAnsi="Times New Roman" w:cs="Times New Roman"/>
          <w:sz w:val="24"/>
          <w:szCs w:val="24"/>
          <w:lang w:val="sr-Cyrl-RS" w:eastAsia="hr-HR"/>
        </w:rPr>
        <w:t xml:space="preserve"> </w:t>
      </w:r>
      <w:r>
        <w:rPr>
          <w:rFonts w:ascii="Times New Roman" w:eastAsia="Times New Roman" w:hAnsi="Times New Roman" w:cs="Times New Roman"/>
          <w:sz w:val="24"/>
          <w:szCs w:val="24"/>
          <w:lang w:val="sr-Cyrl-RS" w:eastAsia="hr-HR"/>
        </w:rPr>
        <w:t>ок</w:t>
      </w:r>
      <w:r w:rsidR="00EA0FD7" w:rsidRPr="00EA0FD7">
        <w:rPr>
          <w:rFonts w:ascii="Times New Roman" w:eastAsia="Times New Roman" w:hAnsi="Times New Roman" w:cs="Times New Roman"/>
          <w:sz w:val="24"/>
          <w:szCs w:val="24"/>
          <w:lang w:val="sr-Cyrl-RS" w:eastAsia="hr-HR"/>
        </w:rPr>
        <w:t xml:space="preserve">вирног буџета за период 2023–2025. године представља прелиминарни нацрт буџета Брчко дистрикта БиХ за фискалну 2023. годину, заједно са оквирним плановима за наредне двије, односно 2024. и 2025. годину. </w:t>
      </w:r>
    </w:p>
    <w:p w14:paraId="101B9599" w14:textId="66EBA5B5"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Овај документ садржи пројекције прихода и расхода за буџет Брчко дистрикта БиХ, као и консолидоване пројекције јавних прихода и јавне потрошње буџета Брчко дистрикта БиХ и финансијских планова ванбуџетских фондова (Фонд здравственог осигурања Брчко дистрикта БиХ и Завод за запошљавање Брчко дистрикта БиХ) и ванбуџетских корисника који су обвезници примјене буџетског рачуноводства (Развојно-гарантни фонд Брчко дистрикта БиХ, Завод за планирање, пројектовање и развој Брчко дистрикта БиХ и Радио</w:t>
      </w:r>
      <w:r w:rsidR="009E1E82">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новинска и издавачка установа „Радио Брчко“ Брчко дистрикт БиХ).</w:t>
      </w:r>
    </w:p>
    <w:p w14:paraId="0D46BA92"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D70180D" w14:textId="5C24F6BA"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Дирекција за финансије Брчко дистрикта БиХ је припремила Документ оквирног буџета уз помоћ  података добијених од државне Дирекције за економско планирање (ДЕП) и Одјељења за макроекономску анализу при Управном одбору Управе за индиректно опорезивање (ОМА), података Агенције за статистику БиХ </w:t>
      </w:r>
      <w:r w:rsidR="009E1E82">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подружница Брчко, као и података добијених од буџетских корисника Владе Брчко дистрикта БиХ, ванбуџетских фондова Брчко дистрикта БиХ и ванбуџетских корисника који су обвезници примјене буџетског рачуноводства.</w:t>
      </w:r>
    </w:p>
    <w:p w14:paraId="0057A097"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CB869B1"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Документ оквирног буџета Брчко дистрикта БиХ 2023–2025. године садржи:</w:t>
      </w:r>
    </w:p>
    <w:p w14:paraId="09BB84EC"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79E6F685"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Поглавље 1: Увод у Документ оквирног буџета 2023–2025. године</w:t>
      </w:r>
    </w:p>
    <w:p w14:paraId="2C8C53A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Поглавље 2: Средњорочне макроекономске пројекције</w:t>
      </w:r>
    </w:p>
    <w:p w14:paraId="1E716FDB"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Поглавље 3: Средњорочна фискална политика и пројекције прихода</w:t>
      </w:r>
    </w:p>
    <w:p w14:paraId="00DCDDA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Поглавље 4: Проблематика потрошње у јавном сектору </w:t>
      </w:r>
    </w:p>
    <w:p w14:paraId="3430393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Поглавље 5: Буџетски приоритети за период 2023–2025. године </w:t>
      </w:r>
    </w:p>
    <w:p w14:paraId="3910D6BE"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560B067C"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0004A1E9" w14:textId="77777777" w:rsidR="00EA0FD7" w:rsidRPr="00EA0FD7" w:rsidRDefault="00EA0FD7" w:rsidP="00EA0FD7">
      <w:pPr>
        <w:spacing w:after="0" w:line="240" w:lineRule="auto"/>
        <w:rPr>
          <w:rFonts w:ascii="Times New Roman" w:eastAsia="Times New Roman" w:hAnsi="Times New Roman" w:cs="Times New Roman"/>
          <w:b/>
          <w:i/>
          <w:sz w:val="24"/>
          <w:szCs w:val="24"/>
          <w:lang w:val="sr-Cyrl-RS" w:eastAsia="hr-HR"/>
        </w:rPr>
      </w:pPr>
      <w:r w:rsidRPr="00EA0FD7">
        <w:rPr>
          <w:rFonts w:ascii="Times New Roman" w:eastAsia="Times New Roman" w:hAnsi="Times New Roman" w:cs="Times New Roman"/>
          <w:b/>
          <w:i/>
          <w:sz w:val="24"/>
          <w:szCs w:val="24"/>
          <w:lang w:val="sr-Cyrl-RS" w:eastAsia="hr-HR"/>
        </w:rPr>
        <w:t>Увод у Документ оквирног буџета 2023–2025. године</w:t>
      </w:r>
    </w:p>
    <w:p w14:paraId="4CC41979"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1A1208C8" w14:textId="77777777" w:rsidR="00EA0FD7" w:rsidRPr="00EA0FD7" w:rsidRDefault="00EA0FD7" w:rsidP="00EA0FD7">
      <w:pPr>
        <w:spacing w:after="0" w:line="240" w:lineRule="auto"/>
        <w:ind w:firstLine="720"/>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Документ оквирног буџета 2023–2025. године је комплексан и свеобухватан документ средњорочног планирања у који су укључене анализе и пројекције буџета Брчко дистрикта БиХ и финансијских планова ванбуџетских фондова и ванбуџетских корисника који су обвезници примјене буџетског рачуноводства.</w:t>
      </w:r>
    </w:p>
    <w:p w14:paraId="40E7AF7B"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С обзиром да Документ оквирног буџета настоји да квалитетније повеже расподјелу ресурса са приоритетним политикама Владе, овај документ представља основу за припрему буџета Брчко дистрикта БиХ.</w:t>
      </w:r>
    </w:p>
    <w:p w14:paraId="1343DED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Годишњи буџет је један од кључних инструмената Владе Брчко дистрикта БиХ и омогућава провођење циљева Владиних политика кроз програме и конкретне активности. Кључни циљ средњорочног буџетског планирања, односно планирања Документа оквирног буџета је да политике Владе Брчко дистрикта БиХ усредсреди на  макроекономске, фискалне политике и политике расхода. У складу с тим, Документ оквирног буџета 2023–2025. године представља преднацрт буџета Брчко дистрикта БиХ за 2023. годину и пројекције за наредне двије године, односно приказује горње границе расхода (плафоне) за 2023. годину за сваког буџетског корисника.</w:t>
      </w:r>
    </w:p>
    <w:p w14:paraId="2DC7EFAA"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F727556"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Циљ Документа оквирног буџета остварује се првенствено кроз:</w:t>
      </w:r>
    </w:p>
    <w:p w14:paraId="350C17F2"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BFF7622" w14:textId="77777777" w:rsidR="00EA0FD7" w:rsidRPr="00EA0FD7" w:rsidRDefault="00EA0FD7" w:rsidP="00EA0FD7">
      <w:pPr>
        <w:numPr>
          <w:ilvl w:val="0"/>
          <w:numId w:val="4"/>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рационалну јавну потрошњу,</w:t>
      </w:r>
    </w:p>
    <w:p w14:paraId="0263BA51" w14:textId="77777777" w:rsidR="00EA0FD7" w:rsidRPr="00EA0FD7" w:rsidRDefault="00EA0FD7" w:rsidP="00EA0FD7">
      <w:pPr>
        <w:numPr>
          <w:ilvl w:val="0"/>
          <w:numId w:val="4"/>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успјешније одређивање приоритета при алокацији јавних ресурса и</w:t>
      </w:r>
    </w:p>
    <w:p w14:paraId="46EF5F3C" w14:textId="2609C40D" w:rsidR="00EA0FD7" w:rsidRPr="00EA0FD7" w:rsidRDefault="00EA0FD7" w:rsidP="00EA0FD7">
      <w:pPr>
        <w:numPr>
          <w:ilvl w:val="0"/>
          <w:numId w:val="4"/>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lastRenderedPageBreak/>
        <w:t>ефикасније кориш</w:t>
      </w:r>
      <w:r w:rsidRPr="00AE5455">
        <w:rPr>
          <w:rFonts w:ascii="Times New Roman" w:eastAsia="Times New Roman" w:hAnsi="Times New Roman" w:cs="Times New Roman"/>
          <w:sz w:val="24"/>
          <w:szCs w:val="24"/>
          <w:lang w:val="sr-Cyrl-RS" w:eastAsia="hr-HR"/>
        </w:rPr>
        <w:t>ћ</w:t>
      </w:r>
      <w:r w:rsidRPr="00EA0FD7">
        <w:rPr>
          <w:rFonts w:ascii="Times New Roman" w:eastAsia="Times New Roman" w:hAnsi="Times New Roman" w:cs="Times New Roman"/>
          <w:sz w:val="24"/>
          <w:szCs w:val="24"/>
          <w:lang w:val="sr-Cyrl-RS" w:eastAsia="hr-HR"/>
        </w:rPr>
        <w:t>ење расположивих ресурса.</w:t>
      </w:r>
    </w:p>
    <w:p w14:paraId="68256846"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Горње границе расхода ће бити послане свим буџетским корисницима Брчко дистрикта БиХ у оквиру Инструкције 2 за израду буџета, а од којих се очекује да припреме своје коначне буџетске захтјеве у складу с тим горњим границама расхода. </w:t>
      </w:r>
    </w:p>
    <w:p w14:paraId="7E1E3059"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731CE40"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7CC25A44" w14:textId="77777777" w:rsidR="00EA0FD7" w:rsidRPr="00EA0FD7" w:rsidRDefault="00EA0FD7" w:rsidP="00EA0FD7">
      <w:pPr>
        <w:spacing w:after="0" w:line="240" w:lineRule="auto"/>
        <w:rPr>
          <w:rFonts w:ascii="Times New Roman" w:eastAsia="Times New Roman" w:hAnsi="Times New Roman" w:cs="Times New Roman"/>
          <w:b/>
          <w:i/>
          <w:sz w:val="24"/>
          <w:szCs w:val="24"/>
          <w:lang w:val="sr-Cyrl-RS" w:eastAsia="hr-HR"/>
        </w:rPr>
      </w:pPr>
      <w:r w:rsidRPr="00EA0FD7">
        <w:rPr>
          <w:rFonts w:ascii="Times New Roman" w:eastAsia="Times New Roman" w:hAnsi="Times New Roman" w:cs="Times New Roman"/>
          <w:b/>
          <w:i/>
          <w:sz w:val="24"/>
          <w:szCs w:val="24"/>
          <w:lang w:val="sr-Cyrl-RS" w:eastAsia="hr-HR"/>
        </w:rPr>
        <w:t>Средњорочне макроекономске пројекције</w:t>
      </w:r>
    </w:p>
    <w:p w14:paraId="470DEDEB" w14:textId="77777777" w:rsidR="00EA0FD7" w:rsidRPr="00EA0FD7" w:rsidRDefault="00EA0FD7" w:rsidP="00EA0FD7">
      <w:pPr>
        <w:spacing w:after="0" w:line="240" w:lineRule="auto"/>
        <w:rPr>
          <w:rFonts w:ascii="Times New Roman" w:eastAsia="Times New Roman" w:hAnsi="Times New Roman" w:cs="Times New Roman"/>
          <w:b/>
          <w:i/>
          <w:sz w:val="24"/>
          <w:szCs w:val="24"/>
          <w:lang w:val="sr-Cyrl-RS" w:eastAsia="hr-HR"/>
        </w:rPr>
      </w:pPr>
    </w:p>
    <w:p w14:paraId="7C6D3D17" w14:textId="77777777" w:rsidR="00EA0FD7" w:rsidRPr="00EA0FD7" w:rsidRDefault="00EA0FD7" w:rsidP="00EA0FD7">
      <w:pPr>
        <w:spacing w:after="0" w:line="240" w:lineRule="auto"/>
        <w:ind w:firstLine="720"/>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Средњорочне макроекономске пројекције обухватају анализу макроекономских кретања у Босни и Херцеговини које је израдила Дирекција за економско планирање (ДЕП) и макроекономске пројекције за  Брчко дистрикт БиХ које је израдила Дирекција за финансије  Брчко дистрикта БиХ за период 2023–2025. године, а полазећи од пројекције ДЕП-а и података добијених од Агенције за статистику БиХ – подружница Брчко.</w:t>
      </w:r>
    </w:p>
    <w:p w14:paraId="05CD8AB4"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94ECBDF" w14:textId="77777777" w:rsidR="00EA0FD7" w:rsidRPr="00EA0FD7" w:rsidRDefault="00EA0FD7" w:rsidP="00EA0FD7">
      <w:pPr>
        <w:spacing w:after="0" w:line="240" w:lineRule="auto"/>
        <w:jc w:val="both"/>
        <w:rPr>
          <w:rFonts w:ascii="Times New Roman" w:eastAsia="Times New Roman" w:hAnsi="Times New Roman" w:cs="Times New Roman"/>
          <w:i/>
          <w:sz w:val="24"/>
          <w:szCs w:val="24"/>
          <w:lang w:val="sr-Cyrl-RS" w:eastAsia="hr-HR"/>
        </w:rPr>
      </w:pPr>
    </w:p>
    <w:p w14:paraId="1EEFF17F" w14:textId="77777777" w:rsidR="00EA0FD7" w:rsidRPr="00EA0FD7" w:rsidRDefault="00EA0FD7" w:rsidP="00EA0FD7">
      <w:pPr>
        <w:spacing w:after="0" w:line="240" w:lineRule="auto"/>
        <w:rPr>
          <w:rFonts w:ascii="Times New Roman" w:eastAsia="Times New Roman" w:hAnsi="Times New Roman" w:cs="Times New Roman"/>
          <w:b/>
          <w:i/>
          <w:sz w:val="24"/>
          <w:szCs w:val="24"/>
          <w:lang w:val="sr-Cyrl-RS" w:eastAsia="hr-HR"/>
        </w:rPr>
      </w:pPr>
      <w:r w:rsidRPr="00EA0FD7">
        <w:rPr>
          <w:rFonts w:ascii="Times New Roman" w:eastAsia="Times New Roman" w:hAnsi="Times New Roman" w:cs="Times New Roman"/>
          <w:b/>
          <w:i/>
          <w:sz w:val="24"/>
          <w:szCs w:val="24"/>
          <w:lang w:val="sr-Cyrl-RS" w:eastAsia="hr-HR"/>
        </w:rPr>
        <w:t>Средњорочна  фискална политика и пројекције прихода</w:t>
      </w:r>
    </w:p>
    <w:p w14:paraId="7610538D"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6B622DD3" w14:textId="77777777" w:rsidR="00EA0FD7" w:rsidRPr="00EA0FD7" w:rsidRDefault="00EA0FD7" w:rsidP="00EA0FD7">
      <w:pPr>
        <w:spacing w:after="0" w:line="240" w:lineRule="auto"/>
        <w:ind w:firstLine="720"/>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Ово поглавље садржи пројекције прихода у средњорочном периоду, до којих се дошло на основу политика прихода и пројицираних макроекономских показатеља.</w:t>
      </w:r>
    </w:p>
    <w:p w14:paraId="3084DD2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Процијењено је да ће укупни расположиви приходи и финансирање у буџету Брчко дистрикта БиХ износити 278.083.660 КМ у 2023. години, 285.754.983 КМ у 2024. години и 293.984.963 КМ у 2025. години.</w:t>
      </w:r>
    </w:p>
    <w:p w14:paraId="74260C5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Структуру прихода Брчко дистрикта БиХ чине порески и непорески приходи, те текуће донације и трансфери.</w:t>
      </w:r>
    </w:p>
    <w:p w14:paraId="72B4759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0110CB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Порески приходи представљају приходе од директних пореза и приходе од индиректних пореза. </w:t>
      </w:r>
    </w:p>
    <w:p w14:paraId="79225625"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54FBF14" w14:textId="707659A4"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На основу пројекције прихода од индиректних пореза достављене од стране ОМА (Одјељење за макроекономску анализу при УИО), те на основу остварења из 2021. године, као и остварења из првог тромјесечја 2022. године, планира се да ће приходи од индиректних пореза, који припадају Влади  Брчко дистрикта БиХ  износити 227.560.000 КМ у 2023. години, 235.110.000 КМ у 2024. години и 243.190.000 КМ у 2025. години.</w:t>
      </w:r>
    </w:p>
    <w:p w14:paraId="4F6242FF" w14:textId="4AF6ED1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Што се тиче директних пореза (Порези на добит појединаца, Порез на добит предузећа, Порези на плате, Порез на имовину, Порез на промет посебних услуга и Порези на употребу добара или на одобрења за кориш</w:t>
      </w:r>
      <w:r w:rsidRPr="00AE5455">
        <w:rPr>
          <w:rFonts w:ascii="Times New Roman" w:eastAsia="Times New Roman" w:hAnsi="Times New Roman" w:cs="Times New Roman"/>
          <w:sz w:val="24"/>
          <w:szCs w:val="24"/>
          <w:lang w:val="sr-Cyrl-RS" w:eastAsia="hr-HR"/>
        </w:rPr>
        <w:t>ћ</w:t>
      </w:r>
      <w:r w:rsidRPr="00EA0FD7">
        <w:rPr>
          <w:rFonts w:ascii="Times New Roman" w:eastAsia="Times New Roman" w:hAnsi="Times New Roman" w:cs="Times New Roman"/>
          <w:sz w:val="24"/>
          <w:szCs w:val="24"/>
          <w:lang w:val="sr-Cyrl-RS" w:eastAsia="hr-HR"/>
        </w:rPr>
        <w:t>ење добара или за извођење активности) процијењено је да ће директни порези у 2023, 2024. и 2025</w:t>
      </w:r>
      <w:r w:rsidRP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години  износити по 33.132.000 КМ.</w:t>
      </w:r>
    </w:p>
    <w:p w14:paraId="07B11D96" w14:textId="548DB658"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Структуру непор</w:t>
      </w:r>
      <w:r w:rsidRPr="00AE5455">
        <w:rPr>
          <w:rFonts w:ascii="Times New Roman" w:eastAsia="Times New Roman" w:hAnsi="Times New Roman" w:cs="Times New Roman"/>
          <w:sz w:val="24"/>
          <w:szCs w:val="24"/>
          <w:lang w:val="sr-Cyrl-RS" w:eastAsia="hr-HR"/>
        </w:rPr>
        <w:t>еск</w:t>
      </w:r>
      <w:r w:rsidRPr="00EA0FD7">
        <w:rPr>
          <w:rFonts w:ascii="Times New Roman" w:eastAsia="Times New Roman" w:hAnsi="Times New Roman" w:cs="Times New Roman"/>
          <w:sz w:val="24"/>
          <w:szCs w:val="24"/>
          <w:lang w:val="sr-Cyrl-RS" w:eastAsia="hr-HR"/>
        </w:rPr>
        <w:t>их прихода у Брчко дистрикту БиХ чине: приходи од финансијске и нефинансијске имовине, остали приходи од имовине, приходи од приватизације станова и пословних простора, административне таксе, судске таксе и судске накнаде, комуналне таксе, посебне накнаде и таксе, остале буџетске накнаде и таксе, приходи од пружања јавних услуга и новчане казне. Процјењује се да ће не</w:t>
      </w:r>
      <w:r w:rsidRPr="00AE5455">
        <w:rPr>
          <w:rFonts w:ascii="Times New Roman" w:eastAsia="Times New Roman" w:hAnsi="Times New Roman" w:cs="Times New Roman"/>
          <w:sz w:val="24"/>
          <w:szCs w:val="24"/>
          <w:lang w:val="sr-Cyrl-RS" w:eastAsia="hr-HR"/>
        </w:rPr>
        <w:t>пореск</w:t>
      </w:r>
      <w:r w:rsidRPr="00EA0FD7">
        <w:rPr>
          <w:rFonts w:ascii="Times New Roman" w:eastAsia="Times New Roman" w:hAnsi="Times New Roman" w:cs="Times New Roman"/>
          <w:sz w:val="24"/>
          <w:szCs w:val="24"/>
          <w:lang w:val="sr-Cyrl-RS" w:eastAsia="hr-HR"/>
        </w:rPr>
        <w:t>и приходи у 2023. години износити 10.961.160 КМ, у 2024. години 11.142.483 КМ и у 2025. години 11.362.463</w:t>
      </w:r>
      <w:r w:rsidRPr="00AE5455">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 xml:space="preserve">КМ. </w:t>
      </w:r>
    </w:p>
    <w:p w14:paraId="30C8BB04" w14:textId="50630A98"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структури прихода, средства текућих донација и трансфера планирају се у висини од 10.500 КМ у периоду 2023–2025. године.</w:t>
      </w:r>
    </w:p>
    <w:p w14:paraId="1FBB52C9"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5DBC297" w14:textId="1DD27F49"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пројекцијама за 2023–2025. годину је планирано и финансирање из примитака од позајмљивања јавним предузећима у износу од 6.420.000 КМ у 2023. години, 6.360.000 КМ у 2024. години и у 2025. години 6.290.000 КМ.</w:t>
      </w:r>
    </w:p>
    <w:p w14:paraId="5AC4D200"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C949342" w14:textId="69827B19" w:rsidR="00EA0FD7" w:rsidRPr="00EA0FD7" w:rsidRDefault="00EA0FD7" w:rsidP="00EA0FD7">
      <w:pPr>
        <w:spacing w:after="0" w:line="240" w:lineRule="auto"/>
        <w:rPr>
          <w:rFonts w:ascii="Times New Roman" w:eastAsia="Times New Roman" w:hAnsi="Times New Roman" w:cs="Times New Roman"/>
          <w:b/>
          <w:i/>
          <w:sz w:val="24"/>
          <w:szCs w:val="24"/>
          <w:lang w:val="sr-Cyrl-RS" w:eastAsia="hr-HR"/>
        </w:rPr>
      </w:pPr>
      <w:r w:rsidRPr="00EA0FD7">
        <w:rPr>
          <w:rFonts w:ascii="Times New Roman" w:eastAsia="Times New Roman" w:hAnsi="Times New Roman" w:cs="Times New Roman"/>
          <w:b/>
          <w:i/>
          <w:sz w:val="24"/>
          <w:szCs w:val="24"/>
          <w:lang w:val="sr-Cyrl-RS" w:eastAsia="hr-HR"/>
        </w:rPr>
        <w:t>Проблематика потрошње у јавном сектору</w:t>
      </w:r>
    </w:p>
    <w:p w14:paraId="0AE20533"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1BEE2E2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Овај дио Документа оквирног буџета представља анализу трошкова бруто плата и доприноса, накнада трошкова запослених, расхода за материјал, робе, ситан инвентар и услуге, текућих и </w:t>
      </w:r>
      <w:r w:rsidRPr="00EA0FD7">
        <w:rPr>
          <w:rFonts w:ascii="Times New Roman" w:eastAsia="Times New Roman" w:hAnsi="Times New Roman" w:cs="Times New Roman"/>
          <w:sz w:val="24"/>
          <w:szCs w:val="24"/>
          <w:lang w:val="sr-Cyrl-RS" w:eastAsia="hr-HR"/>
        </w:rPr>
        <w:lastRenderedPageBreak/>
        <w:t>капиталних трансфера, донација и субвенција, издатака за набавку сталних средстава, отплате дуга, судских пресуда и рјешења, судских и вансудских поравнања и средстава резерви.</w:t>
      </w:r>
    </w:p>
    <w:p w14:paraId="1B6E341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Укупна  очекивана  потрошња  на бруто плате и доприносе у 2023. години  износи 94.934.128 КМ. Учешће плата у укупним расходима за 2023. годину износи 34,14%, за 2024. годину  33,26% и 32,40% у 2025. години.</w:t>
      </w:r>
    </w:p>
    <w:p w14:paraId="6DD2061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D416E9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Очекује се да ће у 2023. години потрошња на накнаде трошкова запослених износити 6.180.566 КМ, у 2024. години  6.189.031 КМ и у 2025. години 6.174.978 КМ.</w:t>
      </w:r>
    </w:p>
    <w:p w14:paraId="423D3C0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Учешће накнада трошкова запослених у укупно планираном буџету за 2023. годину чини 2,22%, за 2024. годину 2,17% и за 2025. годину 2,10%. </w:t>
      </w:r>
    </w:p>
    <w:p w14:paraId="42358F5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BC90DE5"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Процјењује се да ће буџетска потрошња на расходе за материјал, робе, ситан инвентар и услуге, у 2023. години износити 38.287.685 КМ. Процентуално учешће расхода за материјал, робе, ситан инвентар и услуге,  за 2023. годину ће износити 13,77%, у 2024. години 14,41%, а у 2025. години 13,90% од укупно планираног буџета.</w:t>
      </w:r>
    </w:p>
    <w:p w14:paraId="0B26C56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96F2D78" w14:textId="111A1278"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2023. години, текући и капитални трансфери, донације и субвенције планиране су у висини од  90.726.868  КМ и чине их: текући трансфери другим и истим нивоима власти, текуће донације појединцима, текуће донације непрофитним организацијама, субвенције јавним предузећима, субвенције приватним предузећима и предузетницима, капитални трансфери другим нивоима власти,</w:t>
      </w:r>
      <w:r w:rsidR="009E1E82">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 xml:space="preserve">фондовима и јавним установама, капиталне донације појединцима, непрофитним организацијама, предузећима и јавним предузећима. </w:t>
      </w:r>
    </w:p>
    <w:p w14:paraId="693051D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Учешће текућих и капиталних трансфера, донација и субвенција у планираним средствима у 2023. години је  32,63%, у 2024. години 33,00% и у  2025. години  33,47%. </w:t>
      </w:r>
    </w:p>
    <w:p w14:paraId="7DC1CCD2"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EDB9B50"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У наредном трогодишњем периоду кретање издатака за набавку сталних средстава (капиталног буџета) по годинама износи: </w:t>
      </w:r>
    </w:p>
    <w:p w14:paraId="19E20BD4"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2023. години 31.757.925 КМ или 11,42% од укупно планираног буџета, у 2024. години  31.148.425 КМ  или 10,90% од укупно планираног буџета и у 2025. години 36.827.425 КМ или 12,53% од укупно планираног буџета.</w:t>
      </w:r>
    </w:p>
    <w:p w14:paraId="0FEC8D99"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100E84C"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Планирана средства за отплату дуга у 2023. години износе 11.133.140 или 4,00%, у 2024. години 12.845.951 КМ или 4,50% и у 2025. години 11.440.829 КМ или 3,89% од укупно планираног буџета. </w:t>
      </w:r>
    </w:p>
    <w:p w14:paraId="1ADC6A8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4F06CE2" w14:textId="0CD7FEB4"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Средства за судске пресуде и рјешења, судска и вансудска поравнања су у 2023, 2024</w:t>
      </w:r>
      <w:r w:rsidRP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и 2025. години су  планирана у износу од 1.233.705 КМ.</w:t>
      </w:r>
    </w:p>
    <w:p w14:paraId="668DC7EB"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Процентуално учешће  у 2023. години  износи 0,44%, у 2024. години 0,43% и у 2025. години 0,42% од укупно планираног буџета.</w:t>
      </w:r>
    </w:p>
    <w:p w14:paraId="683B723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B98FF5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789A81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Средства резерве су планирана у износу од 3.829.643 КМ у 2023. години, 3.818.383 КМ у  2024. години  и 3.807.680 КМ у 2025. години.</w:t>
      </w:r>
    </w:p>
    <w:p w14:paraId="0703611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Учешће средстава резерве у укупном  планираном буџету за 2023. годину чини 1,38%, за 2024. годину 1,34% и за 2025. годину 1,30%. </w:t>
      </w:r>
    </w:p>
    <w:p w14:paraId="27B163B0"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7DFC9E82" w14:textId="77777777" w:rsidR="00EA0FD7" w:rsidRPr="00EA0FD7" w:rsidRDefault="00EA0FD7" w:rsidP="00EA0FD7">
      <w:pPr>
        <w:spacing w:after="0" w:line="240" w:lineRule="auto"/>
        <w:jc w:val="both"/>
        <w:rPr>
          <w:rFonts w:ascii="Times New Roman" w:eastAsia="Times New Roman" w:hAnsi="Times New Roman" w:cs="Times New Roman"/>
          <w:b/>
          <w:i/>
          <w:sz w:val="24"/>
          <w:szCs w:val="24"/>
          <w:lang w:val="sr-Cyrl-RS" w:eastAsia="hr-HR"/>
        </w:rPr>
      </w:pPr>
      <w:r w:rsidRPr="00EA0FD7">
        <w:rPr>
          <w:rFonts w:ascii="Times New Roman" w:eastAsia="Times New Roman" w:hAnsi="Times New Roman" w:cs="Times New Roman"/>
          <w:b/>
          <w:i/>
          <w:sz w:val="24"/>
          <w:szCs w:val="24"/>
          <w:lang w:val="sr-Cyrl-RS" w:eastAsia="hr-HR"/>
        </w:rPr>
        <w:t>Буџетски приоритети 2023–2025. године</w:t>
      </w:r>
    </w:p>
    <w:p w14:paraId="5F59CB79" w14:textId="77777777" w:rsidR="00EA0FD7" w:rsidRPr="00EA0FD7" w:rsidRDefault="00EA0FD7" w:rsidP="00EA0FD7">
      <w:pPr>
        <w:spacing w:after="0" w:line="240" w:lineRule="auto"/>
        <w:jc w:val="both"/>
        <w:rPr>
          <w:rFonts w:ascii="Times New Roman" w:eastAsia="Times New Roman" w:hAnsi="Times New Roman" w:cs="Times New Roman"/>
          <w:b/>
          <w:i/>
          <w:sz w:val="24"/>
          <w:szCs w:val="24"/>
          <w:lang w:val="sr-Cyrl-RS" w:eastAsia="hr-HR"/>
        </w:rPr>
      </w:pPr>
    </w:p>
    <w:p w14:paraId="12DFD0A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У процесу израде Документа оквирног буџета, у дијелу који се односи на приоритете потрошње, буџетски корисници су имали прилику да кроз достављене информације (Табеле прегледа приоритета) учествују у његовој изради. </w:t>
      </w:r>
    </w:p>
    <w:p w14:paraId="2F555005" w14:textId="77777777" w:rsidR="00EA0FD7" w:rsidRPr="00EA0FD7" w:rsidRDefault="00EA0FD7" w:rsidP="00EA0FD7">
      <w:pPr>
        <w:spacing w:after="0" w:line="240" w:lineRule="auto"/>
        <w:jc w:val="both"/>
        <w:rPr>
          <w:rFonts w:ascii="Times New Roman" w:eastAsia="Times New Roman" w:hAnsi="Times New Roman" w:cs="Times New Roman"/>
          <w:b/>
          <w:i/>
          <w:sz w:val="24"/>
          <w:szCs w:val="24"/>
          <w:lang w:val="sr-Cyrl-RS" w:eastAsia="hr-HR"/>
        </w:rPr>
      </w:pPr>
    </w:p>
    <w:p w14:paraId="76EB9B1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На основу достављених информација, Дирекција за финансије је сачинила преглед захтјева, које су идентификовали буџетски корисници, а везани су за политике Владе Брчко дистрикта </w:t>
      </w:r>
      <w:r w:rsidRPr="00EA0FD7">
        <w:rPr>
          <w:rFonts w:ascii="Times New Roman" w:eastAsia="Times New Roman" w:hAnsi="Times New Roman" w:cs="Times New Roman"/>
          <w:sz w:val="24"/>
          <w:szCs w:val="24"/>
          <w:lang w:val="sr-Cyrl-RS" w:eastAsia="hr-HR"/>
        </w:rPr>
        <w:lastRenderedPageBreak/>
        <w:t>БиХ и приоритете развоја. Достављене информације су биле основ за израду горњих граница расхода за период 2023–2025. године.</w:t>
      </w:r>
    </w:p>
    <w:p w14:paraId="47AABCCB"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7C198AF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Горња граница расхода по буџетским корисницима за период 2023–2025. године израђена је уз уважавање постојећих политика Владе. </w:t>
      </w:r>
    </w:p>
    <w:p w14:paraId="7AF6048B"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B19336B" w14:textId="69110DC5"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Горње границе расхода су полазна основа и оквир унутар којег буџетски корисници могу сачинити своје буџетске захтјеве, који ће се користити при изради Буџета Брчко дистрикта БиХ за 2023. годину. Наведене горње границе расхода могу бити измијењене током самог процеса израде буџета због могућих одступања од претпоставки и промјене политика кориш</w:t>
      </w:r>
      <w:r w:rsidRPr="00AE5455">
        <w:rPr>
          <w:rFonts w:ascii="Times New Roman" w:eastAsia="Times New Roman" w:hAnsi="Times New Roman" w:cs="Times New Roman"/>
          <w:sz w:val="24"/>
          <w:szCs w:val="24"/>
          <w:lang w:val="sr-Cyrl-RS" w:eastAsia="hr-HR"/>
        </w:rPr>
        <w:t>ћ</w:t>
      </w:r>
      <w:r w:rsidRPr="00EA0FD7">
        <w:rPr>
          <w:rFonts w:ascii="Times New Roman" w:eastAsia="Times New Roman" w:hAnsi="Times New Roman" w:cs="Times New Roman"/>
          <w:sz w:val="24"/>
          <w:szCs w:val="24"/>
          <w:lang w:val="sr-Cyrl-RS" w:eastAsia="hr-HR"/>
        </w:rPr>
        <w:t>ених при изради ДОБ-а.</w:t>
      </w:r>
    </w:p>
    <w:p w14:paraId="20D67181" w14:textId="77777777" w:rsidR="00EA0FD7" w:rsidRPr="00EA0FD7" w:rsidRDefault="00EA0FD7" w:rsidP="00EA0FD7">
      <w:pPr>
        <w:spacing w:after="0" w:line="240" w:lineRule="auto"/>
        <w:jc w:val="both"/>
        <w:rPr>
          <w:rFonts w:ascii="Times New Roman" w:eastAsia="Times New Roman" w:hAnsi="Times New Roman" w:cs="Times New Roman"/>
          <w:sz w:val="24"/>
          <w:szCs w:val="24"/>
          <w:highlight w:val="yellow"/>
          <w:lang w:val="sr-Cyrl-RS" w:eastAsia="hr-HR"/>
        </w:rPr>
      </w:pPr>
    </w:p>
    <w:p w14:paraId="5DCD2F56" w14:textId="77777777" w:rsidR="00EA0FD7" w:rsidRPr="00EA0FD7" w:rsidRDefault="00EA0FD7" w:rsidP="00EA0FD7">
      <w:pPr>
        <w:spacing w:after="0" w:line="240" w:lineRule="auto"/>
        <w:jc w:val="both"/>
        <w:rPr>
          <w:rFonts w:ascii="Times New Roman" w:eastAsia="Times New Roman" w:hAnsi="Times New Roman" w:cs="Times New Roman"/>
          <w:spacing w:val="-4"/>
          <w:sz w:val="24"/>
          <w:szCs w:val="24"/>
          <w:highlight w:val="yellow"/>
          <w:lang w:val="sr-Cyrl-RS" w:eastAsia="hr-HR"/>
        </w:rPr>
      </w:pPr>
    </w:p>
    <w:p w14:paraId="239DEF67"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7CF6113D"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070054AA"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32BCA8D8"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0AA62AF5"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23CAAD3B"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31647B10"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76D1EB5A"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6E3ED407"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7B5905F4"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214653C2"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22080588"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28C8F3E5"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40416897"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28563EE0"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0FB6DEEF"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75933C34"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2C799EBD"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50CB7846"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28D1F770"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1A0E4DA5"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31C57122"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7E91F60C"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40991C40" w14:textId="77777777" w:rsidR="00EA0FD7" w:rsidRPr="00EA0FD7" w:rsidRDefault="00EA0FD7" w:rsidP="00EA0FD7">
      <w:pPr>
        <w:spacing w:after="0" w:line="240" w:lineRule="auto"/>
        <w:rPr>
          <w:rFonts w:ascii="Times New Roman" w:eastAsia="Times New Roman" w:hAnsi="Times New Roman" w:cs="Times New Roman"/>
          <w:b/>
          <w:bCs/>
          <w:spacing w:val="-4"/>
          <w:sz w:val="24"/>
          <w:szCs w:val="24"/>
          <w:highlight w:val="yellow"/>
          <w:lang w:val="sr-Cyrl-RS"/>
        </w:rPr>
      </w:pPr>
    </w:p>
    <w:p w14:paraId="4CDDA0AF"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6D6A46D1" w14:textId="4E4A1E8D" w:rsidR="00EA0FD7" w:rsidRPr="00AE5455"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0C82D4DA" w14:textId="122C6991" w:rsidR="00EA0FD7" w:rsidRPr="00AE5455"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4CDAA642" w14:textId="7B290FDC" w:rsidR="00EA0FD7" w:rsidRPr="00AE5455"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71525B9D" w14:textId="7F917710" w:rsidR="00EA0FD7" w:rsidRPr="00AE5455"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0A91A9B6" w14:textId="11285934" w:rsidR="00EA0FD7" w:rsidRPr="00AE5455"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53F2C833"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239BFFE1" w14:textId="77777777" w:rsidR="000C192B" w:rsidRDefault="000C192B" w:rsidP="00EA0FD7">
      <w:pPr>
        <w:spacing w:after="0" w:line="240" w:lineRule="auto"/>
        <w:jc w:val="both"/>
        <w:rPr>
          <w:rFonts w:ascii="Times New Roman" w:eastAsia="Times New Roman" w:hAnsi="Times New Roman" w:cs="Times New Roman"/>
          <w:b/>
          <w:sz w:val="24"/>
          <w:szCs w:val="24"/>
          <w:lang w:val="sr-Cyrl-RS" w:eastAsia="hr-HR"/>
        </w:rPr>
      </w:pPr>
    </w:p>
    <w:p w14:paraId="4540CFB9" w14:textId="77777777" w:rsidR="000C192B" w:rsidRDefault="000C192B" w:rsidP="00EA0FD7">
      <w:pPr>
        <w:spacing w:after="0" w:line="240" w:lineRule="auto"/>
        <w:jc w:val="both"/>
        <w:rPr>
          <w:rFonts w:ascii="Times New Roman" w:eastAsia="Times New Roman" w:hAnsi="Times New Roman" w:cs="Times New Roman"/>
          <w:b/>
          <w:sz w:val="24"/>
          <w:szCs w:val="24"/>
          <w:lang w:val="sr-Cyrl-RS" w:eastAsia="hr-HR"/>
        </w:rPr>
      </w:pPr>
    </w:p>
    <w:p w14:paraId="29701F3B" w14:textId="77777777" w:rsidR="000C192B" w:rsidRDefault="000C192B" w:rsidP="00EA0FD7">
      <w:pPr>
        <w:spacing w:after="0" w:line="240" w:lineRule="auto"/>
        <w:jc w:val="both"/>
        <w:rPr>
          <w:rFonts w:ascii="Times New Roman" w:eastAsia="Times New Roman" w:hAnsi="Times New Roman" w:cs="Times New Roman"/>
          <w:b/>
          <w:sz w:val="24"/>
          <w:szCs w:val="24"/>
          <w:lang w:val="sr-Cyrl-RS" w:eastAsia="hr-HR"/>
        </w:rPr>
      </w:pPr>
    </w:p>
    <w:p w14:paraId="17727DE9" w14:textId="77777777" w:rsidR="000C192B" w:rsidRDefault="000C192B" w:rsidP="00EA0FD7">
      <w:pPr>
        <w:spacing w:after="0" w:line="240" w:lineRule="auto"/>
        <w:jc w:val="both"/>
        <w:rPr>
          <w:rFonts w:ascii="Times New Roman" w:eastAsia="Times New Roman" w:hAnsi="Times New Roman" w:cs="Times New Roman"/>
          <w:b/>
          <w:sz w:val="24"/>
          <w:szCs w:val="24"/>
          <w:lang w:val="sr-Cyrl-RS" w:eastAsia="hr-HR"/>
        </w:rPr>
      </w:pPr>
    </w:p>
    <w:p w14:paraId="4220FDDA" w14:textId="77777777" w:rsidR="000C192B" w:rsidRDefault="000C192B" w:rsidP="00EA0FD7">
      <w:pPr>
        <w:spacing w:after="0" w:line="240" w:lineRule="auto"/>
        <w:jc w:val="both"/>
        <w:rPr>
          <w:rFonts w:ascii="Times New Roman" w:eastAsia="Times New Roman" w:hAnsi="Times New Roman" w:cs="Times New Roman"/>
          <w:b/>
          <w:sz w:val="24"/>
          <w:szCs w:val="24"/>
          <w:lang w:val="sr-Cyrl-RS" w:eastAsia="hr-HR"/>
        </w:rPr>
      </w:pPr>
    </w:p>
    <w:p w14:paraId="461EFFC7" w14:textId="77777777" w:rsidR="000C192B" w:rsidRDefault="000C192B" w:rsidP="00EA0FD7">
      <w:pPr>
        <w:spacing w:after="0" w:line="240" w:lineRule="auto"/>
        <w:jc w:val="both"/>
        <w:rPr>
          <w:rFonts w:ascii="Times New Roman" w:eastAsia="Times New Roman" w:hAnsi="Times New Roman" w:cs="Times New Roman"/>
          <w:b/>
          <w:sz w:val="24"/>
          <w:szCs w:val="24"/>
          <w:lang w:val="sr-Cyrl-RS" w:eastAsia="hr-HR"/>
        </w:rPr>
      </w:pPr>
    </w:p>
    <w:p w14:paraId="00D33B9B" w14:textId="77777777" w:rsidR="000C192B" w:rsidRDefault="000C192B" w:rsidP="00EA0FD7">
      <w:pPr>
        <w:spacing w:after="0" w:line="240" w:lineRule="auto"/>
        <w:jc w:val="both"/>
        <w:rPr>
          <w:rFonts w:ascii="Times New Roman" w:eastAsia="Times New Roman" w:hAnsi="Times New Roman" w:cs="Times New Roman"/>
          <w:b/>
          <w:sz w:val="24"/>
          <w:szCs w:val="24"/>
          <w:lang w:val="sr-Cyrl-RS" w:eastAsia="hr-HR"/>
        </w:rPr>
      </w:pPr>
    </w:p>
    <w:p w14:paraId="68B1C97E" w14:textId="77777777" w:rsidR="000C192B" w:rsidRDefault="000C192B" w:rsidP="00EA0FD7">
      <w:pPr>
        <w:spacing w:after="0" w:line="240" w:lineRule="auto"/>
        <w:jc w:val="both"/>
        <w:rPr>
          <w:rFonts w:ascii="Times New Roman" w:eastAsia="Times New Roman" w:hAnsi="Times New Roman" w:cs="Times New Roman"/>
          <w:b/>
          <w:sz w:val="24"/>
          <w:szCs w:val="24"/>
          <w:lang w:val="sr-Cyrl-RS" w:eastAsia="hr-HR"/>
        </w:rPr>
      </w:pPr>
    </w:p>
    <w:p w14:paraId="1E80F2BF" w14:textId="77777777" w:rsidR="009E1E82" w:rsidRDefault="009E1E82" w:rsidP="00EA0FD7">
      <w:pPr>
        <w:spacing w:after="0" w:line="240" w:lineRule="auto"/>
        <w:jc w:val="both"/>
        <w:rPr>
          <w:rFonts w:ascii="Times New Roman" w:eastAsia="Times New Roman" w:hAnsi="Times New Roman" w:cs="Times New Roman"/>
          <w:b/>
          <w:sz w:val="24"/>
          <w:szCs w:val="24"/>
          <w:lang w:val="sr-Cyrl-RS" w:eastAsia="hr-HR"/>
        </w:rPr>
      </w:pPr>
    </w:p>
    <w:p w14:paraId="52D11317" w14:textId="77777777" w:rsidR="009E1E82" w:rsidRDefault="009E1E82" w:rsidP="00EA0FD7">
      <w:pPr>
        <w:spacing w:after="0" w:line="240" w:lineRule="auto"/>
        <w:jc w:val="both"/>
        <w:rPr>
          <w:rFonts w:ascii="Times New Roman" w:eastAsia="Times New Roman" w:hAnsi="Times New Roman" w:cs="Times New Roman"/>
          <w:b/>
          <w:sz w:val="24"/>
          <w:szCs w:val="24"/>
          <w:lang w:val="sr-Cyrl-RS" w:eastAsia="hr-HR"/>
        </w:rPr>
      </w:pPr>
    </w:p>
    <w:p w14:paraId="69B613FD" w14:textId="77777777" w:rsidR="009E1E82" w:rsidRDefault="009E1E82" w:rsidP="00EA0FD7">
      <w:pPr>
        <w:spacing w:after="0" w:line="240" w:lineRule="auto"/>
        <w:jc w:val="both"/>
        <w:rPr>
          <w:rFonts w:ascii="Times New Roman" w:eastAsia="Times New Roman" w:hAnsi="Times New Roman" w:cs="Times New Roman"/>
          <w:b/>
          <w:sz w:val="24"/>
          <w:szCs w:val="24"/>
          <w:lang w:val="sr-Cyrl-RS" w:eastAsia="hr-HR"/>
        </w:rPr>
      </w:pPr>
    </w:p>
    <w:p w14:paraId="212BB9B0" w14:textId="39D634D8"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lastRenderedPageBreak/>
        <w:t>ПОГЛАВЉЕ 1: УВОД У ДОКУМЕНТ ОКВИРНОГ БУЏЕТА 2023</w:t>
      </w:r>
      <w:r w:rsidRPr="00AE5455">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
          <w:sz w:val="24"/>
          <w:szCs w:val="24"/>
          <w:lang w:val="sr-Cyrl-RS" w:eastAsia="hr-HR"/>
        </w:rPr>
        <w:t>2025. ГОДИНЕ</w:t>
      </w:r>
    </w:p>
    <w:p w14:paraId="257F4EDC" w14:textId="77777777" w:rsidR="00EA0FD7" w:rsidRPr="00EA0FD7" w:rsidRDefault="00EA0FD7" w:rsidP="00EA0FD7">
      <w:pPr>
        <w:spacing w:after="0" w:line="240" w:lineRule="auto"/>
        <w:jc w:val="both"/>
        <w:rPr>
          <w:rFonts w:ascii="Times New Roman" w:eastAsia="Times New Roman" w:hAnsi="Times New Roman" w:cs="Times New Roman"/>
          <w:spacing w:val="-4"/>
          <w:sz w:val="24"/>
          <w:szCs w:val="24"/>
          <w:lang w:val="sr-Cyrl-RS" w:eastAsia="hr-HR"/>
        </w:rPr>
      </w:pPr>
    </w:p>
    <w:p w14:paraId="2001110F" w14:textId="0717A6F2" w:rsidR="00EA0FD7" w:rsidRPr="00EA0FD7"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EA0FD7">
        <w:rPr>
          <w:rFonts w:ascii="Times New Roman" w:eastAsia="Times New Roman" w:hAnsi="Times New Roman" w:cs="Times New Roman"/>
          <w:bCs/>
          <w:spacing w:val="-4"/>
          <w:sz w:val="24"/>
          <w:szCs w:val="24"/>
          <w:lang w:val="sr-Cyrl-RS" w:eastAsia="hr-HR"/>
        </w:rPr>
        <w:t>Документ оквирног буџета 2023–2025. године је комплексан и свеобухватан документ средњорочног планирања, који је припремила Дирекција за финансије и исти је интегрални дио годишњег буџетског циклуса. Његова намјера је да постави стратешки оквир и горње границе расхода, унутар којих би се требао припремити годишњи буџет за 2023. годину. Он такође даје пројекције прихода  и расхода за период 2023–2025. године.</w:t>
      </w:r>
    </w:p>
    <w:p w14:paraId="63F83CB2" w14:textId="16BF0124" w:rsidR="00EA0FD7" w:rsidRPr="00EA0FD7"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EA0FD7">
        <w:rPr>
          <w:rFonts w:ascii="Times New Roman" w:eastAsia="Times New Roman" w:hAnsi="Times New Roman" w:cs="Times New Roman"/>
          <w:bCs/>
          <w:spacing w:val="-4"/>
          <w:sz w:val="24"/>
          <w:szCs w:val="24"/>
          <w:lang w:val="sr-Cyrl-RS" w:eastAsia="hr-HR"/>
        </w:rPr>
        <w:t>Кључни циљ Документа оквирног буџета је да о</w:t>
      </w:r>
      <w:r w:rsidRPr="00AE5455">
        <w:rPr>
          <w:rFonts w:ascii="Times New Roman" w:eastAsia="Times New Roman" w:hAnsi="Times New Roman" w:cs="Times New Roman"/>
          <w:bCs/>
          <w:spacing w:val="-4"/>
          <w:sz w:val="24"/>
          <w:szCs w:val="24"/>
          <w:lang w:val="sr-Cyrl-RS" w:eastAsia="hr-HR"/>
        </w:rPr>
        <w:t>безбиједи</w:t>
      </w:r>
      <w:r w:rsidRPr="00EA0FD7">
        <w:rPr>
          <w:rFonts w:ascii="Times New Roman" w:eastAsia="Times New Roman" w:hAnsi="Times New Roman" w:cs="Times New Roman"/>
          <w:bCs/>
          <w:spacing w:val="-4"/>
          <w:sz w:val="24"/>
          <w:szCs w:val="24"/>
          <w:lang w:val="sr-Cyrl-RS" w:eastAsia="hr-HR"/>
        </w:rPr>
        <w:t xml:space="preserve"> бољу повезаност између приоритетних политика Владе и начина на које она расподјељује средства.</w:t>
      </w:r>
    </w:p>
    <w:p w14:paraId="453D671C" w14:textId="77777777" w:rsidR="00EA0FD7" w:rsidRPr="00EA0FD7"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5FA96CF8" w14:textId="2A2BF786"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Овај документ представља прелиминарни нацрт буџета за 2023. годину, основ је за израду Инструкције </w:t>
      </w:r>
      <w:r w:rsidRPr="00AE5455">
        <w:rPr>
          <w:rFonts w:ascii="Times New Roman" w:eastAsia="Times New Roman" w:hAnsi="Times New Roman" w:cs="Times New Roman"/>
          <w:sz w:val="24"/>
          <w:szCs w:val="24"/>
          <w:lang w:val="sr-Cyrl-RS" w:eastAsia="hr-HR"/>
        </w:rPr>
        <w:t>II</w:t>
      </w:r>
      <w:r w:rsidRPr="00EA0FD7">
        <w:rPr>
          <w:rFonts w:ascii="Times New Roman" w:eastAsia="Times New Roman" w:hAnsi="Times New Roman" w:cs="Times New Roman"/>
          <w:sz w:val="24"/>
          <w:szCs w:val="24"/>
          <w:lang w:val="sr-Cyrl-RS" w:eastAsia="hr-HR"/>
        </w:rPr>
        <w:t xml:space="preserve"> за израду буџета, те укључује пројекције за сљедеће двије године.</w:t>
      </w:r>
    </w:p>
    <w:p w14:paraId="01C6511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021C7E2" w14:textId="694006E4"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Циљ при изради Документа оквирног буџета није да претпостави финални исход процеса припреме и планирања буџета за 2023. годину, већ да о</w:t>
      </w:r>
      <w:r w:rsidRPr="00AE5455">
        <w:rPr>
          <w:rFonts w:ascii="Times New Roman" w:eastAsia="Times New Roman" w:hAnsi="Times New Roman" w:cs="Times New Roman"/>
          <w:sz w:val="24"/>
          <w:szCs w:val="24"/>
          <w:lang w:val="sr-Cyrl-RS" w:eastAsia="hr-HR"/>
        </w:rPr>
        <w:t>безбиједи</w:t>
      </w:r>
      <w:r w:rsidRPr="00EA0FD7">
        <w:rPr>
          <w:rFonts w:ascii="Times New Roman" w:eastAsia="Times New Roman" w:hAnsi="Times New Roman" w:cs="Times New Roman"/>
          <w:sz w:val="24"/>
          <w:szCs w:val="24"/>
          <w:lang w:val="sr-Cyrl-RS" w:eastAsia="hr-HR"/>
        </w:rPr>
        <w:t xml:space="preserve"> полазне основе за овај важан процес.</w:t>
      </w:r>
    </w:p>
    <w:p w14:paraId="1AFDEB7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A4008B5"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Буџет је примарно средство, којим се Влада служи у имплементацији својих стратешких циљева. Он је инструмент помоћу којег се приоритети Брчко дистрикта БиХ преносе на услуге, програме и активности, као одговор на социјалне, економске и друге потребе грађана. </w:t>
      </w:r>
    </w:p>
    <w:p w14:paraId="259AC99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E357F46" w14:textId="6426B7E3"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Циклус израде Документа оквирног буџета (ДОБ-а) Брчко дистрикта БиХ заснива се на приступу планирања буџета по методологији </w:t>
      </w:r>
      <w:r w:rsidRPr="00AE5455">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
          <w:sz w:val="24"/>
          <w:szCs w:val="24"/>
          <w:lang w:val="sr-Cyrl-RS" w:eastAsia="hr-HR"/>
        </w:rPr>
        <w:t>десет корака”</w:t>
      </w:r>
      <w:r w:rsidRPr="00EA0FD7">
        <w:rPr>
          <w:rFonts w:ascii="Times New Roman" w:eastAsia="Times New Roman" w:hAnsi="Times New Roman" w:cs="Times New Roman"/>
          <w:sz w:val="24"/>
          <w:szCs w:val="24"/>
          <w:lang w:val="sr-Cyrl-RS" w:eastAsia="hr-HR"/>
        </w:rPr>
        <w:t xml:space="preserve">, као концепту средњорочног приступа планирању буџета: </w:t>
      </w:r>
    </w:p>
    <w:p w14:paraId="25608835"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35622B0" w14:textId="67A32DA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Корак 1 </w:t>
      </w:r>
      <w:r w:rsidRP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w:t>
      </w:r>
      <w:r w:rsidRP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Инструкција </w:t>
      </w:r>
      <w:r w:rsidRPr="00AE5455">
        <w:rPr>
          <w:rFonts w:ascii="Times New Roman" w:eastAsia="Times New Roman" w:hAnsi="Times New Roman" w:cs="Times New Roman"/>
          <w:sz w:val="24"/>
          <w:szCs w:val="24"/>
          <w:lang w:val="sr-Cyrl-RS" w:eastAsia="hr-HR"/>
        </w:rPr>
        <w:t>I</w:t>
      </w:r>
      <w:r w:rsidRPr="00EA0FD7">
        <w:rPr>
          <w:rFonts w:ascii="Times New Roman" w:eastAsia="Times New Roman" w:hAnsi="Times New Roman" w:cs="Times New Roman"/>
          <w:sz w:val="24"/>
          <w:szCs w:val="24"/>
          <w:lang w:val="sr-Cyrl-RS" w:eastAsia="hr-HR"/>
        </w:rPr>
        <w:t xml:space="preserve"> за израду ДОБ-а</w:t>
      </w:r>
      <w:r w:rsidRPr="00AE5455">
        <w:rPr>
          <w:rFonts w:ascii="Times New Roman" w:eastAsia="Times New Roman" w:hAnsi="Times New Roman" w:cs="Times New Roman"/>
          <w:sz w:val="24"/>
          <w:szCs w:val="24"/>
          <w:lang w:val="sr-Cyrl-RS" w:eastAsia="hr-HR"/>
        </w:rPr>
        <w:t>“</w:t>
      </w:r>
    </w:p>
    <w:p w14:paraId="1A7D6DB7" w14:textId="51C11C38"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Корак 2 </w:t>
      </w:r>
      <w:r w:rsidRP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Обрасци прегледа приоритета буџетских корисника </w:t>
      </w:r>
    </w:p>
    <w:p w14:paraId="58E6CCA9" w14:textId="43F92445"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Корак 3 </w:t>
      </w:r>
      <w:r w:rsidRP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Средњорочна макроекономска пројекција  и фискална политика</w:t>
      </w:r>
    </w:p>
    <w:p w14:paraId="29465EAA" w14:textId="4B4DE2B1"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Корак 4 </w:t>
      </w:r>
      <w:r w:rsidRP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Документ оквирног буџета </w:t>
      </w:r>
    </w:p>
    <w:p w14:paraId="0BAA6F7C" w14:textId="13F6EA4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Корак 5 </w:t>
      </w:r>
      <w:r w:rsidRP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w:t>
      </w:r>
      <w:r w:rsidRP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Инструкција </w:t>
      </w:r>
      <w:r w:rsidRPr="00AE5455">
        <w:rPr>
          <w:rFonts w:ascii="Times New Roman" w:eastAsia="Times New Roman" w:hAnsi="Times New Roman" w:cs="Times New Roman"/>
          <w:sz w:val="24"/>
          <w:szCs w:val="24"/>
          <w:lang w:val="sr-Cyrl-RS" w:eastAsia="hr-HR"/>
        </w:rPr>
        <w:t>II</w:t>
      </w:r>
      <w:r w:rsidRPr="00EA0FD7">
        <w:rPr>
          <w:rFonts w:ascii="Times New Roman" w:eastAsia="Times New Roman" w:hAnsi="Times New Roman" w:cs="Times New Roman"/>
          <w:sz w:val="24"/>
          <w:szCs w:val="24"/>
          <w:lang w:val="sr-Cyrl-RS" w:eastAsia="hr-HR"/>
        </w:rPr>
        <w:t xml:space="preserve"> за израду буџета” – Горње границе расхода за буџетске кориснике   </w:t>
      </w:r>
    </w:p>
    <w:p w14:paraId="2483A5B7" w14:textId="1268FEC3"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Корак 6 </w:t>
      </w:r>
      <w:r w:rsidRP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Захтјеви буџетских корисника </w:t>
      </w:r>
    </w:p>
    <w:p w14:paraId="697923C3" w14:textId="60BEE956"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Корак 7 </w:t>
      </w:r>
      <w:r w:rsidRP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Расправе с буџетским корисницима</w:t>
      </w:r>
    </w:p>
    <w:p w14:paraId="163C90CC" w14:textId="7A8DABB8"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Корак 8 </w:t>
      </w:r>
      <w:r w:rsidRP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w:t>
      </w:r>
      <w:r w:rsidRPr="00AE5455">
        <w:rPr>
          <w:rFonts w:ascii="Times New Roman" w:eastAsia="Times New Roman" w:hAnsi="Times New Roman" w:cs="Times New Roman"/>
          <w:sz w:val="24"/>
          <w:szCs w:val="24"/>
          <w:lang w:val="sr-Cyrl-RS" w:eastAsia="hr-HR"/>
        </w:rPr>
        <w:t>O</w:t>
      </w:r>
      <w:r w:rsidRPr="00EA0FD7">
        <w:rPr>
          <w:rFonts w:ascii="Times New Roman" w:eastAsia="Times New Roman" w:hAnsi="Times New Roman" w:cs="Times New Roman"/>
          <w:sz w:val="24"/>
          <w:szCs w:val="24"/>
          <w:lang w:val="sr-Cyrl-RS" w:eastAsia="hr-HR"/>
        </w:rPr>
        <w:t>добравање приједлога буџета од стране Владе и достављање приједлога Скупштини</w:t>
      </w:r>
      <w:r w:rsidRPr="00AE5455">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на разматрање и усвајање</w:t>
      </w:r>
    </w:p>
    <w:p w14:paraId="2C8B9B48" w14:textId="192EBEE1"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Корак 9 </w:t>
      </w:r>
      <w:r w:rsidRP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Организовање јавних расправа од стране Скупштине </w:t>
      </w:r>
    </w:p>
    <w:p w14:paraId="02D0E357" w14:textId="152ECF01"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Корак 10 </w:t>
      </w:r>
      <w:r w:rsidRP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Скупштинска расправа и усвајање буџета.</w:t>
      </w:r>
    </w:p>
    <w:p w14:paraId="22AE2D57"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0F0E26F2"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2CF8CF35"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6031EE0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76868C10"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2B8411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1A6E6C1"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AEF3F32"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57584D22"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719407BC"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56F9B73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4F5FBC4"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BC858A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FFEFA2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3D090E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354A23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0E13609"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AE2C75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90741A9" w14:textId="77777777" w:rsidR="00EA0FD7" w:rsidRPr="00EA0FD7" w:rsidRDefault="00EA0FD7" w:rsidP="00EA0FD7">
      <w:pPr>
        <w:keepNext/>
        <w:tabs>
          <w:tab w:val="left" w:pos="3010"/>
          <w:tab w:val="left" w:pos="3294"/>
          <w:tab w:val="left" w:pos="5196"/>
        </w:tabs>
        <w:spacing w:after="0" w:line="240" w:lineRule="auto"/>
        <w:outlineLvl w:val="1"/>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lastRenderedPageBreak/>
        <w:t xml:space="preserve">ПОГЛАВЉЕ 2.  СРЕДЊОРОЧНЕ МАКРОЕКОНОМСКЕ  ПРОЈЕКЦИЈЕ </w:t>
      </w:r>
    </w:p>
    <w:p w14:paraId="766EA212"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D4C76CA"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975ECB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Ово поглавље садржи основне макроекономске претпоставке и пројекције на којима ће се заснивати прелиминарна процјена нацрта буџета институција БиХ, буџета ентитета, као и буџета Брчко дистрикта БиХ за период од 2023. до 2025. године. </w:t>
      </w:r>
    </w:p>
    <w:p w14:paraId="4C07E1D5" w14:textId="3FC81FA5"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У првом дијелу поглавља дата је анализа макроекономских трендова и средњорочна макроекономска пројекција на нивоу БиХ, коју је израдила Дирекција за економско планирање БиХ (ДЕП). </w:t>
      </w:r>
    </w:p>
    <w:p w14:paraId="656F73AE" w14:textId="2220300A"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другом дијелу поглавља су приказане пројекције основних макроекономских показатеља везаних за Брчко дист</w:t>
      </w:r>
      <w:r w:rsidR="009E1E82">
        <w:rPr>
          <w:rFonts w:ascii="Times New Roman" w:eastAsia="Times New Roman" w:hAnsi="Times New Roman" w:cs="Times New Roman"/>
          <w:sz w:val="24"/>
          <w:szCs w:val="24"/>
          <w:lang w:val="sr-Cyrl-RS" w:eastAsia="hr-HR"/>
        </w:rPr>
        <w:t>р</w:t>
      </w:r>
      <w:r w:rsidRPr="00EA0FD7">
        <w:rPr>
          <w:rFonts w:ascii="Times New Roman" w:eastAsia="Times New Roman" w:hAnsi="Times New Roman" w:cs="Times New Roman"/>
          <w:sz w:val="24"/>
          <w:szCs w:val="24"/>
          <w:lang w:val="sr-Cyrl-RS" w:eastAsia="hr-HR"/>
        </w:rPr>
        <w:t>икт БиХ, које је израдила Дирекција за финансије Брчко дист</w:t>
      </w:r>
      <w:r w:rsidR="009E1E82">
        <w:rPr>
          <w:rFonts w:ascii="Times New Roman" w:eastAsia="Times New Roman" w:hAnsi="Times New Roman" w:cs="Times New Roman"/>
          <w:sz w:val="24"/>
          <w:szCs w:val="24"/>
          <w:lang w:val="sr-Cyrl-RS" w:eastAsia="hr-HR"/>
        </w:rPr>
        <w:t>р</w:t>
      </w:r>
      <w:r w:rsidRPr="00EA0FD7">
        <w:rPr>
          <w:rFonts w:ascii="Times New Roman" w:eastAsia="Times New Roman" w:hAnsi="Times New Roman" w:cs="Times New Roman"/>
          <w:sz w:val="24"/>
          <w:szCs w:val="24"/>
          <w:lang w:val="sr-Cyrl-RS" w:eastAsia="hr-HR"/>
        </w:rPr>
        <w:t>икта БиХ, полазећи од пројекције ДЕП-а и података Агенције за статистику БиХ – подружница/експозитура Брчко.</w:t>
      </w:r>
    </w:p>
    <w:p w14:paraId="7FB5C91A" w14:textId="77777777" w:rsidR="00EA0FD7" w:rsidRPr="00EA0FD7" w:rsidRDefault="00EA0FD7" w:rsidP="00EA0FD7">
      <w:pPr>
        <w:keepNext/>
        <w:tabs>
          <w:tab w:val="left" w:pos="3010"/>
          <w:tab w:val="left" w:pos="3294"/>
          <w:tab w:val="left" w:pos="5196"/>
        </w:tabs>
        <w:spacing w:after="0" w:line="240" w:lineRule="auto"/>
        <w:ind w:left="360"/>
        <w:outlineLvl w:val="1"/>
        <w:rPr>
          <w:rFonts w:ascii="Times New Roman" w:eastAsia="Times New Roman" w:hAnsi="Times New Roman" w:cs="Times New Roman"/>
          <w:b/>
          <w:sz w:val="24"/>
          <w:szCs w:val="24"/>
          <w:lang w:val="sr-Cyrl-RS" w:eastAsia="hr-HR"/>
        </w:rPr>
      </w:pPr>
    </w:p>
    <w:p w14:paraId="7BF0E40D" w14:textId="77777777" w:rsidR="00EA0FD7" w:rsidRPr="00EA0FD7" w:rsidRDefault="00EA0FD7" w:rsidP="00EA0FD7">
      <w:pPr>
        <w:keepNext/>
        <w:tabs>
          <w:tab w:val="left" w:pos="3010"/>
          <w:tab w:val="left" w:pos="3294"/>
          <w:tab w:val="left" w:pos="5196"/>
        </w:tabs>
        <w:spacing w:after="0" w:line="240" w:lineRule="auto"/>
        <w:ind w:left="360"/>
        <w:outlineLvl w:val="1"/>
        <w:rPr>
          <w:rFonts w:ascii="Times New Roman" w:eastAsia="Times New Roman" w:hAnsi="Times New Roman" w:cs="Times New Roman"/>
          <w:b/>
          <w:sz w:val="24"/>
          <w:szCs w:val="24"/>
          <w:lang w:val="sr-Cyrl-RS" w:eastAsia="hr-HR"/>
        </w:rPr>
      </w:pPr>
    </w:p>
    <w:p w14:paraId="6369BF6E" w14:textId="2D08BD25" w:rsidR="00EA0FD7" w:rsidRPr="00EA0FD7" w:rsidRDefault="00EA0FD7" w:rsidP="00EA0FD7">
      <w:pPr>
        <w:keepNext/>
        <w:tabs>
          <w:tab w:val="left" w:pos="3010"/>
          <w:tab w:val="left" w:pos="3294"/>
          <w:tab w:val="left" w:pos="5196"/>
        </w:tabs>
        <w:spacing w:after="0" w:line="240" w:lineRule="auto"/>
        <w:ind w:left="360"/>
        <w:outlineLvl w:val="1"/>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szCs w:val="24"/>
          <w:lang w:val="sr-Cyrl-RS" w:eastAsia="hr-HR"/>
        </w:rPr>
        <w:t xml:space="preserve">Табела 2.1. </w:t>
      </w:r>
      <w:r w:rsidRPr="00EA0FD7">
        <w:rPr>
          <w:rFonts w:ascii="Times New Roman" w:eastAsia="Times New Roman" w:hAnsi="Times New Roman" w:cs="Times New Roman"/>
          <w:sz w:val="24"/>
          <w:szCs w:val="24"/>
          <w:lang w:val="sr-Cyrl-RS" w:eastAsia="hr-HR"/>
        </w:rPr>
        <w:t>Макроекономски показатељи за период 2020</w:t>
      </w:r>
      <w:r w:rsidRP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2025. година</w:t>
      </w:r>
    </w:p>
    <w:tbl>
      <w:tblPr>
        <w:tblW w:w="10690" w:type="dxa"/>
        <w:tblLook w:val="00A0" w:firstRow="1" w:lastRow="0" w:firstColumn="1" w:lastColumn="0" w:noHBand="0" w:noVBand="0"/>
      </w:tblPr>
      <w:tblGrid>
        <w:gridCol w:w="4772"/>
        <w:gridCol w:w="994"/>
        <w:gridCol w:w="991"/>
        <w:gridCol w:w="992"/>
        <w:gridCol w:w="992"/>
        <w:gridCol w:w="992"/>
        <w:gridCol w:w="957"/>
      </w:tblGrid>
      <w:tr w:rsidR="00EA0FD7" w:rsidRPr="00EA0FD7" w14:paraId="5157004E" w14:textId="77777777" w:rsidTr="00EA0FD7">
        <w:trPr>
          <w:trHeight w:val="474"/>
        </w:trPr>
        <w:tc>
          <w:tcPr>
            <w:tcW w:w="4772" w:type="dxa"/>
            <w:tcBorders>
              <w:top w:val="single" w:sz="8" w:space="0" w:color="auto"/>
              <w:left w:val="single" w:sz="8" w:space="0" w:color="auto"/>
              <w:bottom w:val="nil"/>
              <w:right w:val="single" w:sz="8" w:space="0" w:color="auto"/>
            </w:tcBorders>
            <w:shd w:val="clear" w:color="auto" w:fill="BFBFBF"/>
            <w:vAlign w:val="center"/>
            <w:hideMark/>
          </w:tcPr>
          <w:p w14:paraId="6AE1D0C6" w14:textId="77777777" w:rsidR="00EA0FD7" w:rsidRPr="00EA0FD7" w:rsidRDefault="00EA0FD7" w:rsidP="00EA0FD7">
            <w:pPr>
              <w:spacing w:after="0" w:line="240" w:lineRule="auto"/>
              <w:jc w:val="center"/>
              <w:rPr>
                <w:rFonts w:ascii="Times New Roman" w:eastAsia="Calibri" w:hAnsi="Times New Roman" w:cs="Times New Roman"/>
                <w:color w:val="000000"/>
                <w:sz w:val="18"/>
                <w:lang w:val="sr-Cyrl-RS" w:eastAsia="bs-Latn-BA"/>
              </w:rPr>
            </w:pPr>
            <w:r w:rsidRPr="00EA0FD7">
              <w:rPr>
                <w:rFonts w:ascii="Times New Roman" w:eastAsia="Calibri" w:hAnsi="Times New Roman" w:cs="Times New Roman"/>
                <w:color w:val="000000"/>
                <w:sz w:val="18"/>
                <w:lang w:val="sr-Cyrl-RS" w:eastAsia="bs-Latn-BA"/>
              </w:rPr>
              <w:t>Индикатор</w:t>
            </w:r>
          </w:p>
        </w:tc>
        <w:tc>
          <w:tcPr>
            <w:tcW w:w="994" w:type="dxa"/>
            <w:tcBorders>
              <w:top w:val="single" w:sz="8" w:space="0" w:color="auto"/>
              <w:left w:val="nil"/>
              <w:bottom w:val="single" w:sz="8" w:space="0" w:color="auto"/>
              <w:right w:val="nil"/>
            </w:tcBorders>
            <w:shd w:val="clear" w:color="auto" w:fill="BFBFBF"/>
            <w:vAlign w:val="center"/>
            <w:hideMark/>
          </w:tcPr>
          <w:p w14:paraId="741338C2" w14:textId="77777777" w:rsidR="00EA0FD7" w:rsidRPr="00EA0FD7" w:rsidRDefault="00EA0FD7" w:rsidP="00EA0FD7">
            <w:pPr>
              <w:spacing w:after="0" w:line="240" w:lineRule="auto"/>
              <w:jc w:val="center"/>
              <w:rPr>
                <w:rFonts w:ascii="Times New Roman" w:eastAsia="Calibri" w:hAnsi="Times New Roman" w:cs="Times New Roman"/>
                <w:color w:val="000000"/>
                <w:sz w:val="18"/>
                <w:lang w:val="sr-Cyrl-RS" w:eastAsia="bs-Latn-BA"/>
              </w:rPr>
            </w:pPr>
            <w:r w:rsidRPr="00EA0FD7">
              <w:rPr>
                <w:rFonts w:ascii="Times New Roman" w:eastAsia="Calibri" w:hAnsi="Times New Roman" w:cs="Times New Roman"/>
                <w:color w:val="000000"/>
                <w:sz w:val="18"/>
                <w:lang w:val="sr-Cyrl-RS" w:eastAsia="bs-Latn-BA"/>
              </w:rPr>
              <w:t>Званични подаци</w:t>
            </w:r>
          </w:p>
        </w:tc>
        <w:tc>
          <w:tcPr>
            <w:tcW w:w="4924" w:type="dxa"/>
            <w:gridSpan w:val="5"/>
            <w:tcBorders>
              <w:top w:val="single" w:sz="8" w:space="0" w:color="auto"/>
              <w:left w:val="single" w:sz="8" w:space="0" w:color="auto"/>
              <w:bottom w:val="single" w:sz="8" w:space="0" w:color="auto"/>
              <w:right w:val="single" w:sz="8" w:space="0" w:color="000000"/>
            </w:tcBorders>
            <w:shd w:val="clear" w:color="auto" w:fill="BFBFBF"/>
            <w:vAlign w:val="center"/>
            <w:hideMark/>
          </w:tcPr>
          <w:p w14:paraId="20755BFF" w14:textId="77777777" w:rsidR="00EA0FD7" w:rsidRPr="00EA0FD7" w:rsidRDefault="00EA0FD7" w:rsidP="00EA0FD7">
            <w:pPr>
              <w:spacing w:after="0" w:line="240" w:lineRule="auto"/>
              <w:jc w:val="center"/>
              <w:rPr>
                <w:rFonts w:ascii="Times New Roman" w:eastAsia="Calibri" w:hAnsi="Times New Roman" w:cs="Times New Roman"/>
                <w:color w:val="000000"/>
                <w:sz w:val="18"/>
                <w:lang w:val="sr-Cyrl-RS" w:eastAsia="bs-Latn-BA"/>
              </w:rPr>
            </w:pPr>
            <w:r w:rsidRPr="00EA0FD7">
              <w:rPr>
                <w:rFonts w:ascii="Times New Roman" w:eastAsia="Calibri" w:hAnsi="Times New Roman" w:cs="Times New Roman"/>
                <w:color w:val="000000"/>
                <w:sz w:val="18"/>
                <w:lang w:val="sr-Cyrl-RS" w:eastAsia="bs-Latn-BA"/>
              </w:rPr>
              <w:t>Пројекције</w:t>
            </w:r>
          </w:p>
        </w:tc>
      </w:tr>
      <w:tr w:rsidR="00EA0FD7" w:rsidRPr="00EA0FD7" w14:paraId="1565E830" w14:textId="77777777" w:rsidTr="00EA0FD7">
        <w:trPr>
          <w:trHeight w:val="336"/>
        </w:trPr>
        <w:tc>
          <w:tcPr>
            <w:tcW w:w="4772" w:type="dxa"/>
            <w:tcBorders>
              <w:top w:val="nil"/>
              <w:left w:val="single" w:sz="8" w:space="0" w:color="auto"/>
              <w:bottom w:val="single" w:sz="8" w:space="0" w:color="auto"/>
              <w:right w:val="single" w:sz="8" w:space="0" w:color="auto"/>
            </w:tcBorders>
            <w:shd w:val="clear" w:color="auto" w:fill="BFBFBF"/>
            <w:hideMark/>
          </w:tcPr>
          <w:p w14:paraId="11B392CB" w14:textId="77777777" w:rsidR="00EA0FD7" w:rsidRPr="00EA0FD7" w:rsidRDefault="00EA0FD7" w:rsidP="00EA0FD7">
            <w:pPr>
              <w:spacing w:after="0" w:line="240" w:lineRule="auto"/>
              <w:jc w:val="center"/>
              <w:rPr>
                <w:rFonts w:ascii="Times New Roman" w:eastAsia="Calibri" w:hAnsi="Times New Roman" w:cs="Times New Roman"/>
                <w:color w:val="000000"/>
                <w:sz w:val="18"/>
                <w:lang w:val="sr-Cyrl-RS" w:eastAsia="bs-Latn-BA"/>
              </w:rPr>
            </w:pPr>
            <w:r w:rsidRPr="00EA0FD7">
              <w:rPr>
                <w:rFonts w:ascii="Times New Roman" w:eastAsia="Calibri" w:hAnsi="Times New Roman" w:cs="Times New Roman"/>
                <w:color w:val="000000"/>
                <w:sz w:val="18"/>
                <w:lang w:val="sr-Cyrl-RS" w:eastAsia="bs-Latn-BA"/>
              </w:rPr>
              <w:t> </w:t>
            </w:r>
          </w:p>
        </w:tc>
        <w:tc>
          <w:tcPr>
            <w:tcW w:w="994" w:type="dxa"/>
            <w:tcBorders>
              <w:top w:val="nil"/>
              <w:left w:val="nil"/>
              <w:bottom w:val="single" w:sz="8" w:space="0" w:color="auto"/>
              <w:right w:val="single" w:sz="8" w:space="0" w:color="auto"/>
            </w:tcBorders>
            <w:shd w:val="clear" w:color="auto" w:fill="BFBFBF"/>
            <w:vAlign w:val="center"/>
            <w:hideMark/>
          </w:tcPr>
          <w:p w14:paraId="31134326" w14:textId="434D0345"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eastAsia="bs-Latn-BA"/>
              </w:rPr>
            </w:pPr>
            <w:r w:rsidRPr="00EA0FD7">
              <w:rPr>
                <w:rFonts w:ascii="Times New Roman" w:eastAsia="Calibri" w:hAnsi="Times New Roman" w:cs="Times New Roman"/>
                <w:color w:val="000000"/>
                <w:sz w:val="20"/>
                <w:szCs w:val="20"/>
                <w:lang w:val="sr-Cyrl-RS" w:eastAsia="bs-Latn-BA"/>
              </w:rPr>
              <w:t>2020</w:t>
            </w:r>
            <w:r w:rsidRPr="00AE5455">
              <w:rPr>
                <w:rFonts w:ascii="Times New Roman" w:eastAsia="Calibri" w:hAnsi="Times New Roman" w:cs="Times New Roman"/>
                <w:color w:val="000000"/>
                <w:sz w:val="20"/>
                <w:szCs w:val="20"/>
                <w:lang w:val="sr-Cyrl-RS" w:eastAsia="bs-Latn-BA"/>
              </w:rPr>
              <w:t>.</w:t>
            </w:r>
          </w:p>
        </w:tc>
        <w:tc>
          <w:tcPr>
            <w:tcW w:w="991" w:type="dxa"/>
            <w:tcBorders>
              <w:top w:val="nil"/>
              <w:left w:val="nil"/>
              <w:bottom w:val="single" w:sz="8" w:space="0" w:color="auto"/>
              <w:right w:val="single" w:sz="8" w:space="0" w:color="auto"/>
            </w:tcBorders>
            <w:shd w:val="clear" w:color="auto" w:fill="BFBFBF"/>
            <w:vAlign w:val="center"/>
            <w:hideMark/>
          </w:tcPr>
          <w:p w14:paraId="4B03D4A2" w14:textId="7C833BD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eastAsia="bs-Latn-BA"/>
              </w:rPr>
            </w:pPr>
            <w:r w:rsidRPr="00EA0FD7">
              <w:rPr>
                <w:rFonts w:ascii="Times New Roman" w:eastAsia="Calibri" w:hAnsi="Times New Roman" w:cs="Times New Roman"/>
                <w:color w:val="000000"/>
                <w:sz w:val="20"/>
                <w:szCs w:val="20"/>
                <w:lang w:val="sr-Cyrl-RS" w:eastAsia="bs-Latn-BA"/>
              </w:rPr>
              <w:t>2021</w:t>
            </w:r>
            <w:r w:rsidRPr="00AE5455">
              <w:rPr>
                <w:rFonts w:ascii="Times New Roman" w:eastAsia="Calibri" w:hAnsi="Times New Roman" w:cs="Times New Roman"/>
                <w:color w:val="000000"/>
                <w:sz w:val="20"/>
                <w:szCs w:val="20"/>
                <w:lang w:val="sr-Cyrl-RS" w:eastAsia="bs-Latn-BA"/>
              </w:rPr>
              <w:t>.</w:t>
            </w:r>
          </w:p>
        </w:tc>
        <w:tc>
          <w:tcPr>
            <w:tcW w:w="992" w:type="dxa"/>
            <w:tcBorders>
              <w:top w:val="nil"/>
              <w:left w:val="nil"/>
              <w:bottom w:val="single" w:sz="8" w:space="0" w:color="auto"/>
              <w:right w:val="single" w:sz="8" w:space="0" w:color="auto"/>
            </w:tcBorders>
            <w:shd w:val="clear" w:color="auto" w:fill="BFBFBF"/>
            <w:vAlign w:val="center"/>
            <w:hideMark/>
          </w:tcPr>
          <w:p w14:paraId="6D011DCB" w14:textId="519B95C6"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eastAsia="bs-Latn-BA"/>
              </w:rPr>
            </w:pPr>
            <w:r w:rsidRPr="00EA0FD7">
              <w:rPr>
                <w:rFonts w:ascii="Times New Roman" w:eastAsia="Calibri" w:hAnsi="Times New Roman" w:cs="Times New Roman"/>
                <w:color w:val="000000"/>
                <w:sz w:val="20"/>
                <w:szCs w:val="20"/>
                <w:lang w:val="sr-Cyrl-RS" w:eastAsia="bs-Latn-BA"/>
              </w:rPr>
              <w:t>2022</w:t>
            </w:r>
            <w:r w:rsidRPr="00AE5455">
              <w:rPr>
                <w:rFonts w:ascii="Times New Roman" w:eastAsia="Calibri" w:hAnsi="Times New Roman" w:cs="Times New Roman"/>
                <w:color w:val="000000"/>
                <w:sz w:val="20"/>
                <w:szCs w:val="20"/>
                <w:lang w:val="sr-Cyrl-RS" w:eastAsia="bs-Latn-BA"/>
              </w:rPr>
              <w:t>.</w:t>
            </w:r>
          </w:p>
        </w:tc>
        <w:tc>
          <w:tcPr>
            <w:tcW w:w="992" w:type="dxa"/>
            <w:tcBorders>
              <w:top w:val="nil"/>
              <w:left w:val="nil"/>
              <w:bottom w:val="single" w:sz="8" w:space="0" w:color="auto"/>
              <w:right w:val="single" w:sz="8" w:space="0" w:color="auto"/>
            </w:tcBorders>
            <w:shd w:val="clear" w:color="auto" w:fill="BFBFBF"/>
            <w:vAlign w:val="center"/>
            <w:hideMark/>
          </w:tcPr>
          <w:p w14:paraId="5EE0F7DE" w14:textId="58CDB1B5"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eastAsia="bs-Latn-BA"/>
              </w:rPr>
            </w:pPr>
            <w:r w:rsidRPr="00EA0FD7">
              <w:rPr>
                <w:rFonts w:ascii="Times New Roman" w:eastAsia="Calibri" w:hAnsi="Times New Roman" w:cs="Times New Roman"/>
                <w:color w:val="000000"/>
                <w:sz w:val="20"/>
                <w:szCs w:val="20"/>
                <w:lang w:val="sr-Cyrl-RS" w:eastAsia="bs-Latn-BA"/>
              </w:rPr>
              <w:t>2023</w:t>
            </w:r>
            <w:r w:rsidRPr="00AE5455">
              <w:rPr>
                <w:rFonts w:ascii="Times New Roman" w:eastAsia="Calibri" w:hAnsi="Times New Roman" w:cs="Times New Roman"/>
                <w:color w:val="000000"/>
                <w:sz w:val="20"/>
                <w:szCs w:val="20"/>
                <w:lang w:val="sr-Cyrl-RS" w:eastAsia="bs-Latn-BA"/>
              </w:rPr>
              <w:t>.</w:t>
            </w:r>
          </w:p>
        </w:tc>
        <w:tc>
          <w:tcPr>
            <w:tcW w:w="992" w:type="dxa"/>
            <w:tcBorders>
              <w:top w:val="nil"/>
              <w:left w:val="nil"/>
              <w:bottom w:val="single" w:sz="8" w:space="0" w:color="auto"/>
              <w:right w:val="single" w:sz="8" w:space="0" w:color="auto"/>
            </w:tcBorders>
            <w:shd w:val="clear" w:color="auto" w:fill="BFBFBF"/>
            <w:vAlign w:val="center"/>
            <w:hideMark/>
          </w:tcPr>
          <w:p w14:paraId="7791FB0D" w14:textId="6627525B"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eastAsia="bs-Latn-BA"/>
              </w:rPr>
            </w:pPr>
            <w:r w:rsidRPr="00EA0FD7">
              <w:rPr>
                <w:rFonts w:ascii="Times New Roman" w:eastAsia="Calibri" w:hAnsi="Times New Roman" w:cs="Times New Roman"/>
                <w:color w:val="000000"/>
                <w:sz w:val="20"/>
                <w:szCs w:val="20"/>
                <w:lang w:val="sr-Cyrl-RS" w:eastAsia="bs-Latn-BA"/>
              </w:rPr>
              <w:t>2024</w:t>
            </w:r>
            <w:r w:rsidRPr="00AE5455">
              <w:rPr>
                <w:rFonts w:ascii="Times New Roman" w:eastAsia="Calibri" w:hAnsi="Times New Roman" w:cs="Times New Roman"/>
                <w:color w:val="000000"/>
                <w:sz w:val="20"/>
                <w:szCs w:val="20"/>
                <w:lang w:val="sr-Cyrl-RS" w:eastAsia="bs-Latn-BA"/>
              </w:rPr>
              <w:t>.</w:t>
            </w:r>
          </w:p>
        </w:tc>
        <w:tc>
          <w:tcPr>
            <w:tcW w:w="957" w:type="dxa"/>
            <w:tcBorders>
              <w:top w:val="nil"/>
              <w:left w:val="nil"/>
              <w:bottom w:val="single" w:sz="8" w:space="0" w:color="auto"/>
              <w:right w:val="single" w:sz="8" w:space="0" w:color="auto"/>
            </w:tcBorders>
            <w:shd w:val="clear" w:color="auto" w:fill="BFBFBF"/>
            <w:vAlign w:val="center"/>
            <w:hideMark/>
          </w:tcPr>
          <w:p w14:paraId="36592825" w14:textId="0D8F529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eastAsia="bs-Latn-BA"/>
              </w:rPr>
            </w:pPr>
            <w:r w:rsidRPr="00EA0FD7">
              <w:rPr>
                <w:rFonts w:ascii="Times New Roman" w:eastAsia="Calibri" w:hAnsi="Times New Roman" w:cs="Times New Roman"/>
                <w:color w:val="000000"/>
                <w:sz w:val="20"/>
                <w:szCs w:val="20"/>
                <w:lang w:val="sr-Cyrl-RS" w:eastAsia="bs-Latn-BA"/>
              </w:rPr>
              <w:t>2025</w:t>
            </w:r>
            <w:r w:rsidRPr="00AE5455">
              <w:rPr>
                <w:rFonts w:ascii="Times New Roman" w:eastAsia="Calibri" w:hAnsi="Times New Roman" w:cs="Times New Roman"/>
                <w:color w:val="000000"/>
                <w:sz w:val="20"/>
                <w:szCs w:val="20"/>
                <w:lang w:val="sr-Cyrl-RS" w:eastAsia="bs-Latn-BA"/>
              </w:rPr>
              <w:t>.</w:t>
            </w:r>
          </w:p>
        </w:tc>
      </w:tr>
      <w:tr w:rsidR="00EA0FD7" w:rsidRPr="00EA0FD7" w14:paraId="5F184FE6" w14:textId="77777777" w:rsidTr="00EA0FD7">
        <w:trPr>
          <w:trHeight w:val="322"/>
        </w:trPr>
        <w:tc>
          <w:tcPr>
            <w:tcW w:w="4772" w:type="dxa"/>
            <w:tcBorders>
              <w:top w:val="nil"/>
              <w:left w:val="single" w:sz="8" w:space="0" w:color="auto"/>
              <w:bottom w:val="single" w:sz="8" w:space="0" w:color="auto"/>
              <w:right w:val="single" w:sz="8" w:space="0" w:color="auto"/>
            </w:tcBorders>
            <w:shd w:val="clear" w:color="auto" w:fill="F2F2F2"/>
            <w:vAlign w:val="center"/>
            <w:hideMark/>
          </w:tcPr>
          <w:p w14:paraId="01893DA0" w14:textId="4E60230D" w:rsidR="00EA0FD7" w:rsidRPr="00EA0FD7" w:rsidRDefault="00EA0FD7" w:rsidP="00EA0FD7">
            <w:pPr>
              <w:spacing w:after="0" w:line="240" w:lineRule="auto"/>
              <w:rPr>
                <w:rFonts w:ascii="Times New Roman" w:eastAsia="Calibri" w:hAnsi="Times New Roman" w:cs="Times New Roman"/>
                <w:b/>
                <w:bCs/>
                <w:color w:val="000000"/>
                <w:sz w:val="20"/>
                <w:szCs w:val="20"/>
                <w:lang w:val="sr-Cyrl-RS" w:eastAsia="bs-Latn-BA"/>
              </w:rPr>
            </w:pPr>
            <w:r w:rsidRPr="00EA0FD7">
              <w:rPr>
                <w:rFonts w:ascii="Times New Roman" w:eastAsia="Calibri" w:hAnsi="Times New Roman" w:cs="Times New Roman"/>
                <w:b/>
                <w:bCs/>
                <w:color w:val="000000"/>
                <w:sz w:val="20"/>
                <w:szCs w:val="20"/>
                <w:lang w:val="sr-Cyrl-RS"/>
              </w:rPr>
              <w:t>Номинални БДП у мил</w:t>
            </w:r>
            <w:r w:rsidRPr="00AE5455">
              <w:rPr>
                <w:rFonts w:ascii="Times New Roman" w:eastAsia="Calibri" w:hAnsi="Times New Roman" w:cs="Times New Roman"/>
                <w:b/>
                <w:bCs/>
                <w:color w:val="000000"/>
                <w:sz w:val="20"/>
                <w:szCs w:val="20"/>
                <w:lang w:val="sr-Cyrl-RS"/>
              </w:rPr>
              <w:t>.</w:t>
            </w:r>
            <w:r w:rsidRPr="00EA0FD7">
              <w:rPr>
                <w:rFonts w:ascii="Times New Roman" w:eastAsia="Calibri" w:hAnsi="Times New Roman" w:cs="Times New Roman"/>
                <w:b/>
                <w:bCs/>
                <w:color w:val="000000"/>
                <w:sz w:val="20"/>
                <w:szCs w:val="20"/>
                <w:lang w:val="sr-Cyrl-RS"/>
              </w:rPr>
              <w:t xml:space="preserve"> КМ</w:t>
            </w:r>
          </w:p>
        </w:tc>
        <w:tc>
          <w:tcPr>
            <w:tcW w:w="994"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90DE1D8"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eastAsia="bs-Latn-BA"/>
              </w:rPr>
            </w:pPr>
            <w:r w:rsidRPr="00EA0FD7">
              <w:rPr>
                <w:rFonts w:ascii="Times New Roman" w:eastAsia="Calibri" w:hAnsi="Times New Roman" w:cs="Times New Roman"/>
                <w:color w:val="000000"/>
                <w:sz w:val="20"/>
                <w:szCs w:val="20"/>
                <w:lang w:val="sr-Cyrl-RS"/>
              </w:rPr>
              <w:t>35.436</w:t>
            </w:r>
          </w:p>
        </w:tc>
        <w:tc>
          <w:tcPr>
            <w:tcW w:w="991" w:type="dxa"/>
            <w:tcBorders>
              <w:top w:val="single" w:sz="8" w:space="0" w:color="auto"/>
              <w:left w:val="nil"/>
              <w:bottom w:val="single" w:sz="8" w:space="0" w:color="auto"/>
              <w:right w:val="single" w:sz="8" w:space="0" w:color="auto"/>
            </w:tcBorders>
            <w:shd w:val="clear" w:color="auto" w:fill="D9D9D9"/>
            <w:vAlign w:val="center"/>
            <w:hideMark/>
          </w:tcPr>
          <w:p w14:paraId="749DD037"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37.578</w:t>
            </w:r>
          </w:p>
        </w:tc>
        <w:tc>
          <w:tcPr>
            <w:tcW w:w="992" w:type="dxa"/>
            <w:tcBorders>
              <w:top w:val="single" w:sz="8" w:space="0" w:color="auto"/>
              <w:left w:val="nil"/>
              <w:bottom w:val="single" w:sz="8" w:space="0" w:color="auto"/>
              <w:right w:val="single" w:sz="8" w:space="0" w:color="auto"/>
            </w:tcBorders>
            <w:shd w:val="clear" w:color="auto" w:fill="D9D9D9"/>
            <w:vAlign w:val="center"/>
            <w:hideMark/>
          </w:tcPr>
          <w:p w14:paraId="6549D4E3"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39.590</w:t>
            </w:r>
          </w:p>
        </w:tc>
        <w:tc>
          <w:tcPr>
            <w:tcW w:w="992" w:type="dxa"/>
            <w:tcBorders>
              <w:top w:val="single" w:sz="8" w:space="0" w:color="auto"/>
              <w:left w:val="nil"/>
              <w:bottom w:val="single" w:sz="8" w:space="0" w:color="auto"/>
              <w:right w:val="single" w:sz="8" w:space="0" w:color="auto"/>
            </w:tcBorders>
            <w:shd w:val="clear" w:color="auto" w:fill="D9D9D9"/>
            <w:vAlign w:val="center"/>
            <w:hideMark/>
          </w:tcPr>
          <w:p w14:paraId="5C78F748"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41.344</w:t>
            </w:r>
          </w:p>
        </w:tc>
        <w:tc>
          <w:tcPr>
            <w:tcW w:w="992" w:type="dxa"/>
            <w:tcBorders>
              <w:top w:val="single" w:sz="8" w:space="0" w:color="auto"/>
              <w:left w:val="nil"/>
              <w:bottom w:val="single" w:sz="8" w:space="0" w:color="auto"/>
              <w:right w:val="single" w:sz="8" w:space="0" w:color="auto"/>
            </w:tcBorders>
            <w:shd w:val="clear" w:color="auto" w:fill="D9D9D9"/>
            <w:vAlign w:val="center"/>
            <w:hideMark/>
          </w:tcPr>
          <w:p w14:paraId="27B377CC"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43.303</w:t>
            </w:r>
          </w:p>
        </w:tc>
        <w:tc>
          <w:tcPr>
            <w:tcW w:w="957" w:type="dxa"/>
            <w:tcBorders>
              <w:top w:val="single" w:sz="8" w:space="0" w:color="auto"/>
              <w:left w:val="nil"/>
              <w:bottom w:val="single" w:sz="8" w:space="0" w:color="auto"/>
              <w:right w:val="single" w:sz="8" w:space="0" w:color="auto"/>
            </w:tcBorders>
            <w:shd w:val="clear" w:color="auto" w:fill="D9D9D9"/>
            <w:vAlign w:val="center"/>
            <w:hideMark/>
          </w:tcPr>
          <w:p w14:paraId="2B07A381"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45.489</w:t>
            </w:r>
          </w:p>
        </w:tc>
      </w:tr>
      <w:tr w:rsidR="00EA0FD7" w:rsidRPr="00EA0FD7" w14:paraId="3673CD5A" w14:textId="77777777" w:rsidTr="00EA0FD7">
        <w:trPr>
          <w:trHeight w:val="347"/>
        </w:trPr>
        <w:tc>
          <w:tcPr>
            <w:tcW w:w="4772" w:type="dxa"/>
            <w:tcBorders>
              <w:top w:val="nil"/>
              <w:left w:val="single" w:sz="8" w:space="0" w:color="auto"/>
              <w:bottom w:val="single" w:sz="8" w:space="0" w:color="auto"/>
              <w:right w:val="single" w:sz="8" w:space="0" w:color="auto"/>
            </w:tcBorders>
            <w:shd w:val="clear" w:color="auto" w:fill="FFFFFF"/>
            <w:vAlign w:val="bottom"/>
            <w:hideMark/>
          </w:tcPr>
          <w:p w14:paraId="42BE01B2"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Номинални раст у %</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0E53ED06"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-3,0</w:t>
            </w:r>
          </w:p>
        </w:tc>
        <w:tc>
          <w:tcPr>
            <w:tcW w:w="991" w:type="dxa"/>
            <w:tcBorders>
              <w:top w:val="nil"/>
              <w:left w:val="nil"/>
              <w:bottom w:val="single" w:sz="8" w:space="0" w:color="auto"/>
              <w:right w:val="single" w:sz="8" w:space="0" w:color="auto"/>
            </w:tcBorders>
            <w:shd w:val="clear" w:color="auto" w:fill="D9D9D9"/>
            <w:vAlign w:val="center"/>
            <w:hideMark/>
          </w:tcPr>
          <w:p w14:paraId="44B8AD1C"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6,0</w:t>
            </w:r>
          </w:p>
        </w:tc>
        <w:tc>
          <w:tcPr>
            <w:tcW w:w="992" w:type="dxa"/>
            <w:tcBorders>
              <w:top w:val="nil"/>
              <w:left w:val="nil"/>
              <w:bottom w:val="single" w:sz="8" w:space="0" w:color="auto"/>
              <w:right w:val="single" w:sz="8" w:space="0" w:color="auto"/>
            </w:tcBorders>
            <w:shd w:val="clear" w:color="auto" w:fill="D9D9D9"/>
            <w:vAlign w:val="center"/>
            <w:hideMark/>
          </w:tcPr>
          <w:p w14:paraId="7BD5F245"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5,4</w:t>
            </w:r>
          </w:p>
        </w:tc>
        <w:tc>
          <w:tcPr>
            <w:tcW w:w="992" w:type="dxa"/>
            <w:tcBorders>
              <w:top w:val="nil"/>
              <w:left w:val="nil"/>
              <w:bottom w:val="single" w:sz="8" w:space="0" w:color="auto"/>
              <w:right w:val="single" w:sz="8" w:space="0" w:color="auto"/>
            </w:tcBorders>
            <w:shd w:val="clear" w:color="auto" w:fill="D9D9D9"/>
            <w:vAlign w:val="center"/>
            <w:hideMark/>
          </w:tcPr>
          <w:p w14:paraId="59BC3EDF"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4,4</w:t>
            </w:r>
          </w:p>
        </w:tc>
        <w:tc>
          <w:tcPr>
            <w:tcW w:w="992" w:type="dxa"/>
            <w:tcBorders>
              <w:top w:val="nil"/>
              <w:left w:val="nil"/>
              <w:bottom w:val="single" w:sz="8" w:space="0" w:color="auto"/>
              <w:right w:val="single" w:sz="8" w:space="0" w:color="auto"/>
            </w:tcBorders>
            <w:shd w:val="clear" w:color="auto" w:fill="D9D9D9"/>
            <w:vAlign w:val="center"/>
            <w:hideMark/>
          </w:tcPr>
          <w:p w14:paraId="25C4C9F4"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4,7</w:t>
            </w:r>
          </w:p>
        </w:tc>
        <w:tc>
          <w:tcPr>
            <w:tcW w:w="957" w:type="dxa"/>
            <w:tcBorders>
              <w:top w:val="nil"/>
              <w:left w:val="nil"/>
              <w:bottom w:val="single" w:sz="8" w:space="0" w:color="auto"/>
              <w:right w:val="single" w:sz="8" w:space="0" w:color="auto"/>
            </w:tcBorders>
            <w:shd w:val="clear" w:color="auto" w:fill="D9D9D9"/>
            <w:vAlign w:val="center"/>
            <w:hideMark/>
          </w:tcPr>
          <w:p w14:paraId="0984606C"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5,0</w:t>
            </w:r>
          </w:p>
        </w:tc>
      </w:tr>
      <w:tr w:rsidR="00EA0FD7" w:rsidRPr="00EA0FD7" w14:paraId="17F2200D" w14:textId="77777777" w:rsidTr="00EA0FD7">
        <w:trPr>
          <w:trHeight w:val="284"/>
        </w:trPr>
        <w:tc>
          <w:tcPr>
            <w:tcW w:w="4772" w:type="dxa"/>
            <w:tcBorders>
              <w:top w:val="nil"/>
              <w:left w:val="single" w:sz="8" w:space="0" w:color="auto"/>
              <w:bottom w:val="single" w:sz="8" w:space="0" w:color="auto"/>
              <w:right w:val="single" w:sz="8" w:space="0" w:color="auto"/>
            </w:tcBorders>
            <w:shd w:val="clear" w:color="auto" w:fill="F2F2F2"/>
            <w:vAlign w:val="bottom"/>
            <w:hideMark/>
          </w:tcPr>
          <w:p w14:paraId="1399BF6E"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БДП дефлатор (претходна година = 100)</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0C518840"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100,2</w:t>
            </w:r>
          </w:p>
        </w:tc>
        <w:tc>
          <w:tcPr>
            <w:tcW w:w="991" w:type="dxa"/>
            <w:tcBorders>
              <w:top w:val="nil"/>
              <w:left w:val="nil"/>
              <w:bottom w:val="single" w:sz="8" w:space="0" w:color="auto"/>
              <w:right w:val="single" w:sz="8" w:space="0" w:color="auto"/>
            </w:tcBorders>
            <w:shd w:val="clear" w:color="auto" w:fill="D9D9D9"/>
            <w:vAlign w:val="center"/>
            <w:hideMark/>
          </w:tcPr>
          <w:p w14:paraId="2EE4B5F3"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100,6</w:t>
            </w:r>
          </w:p>
        </w:tc>
        <w:tc>
          <w:tcPr>
            <w:tcW w:w="992" w:type="dxa"/>
            <w:tcBorders>
              <w:top w:val="nil"/>
              <w:left w:val="nil"/>
              <w:bottom w:val="single" w:sz="8" w:space="0" w:color="auto"/>
              <w:right w:val="single" w:sz="8" w:space="0" w:color="auto"/>
            </w:tcBorders>
            <w:shd w:val="clear" w:color="auto" w:fill="D9D9D9"/>
            <w:vAlign w:val="center"/>
            <w:hideMark/>
          </w:tcPr>
          <w:p w14:paraId="1724F5AF"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103,2</w:t>
            </w:r>
          </w:p>
        </w:tc>
        <w:tc>
          <w:tcPr>
            <w:tcW w:w="992" w:type="dxa"/>
            <w:tcBorders>
              <w:top w:val="nil"/>
              <w:left w:val="nil"/>
              <w:bottom w:val="single" w:sz="8" w:space="0" w:color="auto"/>
              <w:right w:val="single" w:sz="8" w:space="0" w:color="auto"/>
            </w:tcBorders>
            <w:shd w:val="clear" w:color="auto" w:fill="D9D9D9"/>
            <w:vAlign w:val="center"/>
            <w:hideMark/>
          </w:tcPr>
          <w:p w14:paraId="7FF1FC35"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101,3</w:t>
            </w:r>
          </w:p>
        </w:tc>
        <w:tc>
          <w:tcPr>
            <w:tcW w:w="992" w:type="dxa"/>
            <w:tcBorders>
              <w:top w:val="nil"/>
              <w:left w:val="nil"/>
              <w:bottom w:val="single" w:sz="8" w:space="0" w:color="auto"/>
              <w:right w:val="single" w:sz="8" w:space="0" w:color="auto"/>
            </w:tcBorders>
            <w:shd w:val="clear" w:color="auto" w:fill="D9D9D9"/>
            <w:vAlign w:val="center"/>
            <w:hideMark/>
          </w:tcPr>
          <w:p w14:paraId="016581F5"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101,7</w:t>
            </w:r>
          </w:p>
        </w:tc>
        <w:tc>
          <w:tcPr>
            <w:tcW w:w="957" w:type="dxa"/>
            <w:tcBorders>
              <w:top w:val="nil"/>
              <w:left w:val="nil"/>
              <w:bottom w:val="single" w:sz="8" w:space="0" w:color="auto"/>
              <w:right w:val="single" w:sz="8" w:space="0" w:color="auto"/>
            </w:tcBorders>
            <w:shd w:val="clear" w:color="auto" w:fill="D9D9D9"/>
            <w:vAlign w:val="center"/>
            <w:hideMark/>
          </w:tcPr>
          <w:p w14:paraId="2E373B7E"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101,6</w:t>
            </w:r>
          </w:p>
        </w:tc>
      </w:tr>
      <w:tr w:rsidR="00EA0FD7" w:rsidRPr="00EA0FD7" w14:paraId="576985E9" w14:textId="77777777" w:rsidTr="00EA0FD7">
        <w:trPr>
          <w:trHeight w:val="406"/>
        </w:trPr>
        <w:tc>
          <w:tcPr>
            <w:tcW w:w="4772" w:type="dxa"/>
            <w:tcBorders>
              <w:top w:val="nil"/>
              <w:left w:val="single" w:sz="8" w:space="0" w:color="auto"/>
              <w:bottom w:val="single" w:sz="8" w:space="0" w:color="auto"/>
              <w:right w:val="single" w:sz="8" w:space="0" w:color="auto"/>
            </w:tcBorders>
            <w:shd w:val="clear" w:color="auto" w:fill="FFFFFF"/>
            <w:noWrap/>
            <w:vAlign w:val="bottom"/>
            <w:hideMark/>
          </w:tcPr>
          <w:p w14:paraId="3EC45872" w14:textId="592D8C6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Реални БДП у мил</w:t>
            </w:r>
            <w:r w:rsidRPr="00AE5455">
              <w:rPr>
                <w:rFonts w:ascii="Times New Roman" w:eastAsia="Calibri" w:hAnsi="Times New Roman" w:cs="Times New Roman"/>
                <w:b/>
                <w:bCs/>
                <w:color w:val="000000"/>
                <w:sz w:val="20"/>
                <w:szCs w:val="20"/>
                <w:lang w:val="sr-Cyrl-RS"/>
              </w:rPr>
              <w:t>.</w:t>
            </w:r>
            <w:r w:rsidRPr="00EA0FD7">
              <w:rPr>
                <w:rFonts w:ascii="Times New Roman" w:eastAsia="Calibri" w:hAnsi="Times New Roman" w:cs="Times New Roman"/>
                <w:b/>
                <w:bCs/>
                <w:color w:val="000000"/>
                <w:sz w:val="20"/>
                <w:szCs w:val="20"/>
                <w:lang w:val="sr-Cyrl-RS"/>
              </w:rPr>
              <w:t xml:space="preserve"> КМ (претходна година = 100)</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0D81D4B6"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35.376</w:t>
            </w:r>
          </w:p>
        </w:tc>
        <w:tc>
          <w:tcPr>
            <w:tcW w:w="991" w:type="dxa"/>
            <w:tcBorders>
              <w:top w:val="nil"/>
              <w:left w:val="nil"/>
              <w:bottom w:val="single" w:sz="8" w:space="0" w:color="auto"/>
              <w:right w:val="single" w:sz="8" w:space="0" w:color="auto"/>
            </w:tcBorders>
            <w:shd w:val="clear" w:color="auto" w:fill="D9D9D9"/>
            <w:vAlign w:val="center"/>
            <w:hideMark/>
          </w:tcPr>
          <w:p w14:paraId="48CA0A41"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37.344</w:t>
            </w:r>
          </w:p>
        </w:tc>
        <w:tc>
          <w:tcPr>
            <w:tcW w:w="992" w:type="dxa"/>
            <w:tcBorders>
              <w:top w:val="nil"/>
              <w:left w:val="nil"/>
              <w:bottom w:val="single" w:sz="8" w:space="0" w:color="auto"/>
              <w:right w:val="single" w:sz="8" w:space="0" w:color="auto"/>
            </w:tcBorders>
            <w:shd w:val="clear" w:color="auto" w:fill="D9D9D9"/>
            <w:vAlign w:val="center"/>
            <w:hideMark/>
          </w:tcPr>
          <w:p w14:paraId="09F84C0A"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38.364</w:t>
            </w:r>
          </w:p>
        </w:tc>
        <w:tc>
          <w:tcPr>
            <w:tcW w:w="992" w:type="dxa"/>
            <w:tcBorders>
              <w:top w:val="nil"/>
              <w:left w:val="nil"/>
              <w:bottom w:val="single" w:sz="8" w:space="0" w:color="auto"/>
              <w:right w:val="single" w:sz="8" w:space="0" w:color="auto"/>
            </w:tcBorders>
            <w:shd w:val="clear" w:color="auto" w:fill="D9D9D9"/>
            <w:vAlign w:val="center"/>
            <w:hideMark/>
          </w:tcPr>
          <w:p w14:paraId="1589C8BE"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40.802</w:t>
            </w:r>
          </w:p>
        </w:tc>
        <w:tc>
          <w:tcPr>
            <w:tcW w:w="992" w:type="dxa"/>
            <w:tcBorders>
              <w:top w:val="nil"/>
              <w:left w:val="nil"/>
              <w:bottom w:val="single" w:sz="8" w:space="0" w:color="auto"/>
              <w:right w:val="single" w:sz="8" w:space="0" w:color="auto"/>
            </w:tcBorders>
            <w:shd w:val="clear" w:color="auto" w:fill="D9D9D9"/>
            <w:vAlign w:val="center"/>
            <w:hideMark/>
          </w:tcPr>
          <w:p w14:paraId="61E6E1D6"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42.568</w:t>
            </w:r>
          </w:p>
        </w:tc>
        <w:tc>
          <w:tcPr>
            <w:tcW w:w="957" w:type="dxa"/>
            <w:tcBorders>
              <w:top w:val="nil"/>
              <w:left w:val="nil"/>
              <w:bottom w:val="single" w:sz="8" w:space="0" w:color="auto"/>
              <w:right w:val="single" w:sz="8" w:space="0" w:color="auto"/>
            </w:tcBorders>
            <w:shd w:val="clear" w:color="auto" w:fill="D9D9D9"/>
            <w:vAlign w:val="center"/>
            <w:hideMark/>
          </w:tcPr>
          <w:p w14:paraId="7172AD26"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44.790</w:t>
            </w:r>
          </w:p>
        </w:tc>
      </w:tr>
      <w:tr w:rsidR="00EA0FD7" w:rsidRPr="00EA0FD7" w14:paraId="58C9835A" w14:textId="77777777" w:rsidTr="00EA0FD7">
        <w:trPr>
          <w:trHeight w:val="406"/>
        </w:trPr>
        <w:tc>
          <w:tcPr>
            <w:tcW w:w="4772" w:type="dxa"/>
            <w:tcBorders>
              <w:top w:val="nil"/>
              <w:left w:val="single" w:sz="8" w:space="0" w:color="auto"/>
              <w:bottom w:val="single" w:sz="8" w:space="0" w:color="auto"/>
              <w:right w:val="single" w:sz="8" w:space="0" w:color="auto"/>
            </w:tcBorders>
            <w:shd w:val="clear" w:color="auto" w:fill="F2F2F2"/>
            <w:noWrap/>
            <w:vAlign w:val="bottom"/>
            <w:hideMark/>
          </w:tcPr>
          <w:p w14:paraId="06432645"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 xml:space="preserve">Реални раст у % </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591FEAC0"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-3,2</w:t>
            </w:r>
          </w:p>
        </w:tc>
        <w:tc>
          <w:tcPr>
            <w:tcW w:w="991" w:type="dxa"/>
            <w:tcBorders>
              <w:top w:val="nil"/>
              <w:left w:val="nil"/>
              <w:bottom w:val="single" w:sz="8" w:space="0" w:color="auto"/>
              <w:right w:val="single" w:sz="8" w:space="0" w:color="auto"/>
            </w:tcBorders>
            <w:shd w:val="clear" w:color="auto" w:fill="D9D9D9"/>
            <w:vAlign w:val="center"/>
            <w:hideMark/>
          </w:tcPr>
          <w:p w14:paraId="387D9EBE"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5,4</w:t>
            </w:r>
          </w:p>
        </w:tc>
        <w:tc>
          <w:tcPr>
            <w:tcW w:w="992" w:type="dxa"/>
            <w:tcBorders>
              <w:top w:val="nil"/>
              <w:left w:val="nil"/>
              <w:bottom w:val="single" w:sz="8" w:space="0" w:color="auto"/>
              <w:right w:val="single" w:sz="8" w:space="0" w:color="auto"/>
            </w:tcBorders>
            <w:shd w:val="clear" w:color="auto" w:fill="D9D9D9"/>
            <w:vAlign w:val="center"/>
            <w:hideMark/>
          </w:tcPr>
          <w:p w14:paraId="463FB471"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2,1</w:t>
            </w:r>
          </w:p>
        </w:tc>
        <w:tc>
          <w:tcPr>
            <w:tcW w:w="992" w:type="dxa"/>
            <w:tcBorders>
              <w:top w:val="nil"/>
              <w:left w:val="nil"/>
              <w:bottom w:val="single" w:sz="8" w:space="0" w:color="auto"/>
              <w:right w:val="single" w:sz="8" w:space="0" w:color="auto"/>
            </w:tcBorders>
            <w:shd w:val="clear" w:color="auto" w:fill="D9D9D9"/>
            <w:vAlign w:val="center"/>
            <w:hideMark/>
          </w:tcPr>
          <w:p w14:paraId="14FA2F97"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3,1</w:t>
            </w:r>
          </w:p>
        </w:tc>
        <w:tc>
          <w:tcPr>
            <w:tcW w:w="992" w:type="dxa"/>
            <w:tcBorders>
              <w:top w:val="nil"/>
              <w:left w:val="nil"/>
              <w:bottom w:val="single" w:sz="8" w:space="0" w:color="auto"/>
              <w:right w:val="single" w:sz="8" w:space="0" w:color="auto"/>
            </w:tcBorders>
            <w:shd w:val="clear" w:color="auto" w:fill="D9D9D9"/>
            <w:vAlign w:val="center"/>
            <w:hideMark/>
          </w:tcPr>
          <w:p w14:paraId="5D0073D8"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3,0</w:t>
            </w:r>
          </w:p>
        </w:tc>
        <w:tc>
          <w:tcPr>
            <w:tcW w:w="957" w:type="dxa"/>
            <w:tcBorders>
              <w:top w:val="nil"/>
              <w:left w:val="nil"/>
              <w:bottom w:val="single" w:sz="8" w:space="0" w:color="auto"/>
              <w:right w:val="single" w:sz="8" w:space="0" w:color="auto"/>
            </w:tcBorders>
            <w:shd w:val="clear" w:color="auto" w:fill="D9D9D9"/>
            <w:vAlign w:val="center"/>
            <w:hideMark/>
          </w:tcPr>
          <w:p w14:paraId="756903F3"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3,4</w:t>
            </w:r>
          </w:p>
        </w:tc>
      </w:tr>
      <w:tr w:rsidR="00EA0FD7" w:rsidRPr="00EA0FD7" w14:paraId="13DA6BBA" w14:textId="77777777" w:rsidTr="00EA0FD7">
        <w:trPr>
          <w:trHeight w:val="396"/>
        </w:trPr>
        <w:tc>
          <w:tcPr>
            <w:tcW w:w="4772" w:type="dxa"/>
            <w:tcBorders>
              <w:top w:val="nil"/>
              <w:left w:val="single" w:sz="8" w:space="0" w:color="auto"/>
              <w:bottom w:val="single" w:sz="8" w:space="0" w:color="auto"/>
              <w:right w:val="single" w:sz="8" w:space="0" w:color="auto"/>
            </w:tcBorders>
            <w:shd w:val="clear" w:color="auto" w:fill="FFFFFF"/>
            <w:noWrap/>
            <w:vAlign w:val="bottom"/>
            <w:hideMark/>
          </w:tcPr>
          <w:p w14:paraId="45C0FA1F"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Инфлација мјерена индексом потрошачких цијена у %</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17485CB8"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w:t>
            </w:r>
          </w:p>
        </w:tc>
        <w:tc>
          <w:tcPr>
            <w:tcW w:w="991" w:type="dxa"/>
            <w:tcBorders>
              <w:top w:val="nil"/>
              <w:left w:val="nil"/>
              <w:bottom w:val="single" w:sz="8" w:space="0" w:color="auto"/>
              <w:right w:val="single" w:sz="8" w:space="0" w:color="auto"/>
            </w:tcBorders>
            <w:shd w:val="clear" w:color="auto" w:fill="D9D9D9"/>
            <w:vAlign w:val="center"/>
            <w:hideMark/>
          </w:tcPr>
          <w:p w14:paraId="4E19B012"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w:t>
            </w:r>
          </w:p>
        </w:tc>
        <w:tc>
          <w:tcPr>
            <w:tcW w:w="992" w:type="dxa"/>
            <w:tcBorders>
              <w:top w:val="nil"/>
              <w:left w:val="nil"/>
              <w:bottom w:val="single" w:sz="8" w:space="0" w:color="auto"/>
              <w:right w:val="single" w:sz="8" w:space="0" w:color="auto"/>
            </w:tcBorders>
            <w:shd w:val="clear" w:color="auto" w:fill="D9D9D9"/>
            <w:vAlign w:val="center"/>
            <w:hideMark/>
          </w:tcPr>
          <w:p w14:paraId="4A848957"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6</w:t>
            </w:r>
          </w:p>
        </w:tc>
        <w:tc>
          <w:tcPr>
            <w:tcW w:w="992" w:type="dxa"/>
            <w:tcBorders>
              <w:top w:val="nil"/>
              <w:left w:val="nil"/>
              <w:bottom w:val="single" w:sz="8" w:space="0" w:color="auto"/>
              <w:right w:val="single" w:sz="8" w:space="0" w:color="auto"/>
            </w:tcBorders>
            <w:shd w:val="clear" w:color="auto" w:fill="D9D9D9"/>
            <w:vAlign w:val="center"/>
            <w:hideMark/>
          </w:tcPr>
          <w:p w14:paraId="5995B089"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1,8</w:t>
            </w:r>
          </w:p>
        </w:tc>
        <w:tc>
          <w:tcPr>
            <w:tcW w:w="992" w:type="dxa"/>
            <w:tcBorders>
              <w:top w:val="nil"/>
              <w:left w:val="nil"/>
              <w:bottom w:val="single" w:sz="8" w:space="0" w:color="auto"/>
              <w:right w:val="single" w:sz="8" w:space="0" w:color="auto"/>
            </w:tcBorders>
            <w:shd w:val="clear" w:color="auto" w:fill="D9D9D9"/>
            <w:vAlign w:val="center"/>
            <w:hideMark/>
          </w:tcPr>
          <w:p w14:paraId="5EA2611E"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1,7</w:t>
            </w:r>
          </w:p>
        </w:tc>
        <w:tc>
          <w:tcPr>
            <w:tcW w:w="957" w:type="dxa"/>
            <w:tcBorders>
              <w:top w:val="nil"/>
              <w:left w:val="nil"/>
              <w:bottom w:val="single" w:sz="8" w:space="0" w:color="auto"/>
              <w:right w:val="single" w:sz="8" w:space="0" w:color="auto"/>
            </w:tcBorders>
            <w:shd w:val="clear" w:color="auto" w:fill="D9D9D9"/>
            <w:vAlign w:val="center"/>
            <w:hideMark/>
          </w:tcPr>
          <w:p w14:paraId="1674A493"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1,5</w:t>
            </w:r>
          </w:p>
        </w:tc>
      </w:tr>
      <w:tr w:rsidR="00EA0FD7" w:rsidRPr="00EA0FD7" w14:paraId="6BD2D017" w14:textId="77777777" w:rsidTr="00EA0FD7">
        <w:trPr>
          <w:trHeight w:val="406"/>
        </w:trPr>
        <w:tc>
          <w:tcPr>
            <w:tcW w:w="4772" w:type="dxa"/>
            <w:tcBorders>
              <w:top w:val="nil"/>
              <w:left w:val="single" w:sz="8" w:space="0" w:color="auto"/>
              <w:bottom w:val="single" w:sz="8" w:space="0" w:color="auto"/>
              <w:right w:val="single" w:sz="8" w:space="0" w:color="auto"/>
            </w:tcBorders>
            <w:shd w:val="clear" w:color="auto" w:fill="F2F2F2"/>
            <w:vAlign w:val="bottom"/>
            <w:hideMark/>
          </w:tcPr>
          <w:p w14:paraId="3D638D9F" w14:textId="43702DB9"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Потрошња у мил</w:t>
            </w:r>
            <w:r w:rsidRPr="00AE5455">
              <w:rPr>
                <w:rFonts w:ascii="Times New Roman" w:eastAsia="Calibri" w:hAnsi="Times New Roman" w:cs="Times New Roman"/>
                <w:b/>
                <w:bCs/>
                <w:color w:val="000000"/>
                <w:sz w:val="20"/>
                <w:szCs w:val="20"/>
                <w:lang w:val="sr-Cyrl-RS"/>
              </w:rPr>
              <w:t>.</w:t>
            </w:r>
            <w:r w:rsidRPr="00EA0FD7">
              <w:rPr>
                <w:rFonts w:ascii="Times New Roman" w:eastAsia="Calibri" w:hAnsi="Times New Roman" w:cs="Times New Roman"/>
                <w:b/>
                <w:bCs/>
                <w:color w:val="000000"/>
                <w:sz w:val="20"/>
                <w:szCs w:val="20"/>
                <w:lang w:val="sr-Cyrl-RS"/>
              </w:rPr>
              <w:t xml:space="preserve"> КМ</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2F3CD871"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32.360</w:t>
            </w:r>
          </w:p>
        </w:tc>
        <w:tc>
          <w:tcPr>
            <w:tcW w:w="991" w:type="dxa"/>
            <w:tcBorders>
              <w:top w:val="nil"/>
              <w:left w:val="nil"/>
              <w:bottom w:val="single" w:sz="8" w:space="0" w:color="auto"/>
              <w:right w:val="single" w:sz="8" w:space="0" w:color="auto"/>
            </w:tcBorders>
            <w:shd w:val="clear" w:color="auto" w:fill="D9D9D9"/>
            <w:vAlign w:val="center"/>
            <w:hideMark/>
          </w:tcPr>
          <w:p w14:paraId="4C482C0F"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34.018</w:t>
            </w:r>
          </w:p>
        </w:tc>
        <w:tc>
          <w:tcPr>
            <w:tcW w:w="992" w:type="dxa"/>
            <w:tcBorders>
              <w:top w:val="nil"/>
              <w:left w:val="nil"/>
              <w:bottom w:val="single" w:sz="8" w:space="0" w:color="auto"/>
              <w:right w:val="single" w:sz="8" w:space="0" w:color="auto"/>
            </w:tcBorders>
            <w:shd w:val="clear" w:color="auto" w:fill="D9D9D9"/>
            <w:vAlign w:val="center"/>
            <w:hideMark/>
          </w:tcPr>
          <w:p w14:paraId="07CF2075"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35.994</w:t>
            </w:r>
          </w:p>
        </w:tc>
        <w:tc>
          <w:tcPr>
            <w:tcW w:w="992" w:type="dxa"/>
            <w:tcBorders>
              <w:top w:val="nil"/>
              <w:left w:val="nil"/>
              <w:bottom w:val="single" w:sz="8" w:space="0" w:color="auto"/>
              <w:right w:val="single" w:sz="8" w:space="0" w:color="auto"/>
            </w:tcBorders>
            <w:shd w:val="clear" w:color="auto" w:fill="D9D9D9"/>
            <w:vAlign w:val="center"/>
            <w:hideMark/>
          </w:tcPr>
          <w:p w14:paraId="301CD649"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37.104</w:t>
            </w:r>
          </w:p>
        </w:tc>
        <w:tc>
          <w:tcPr>
            <w:tcW w:w="992" w:type="dxa"/>
            <w:tcBorders>
              <w:top w:val="nil"/>
              <w:left w:val="nil"/>
              <w:bottom w:val="single" w:sz="8" w:space="0" w:color="auto"/>
              <w:right w:val="single" w:sz="8" w:space="0" w:color="auto"/>
            </w:tcBorders>
            <w:shd w:val="clear" w:color="auto" w:fill="D9D9D9"/>
            <w:vAlign w:val="center"/>
            <w:hideMark/>
          </w:tcPr>
          <w:p w14:paraId="5D5587AF"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38.186</w:t>
            </w:r>
          </w:p>
        </w:tc>
        <w:tc>
          <w:tcPr>
            <w:tcW w:w="957" w:type="dxa"/>
            <w:tcBorders>
              <w:top w:val="nil"/>
              <w:left w:val="nil"/>
              <w:bottom w:val="single" w:sz="8" w:space="0" w:color="auto"/>
              <w:right w:val="single" w:sz="8" w:space="0" w:color="auto"/>
            </w:tcBorders>
            <w:shd w:val="clear" w:color="auto" w:fill="D9D9D9"/>
            <w:vAlign w:val="center"/>
            <w:hideMark/>
          </w:tcPr>
          <w:p w14:paraId="35432442"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39.299</w:t>
            </w:r>
          </w:p>
        </w:tc>
      </w:tr>
      <w:tr w:rsidR="00EA0FD7" w:rsidRPr="00EA0FD7" w14:paraId="2A0E2BAD" w14:textId="77777777" w:rsidTr="00EA0FD7">
        <w:trPr>
          <w:trHeight w:val="406"/>
        </w:trPr>
        <w:tc>
          <w:tcPr>
            <w:tcW w:w="4772" w:type="dxa"/>
            <w:tcBorders>
              <w:top w:val="nil"/>
              <w:left w:val="single" w:sz="8" w:space="0" w:color="auto"/>
              <w:bottom w:val="single" w:sz="8" w:space="0" w:color="auto"/>
              <w:right w:val="single" w:sz="8" w:space="0" w:color="auto"/>
            </w:tcBorders>
            <w:shd w:val="clear" w:color="auto" w:fill="FFFFFF"/>
            <w:vAlign w:val="bottom"/>
            <w:hideMark/>
          </w:tcPr>
          <w:p w14:paraId="1185F393"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 xml:space="preserve">Реални раст у % </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5ADE138F"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-2,3</w:t>
            </w:r>
          </w:p>
        </w:tc>
        <w:tc>
          <w:tcPr>
            <w:tcW w:w="991" w:type="dxa"/>
            <w:tcBorders>
              <w:top w:val="nil"/>
              <w:left w:val="nil"/>
              <w:bottom w:val="single" w:sz="8" w:space="0" w:color="auto"/>
              <w:right w:val="single" w:sz="8" w:space="0" w:color="auto"/>
            </w:tcBorders>
            <w:shd w:val="clear" w:color="auto" w:fill="D9D9D9"/>
            <w:vAlign w:val="center"/>
            <w:hideMark/>
          </w:tcPr>
          <w:p w14:paraId="14A147E4"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3,7</w:t>
            </w:r>
          </w:p>
        </w:tc>
        <w:tc>
          <w:tcPr>
            <w:tcW w:w="992" w:type="dxa"/>
            <w:tcBorders>
              <w:top w:val="nil"/>
              <w:left w:val="nil"/>
              <w:bottom w:val="single" w:sz="8" w:space="0" w:color="auto"/>
              <w:right w:val="single" w:sz="8" w:space="0" w:color="auto"/>
            </w:tcBorders>
            <w:shd w:val="clear" w:color="auto" w:fill="D9D9D9"/>
            <w:vAlign w:val="center"/>
            <w:hideMark/>
          </w:tcPr>
          <w:p w14:paraId="0A4FC1BC"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0,5</w:t>
            </w:r>
          </w:p>
        </w:tc>
        <w:tc>
          <w:tcPr>
            <w:tcW w:w="992" w:type="dxa"/>
            <w:tcBorders>
              <w:top w:val="nil"/>
              <w:left w:val="nil"/>
              <w:bottom w:val="single" w:sz="8" w:space="0" w:color="auto"/>
              <w:right w:val="single" w:sz="8" w:space="0" w:color="auto"/>
            </w:tcBorders>
            <w:shd w:val="clear" w:color="auto" w:fill="D9D9D9"/>
            <w:vAlign w:val="center"/>
            <w:hideMark/>
          </w:tcPr>
          <w:p w14:paraId="30C7FCD9"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1,2</w:t>
            </w:r>
          </w:p>
        </w:tc>
        <w:tc>
          <w:tcPr>
            <w:tcW w:w="992" w:type="dxa"/>
            <w:tcBorders>
              <w:top w:val="nil"/>
              <w:left w:val="nil"/>
              <w:bottom w:val="single" w:sz="8" w:space="0" w:color="auto"/>
              <w:right w:val="single" w:sz="8" w:space="0" w:color="auto"/>
            </w:tcBorders>
            <w:shd w:val="clear" w:color="auto" w:fill="D9D9D9"/>
            <w:vAlign w:val="center"/>
            <w:hideMark/>
          </w:tcPr>
          <w:p w14:paraId="033BE97A"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1,2</w:t>
            </w:r>
          </w:p>
        </w:tc>
        <w:tc>
          <w:tcPr>
            <w:tcW w:w="957" w:type="dxa"/>
            <w:tcBorders>
              <w:top w:val="nil"/>
              <w:left w:val="nil"/>
              <w:bottom w:val="single" w:sz="8" w:space="0" w:color="auto"/>
              <w:right w:val="single" w:sz="8" w:space="0" w:color="auto"/>
            </w:tcBorders>
            <w:shd w:val="clear" w:color="auto" w:fill="D9D9D9"/>
            <w:vAlign w:val="center"/>
            <w:hideMark/>
          </w:tcPr>
          <w:p w14:paraId="2C789C3A"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1,3</w:t>
            </w:r>
          </w:p>
        </w:tc>
      </w:tr>
      <w:tr w:rsidR="00EA0FD7" w:rsidRPr="00EA0FD7" w14:paraId="7B7B247D" w14:textId="77777777" w:rsidTr="00EA0FD7">
        <w:trPr>
          <w:trHeight w:val="406"/>
        </w:trPr>
        <w:tc>
          <w:tcPr>
            <w:tcW w:w="4772" w:type="dxa"/>
            <w:tcBorders>
              <w:top w:val="nil"/>
              <w:left w:val="single" w:sz="8" w:space="0" w:color="auto"/>
              <w:bottom w:val="single" w:sz="8" w:space="0" w:color="auto"/>
              <w:right w:val="single" w:sz="8" w:space="0" w:color="auto"/>
            </w:tcBorders>
            <w:shd w:val="clear" w:color="auto" w:fill="F2F2F2"/>
            <w:vAlign w:val="bottom"/>
            <w:hideMark/>
          </w:tcPr>
          <w:p w14:paraId="7CAE44B7" w14:textId="4196F809"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Владина потрошња у мил</w:t>
            </w:r>
            <w:r w:rsidRPr="00AE5455">
              <w:rPr>
                <w:rFonts w:ascii="Times New Roman" w:eastAsia="Calibri" w:hAnsi="Times New Roman" w:cs="Times New Roman"/>
                <w:b/>
                <w:bCs/>
                <w:color w:val="000000"/>
                <w:sz w:val="20"/>
                <w:szCs w:val="20"/>
                <w:lang w:val="sr-Cyrl-RS"/>
              </w:rPr>
              <w:t>.</w:t>
            </w:r>
            <w:r w:rsidRPr="00EA0FD7">
              <w:rPr>
                <w:rFonts w:ascii="Times New Roman" w:eastAsia="Calibri" w:hAnsi="Times New Roman" w:cs="Times New Roman"/>
                <w:b/>
                <w:bCs/>
                <w:color w:val="000000"/>
                <w:sz w:val="20"/>
                <w:szCs w:val="20"/>
                <w:lang w:val="sr-Cyrl-RS"/>
              </w:rPr>
              <w:t xml:space="preserve"> КМ</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448F1B83"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7.129</w:t>
            </w:r>
          </w:p>
        </w:tc>
        <w:tc>
          <w:tcPr>
            <w:tcW w:w="991" w:type="dxa"/>
            <w:tcBorders>
              <w:top w:val="nil"/>
              <w:left w:val="nil"/>
              <w:bottom w:val="single" w:sz="8" w:space="0" w:color="auto"/>
              <w:right w:val="single" w:sz="8" w:space="0" w:color="auto"/>
            </w:tcBorders>
            <w:shd w:val="clear" w:color="auto" w:fill="D9D9D9"/>
            <w:vAlign w:val="center"/>
            <w:hideMark/>
          </w:tcPr>
          <w:p w14:paraId="411F5452"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7.272</w:t>
            </w:r>
          </w:p>
        </w:tc>
        <w:tc>
          <w:tcPr>
            <w:tcW w:w="992" w:type="dxa"/>
            <w:tcBorders>
              <w:top w:val="nil"/>
              <w:left w:val="nil"/>
              <w:bottom w:val="single" w:sz="8" w:space="0" w:color="auto"/>
              <w:right w:val="single" w:sz="8" w:space="0" w:color="auto"/>
            </w:tcBorders>
            <w:shd w:val="clear" w:color="auto" w:fill="D9D9D9"/>
            <w:vAlign w:val="center"/>
            <w:hideMark/>
          </w:tcPr>
          <w:p w14:paraId="69F29E8F"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7.504</w:t>
            </w:r>
          </w:p>
        </w:tc>
        <w:tc>
          <w:tcPr>
            <w:tcW w:w="992" w:type="dxa"/>
            <w:tcBorders>
              <w:top w:val="nil"/>
              <w:left w:val="nil"/>
              <w:bottom w:val="single" w:sz="8" w:space="0" w:color="auto"/>
              <w:right w:val="single" w:sz="8" w:space="0" w:color="auto"/>
            </w:tcBorders>
            <w:shd w:val="clear" w:color="auto" w:fill="D9D9D9"/>
            <w:vAlign w:val="center"/>
            <w:hideMark/>
          </w:tcPr>
          <w:p w14:paraId="1BB9CCD0"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7.722</w:t>
            </w:r>
          </w:p>
        </w:tc>
        <w:tc>
          <w:tcPr>
            <w:tcW w:w="992" w:type="dxa"/>
            <w:tcBorders>
              <w:top w:val="nil"/>
              <w:left w:val="nil"/>
              <w:bottom w:val="single" w:sz="8" w:space="0" w:color="auto"/>
              <w:right w:val="single" w:sz="8" w:space="0" w:color="auto"/>
            </w:tcBorders>
            <w:shd w:val="clear" w:color="auto" w:fill="D9D9D9"/>
            <w:vAlign w:val="center"/>
            <w:hideMark/>
          </w:tcPr>
          <w:p w14:paraId="41F2FA84"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7.961</w:t>
            </w:r>
          </w:p>
        </w:tc>
        <w:tc>
          <w:tcPr>
            <w:tcW w:w="957" w:type="dxa"/>
            <w:tcBorders>
              <w:top w:val="nil"/>
              <w:left w:val="nil"/>
              <w:bottom w:val="single" w:sz="8" w:space="0" w:color="auto"/>
              <w:right w:val="single" w:sz="8" w:space="0" w:color="auto"/>
            </w:tcBorders>
            <w:shd w:val="clear" w:color="auto" w:fill="D9D9D9"/>
            <w:vAlign w:val="center"/>
            <w:hideMark/>
          </w:tcPr>
          <w:p w14:paraId="21816136"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8.200</w:t>
            </w:r>
          </w:p>
        </w:tc>
      </w:tr>
      <w:tr w:rsidR="00EA0FD7" w:rsidRPr="00EA0FD7" w14:paraId="06C0E4D6" w14:textId="77777777" w:rsidTr="00EA0FD7">
        <w:trPr>
          <w:trHeight w:val="425"/>
        </w:trPr>
        <w:tc>
          <w:tcPr>
            <w:tcW w:w="4772" w:type="dxa"/>
            <w:tcBorders>
              <w:top w:val="nil"/>
              <w:left w:val="single" w:sz="8" w:space="0" w:color="auto"/>
              <w:bottom w:val="single" w:sz="8" w:space="0" w:color="auto"/>
              <w:right w:val="single" w:sz="8" w:space="0" w:color="auto"/>
            </w:tcBorders>
            <w:shd w:val="clear" w:color="auto" w:fill="FFFFFF"/>
            <w:vAlign w:val="bottom"/>
            <w:hideMark/>
          </w:tcPr>
          <w:p w14:paraId="3E33C160"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 xml:space="preserve">Реални раст у % </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628E645A"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1,3</w:t>
            </w:r>
          </w:p>
        </w:tc>
        <w:tc>
          <w:tcPr>
            <w:tcW w:w="991" w:type="dxa"/>
            <w:tcBorders>
              <w:top w:val="nil"/>
              <w:left w:val="nil"/>
              <w:bottom w:val="single" w:sz="8" w:space="0" w:color="auto"/>
              <w:right w:val="single" w:sz="8" w:space="0" w:color="auto"/>
            </w:tcBorders>
            <w:shd w:val="clear" w:color="auto" w:fill="D9D9D9"/>
            <w:vAlign w:val="center"/>
            <w:hideMark/>
          </w:tcPr>
          <w:p w14:paraId="0BACC0CB"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1,3</w:t>
            </w:r>
          </w:p>
        </w:tc>
        <w:tc>
          <w:tcPr>
            <w:tcW w:w="992" w:type="dxa"/>
            <w:tcBorders>
              <w:top w:val="nil"/>
              <w:left w:val="nil"/>
              <w:bottom w:val="single" w:sz="8" w:space="0" w:color="auto"/>
              <w:right w:val="single" w:sz="8" w:space="0" w:color="auto"/>
            </w:tcBorders>
            <w:shd w:val="clear" w:color="auto" w:fill="D9D9D9"/>
            <w:vAlign w:val="center"/>
            <w:hideMark/>
          </w:tcPr>
          <w:p w14:paraId="7D6CD507"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0,7</w:t>
            </w:r>
          </w:p>
        </w:tc>
        <w:tc>
          <w:tcPr>
            <w:tcW w:w="992" w:type="dxa"/>
            <w:tcBorders>
              <w:top w:val="nil"/>
              <w:left w:val="nil"/>
              <w:bottom w:val="single" w:sz="8" w:space="0" w:color="auto"/>
              <w:right w:val="single" w:sz="8" w:space="0" w:color="auto"/>
            </w:tcBorders>
            <w:shd w:val="clear" w:color="auto" w:fill="D9D9D9"/>
            <w:vAlign w:val="center"/>
            <w:hideMark/>
          </w:tcPr>
          <w:p w14:paraId="533570F7"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0,4</w:t>
            </w:r>
          </w:p>
        </w:tc>
        <w:tc>
          <w:tcPr>
            <w:tcW w:w="992" w:type="dxa"/>
            <w:tcBorders>
              <w:top w:val="nil"/>
              <w:left w:val="nil"/>
              <w:bottom w:val="single" w:sz="8" w:space="0" w:color="auto"/>
              <w:right w:val="single" w:sz="8" w:space="0" w:color="auto"/>
            </w:tcBorders>
            <w:shd w:val="clear" w:color="auto" w:fill="D9D9D9"/>
            <w:vAlign w:val="center"/>
            <w:hideMark/>
          </w:tcPr>
          <w:p w14:paraId="443BA4A6"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0,6</w:t>
            </w:r>
          </w:p>
        </w:tc>
        <w:tc>
          <w:tcPr>
            <w:tcW w:w="957" w:type="dxa"/>
            <w:tcBorders>
              <w:top w:val="nil"/>
              <w:left w:val="nil"/>
              <w:bottom w:val="single" w:sz="8" w:space="0" w:color="auto"/>
              <w:right w:val="single" w:sz="8" w:space="0" w:color="auto"/>
            </w:tcBorders>
            <w:shd w:val="clear" w:color="auto" w:fill="D9D9D9"/>
            <w:vAlign w:val="center"/>
            <w:hideMark/>
          </w:tcPr>
          <w:p w14:paraId="3F2843E1"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0,5</w:t>
            </w:r>
          </w:p>
        </w:tc>
      </w:tr>
      <w:tr w:rsidR="00EA0FD7" w:rsidRPr="00EA0FD7" w14:paraId="042AB65A" w14:textId="77777777" w:rsidTr="00EA0FD7">
        <w:trPr>
          <w:trHeight w:val="406"/>
        </w:trPr>
        <w:tc>
          <w:tcPr>
            <w:tcW w:w="4772" w:type="dxa"/>
            <w:tcBorders>
              <w:top w:val="nil"/>
              <w:left w:val="single" w:sz="8" w:space="0" w:color="auto"/>
              <w:bottom w:val="single" w:sz="8" w:space="0" w:color="auto"/>
              <w:right w:val="single" w:sz="8" w:space="0" w:color="auto"/>
            </w:tcBorders>
            <w:shd w:val="clear" w:color="auto" w:fill="F2F2F2"/>
            <w:vAlign w:val="bottom"/>
            <w:hideMark/>
          </w:tcPr>
          <w:p w14:paraId="31178DE8" w14:textId="57B6455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Приватна потрошња у мил</w:t>
            </w:r>
            <w:r w:rsidRPr="00AE5455">
              <w:rPr>
                <w:rFonts w:ascii="Times New Roman" w:eastAsia="Calibri" w:hAnsi="Times New Roman" w:cs="Times New Roman"/>
                <w:b/>
                <w:bCs/>
                <w:color w:val="000000"/>
                <w:sz w:val="20"/>
                <w:szCs w:val="20"/>
                <w:lang w:val="sr-Cyrl-RS"/>
              </w:rPr>
              <w:t>.</w:t>
            </w:r>
            <w:r w:rsidRPr="00EA0FD7">
              <w:rPr>
                <w:rFonts w:ascii="Times New Roman" w:eastAsia="Calibri" w:hAnsi="Times New Roman" w:cs="Times New Roman"/>
                <w:b/>
                <w:bCs/>
                <w:color w:val="000000"/>
                <w:sz w:val="20"/>
                <w:szCs w:val="20"/>
                <w:lang w:val="sr-Cyrl-RS"/>
              </w:rPr>
              <w:t xml:space="preserve"> КМ</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6FABBE8B"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25.232</w:t>
            </w:r>
          </w:p>
        </w:tc>
        <w:tc>
          <w:tcPr>
            <w:tcW w:w="991" w:type="dxa"/>
            <w:tcBorders>
              <w:top w:val="nil"/>
              <w:left w:val="nil"/>
              <w:bottom w:val="single" w:sz="8" w:space="0" w:color="auto"/>
              <w:right w:val="single" w:sz="8" w:space="0" w:color="auto"/>
            </w:tcBorders>
            <w:shd w:val="clear" w:color="auto" w:fill="D9D9D9"/>
            <w:vAlign w:val="center"/>
            <w:hideMark/>
          </w:tcPr>
          <w:p w14:paraId="2AB9BC5B"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26.747</w:t>
            </w:r>
          </w:p>
        </w:tc>
        <w:tc>
          <w:tcPr>
            <w:tcW w:w="992" w:type="dxa"/>
            <w:tcBorders>
              <w:top w:val="nil"/>
              <w:left w:val="nil"/>
              <w:bottom w:val="single" w:sz="8" w:space="0" w:color="auto"/>
              <w:right w:val="single" w:sz="8" w:space="0" w:color="auto"/>
            </w:tcBorders>
            <w:shd w:val="clear" w:color="auto" w:fill="D9D9D9"/>
            <w:vAlign w:val="center"/>
            <w:hideMark/>
          </w:tcPr>
          <w:p w14:paraId="327BAB3A"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28.489</w:t>
            </w:r>
          </w:p>
        </w:tc>
        <w:tc>
          <w:tcPr>
            <w:tcW w:w="992" w:type="dxa"/>
            <w:tcBorders>
              <w:top w:val="nil"/>
              <w:left w:val="nil"/>
              <w:bottom w:val="single" w:sz="8" w:space="0" w:color="auto"/>
              <w:right w:val="single" w:sz="8" w:space="0" w:color="auto"/>
            </w:tcBorders>
            <w:shd w:val="clear" w:color="auto" w:fill="D9D9D9"/>
            <w:vAlign w:val="center"/>
            <w:hideMark/>
          </w:tcPr>
          <w:p w14:paraId="4D64A470"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29.382</w:t>
            </w:r>
          </w:p>
        </w:tc>
        <w:tc>
          <w:tcPr>
            <w:tcW w:w="992" w:type="dxa"/>
            <w:tcBorders>
              <w:top w:val="nil"/>
              <w:left w:val="nil"/>
              <w:bottom w:val="single" w:sz="8" w:space="0" w:color="auto"/>
              <w:right w:val="single" w:sz="8" w:space="0" w:color="auto"/>
            </w:tcBorders>
            <w:shd w:val="clear" w:color="auto" w:fill="D9D9D9"/>
            <w:vAlign w:val="center"/>
            <w:hideMark/>
          </w:tcPr>
          <w:p w14:paraId="29054AC2"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30.225</w:t>
            </w:r>
          </w:p>
        </w:tc>
        <w:tc>
          <w:tcPr>
            <w:tcW w:w="957" w:type="dxa"/>
            <w:tcBorders>
              <w:top w:val="nil"/>
              <w:left w:val="nil"/>
              <w:bottom w:val="single" w:sz="8" w:space="0" w:color="auto"/>
              <w:right w:val="single" w:sz="8" w:space="0" w:color="auto"/>
            </w:tcBorders>
            <w:shd w:val="clear" w:color="auto" w:fill="D9D9D9"/>
            <w:vAlign w:val="center"/>
            <w:hideMark/>
          </w:tcPr>
          <w:p w14:paraId="4B11C7CC"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31.099</w:t>
            </w:r>
          </w:p>
        </w:tc>
      </w:tr>
      <w:tr w:rsidR="00EA0FD7" w:rsidRPr="00EA0FD7" w14:paraId="2ADFC725" w14:textId="77777777" w:rsidTr="00EA0FD7">
        <w:trPr>
          <w:trHeight w:val="406"/>
        </w:trPr>
        <w:tc>
          <w:tcPr>
            <w:tcW w:w="4772" w:type="dxa"/>
            <w:tcBorders>
              <w:top w:val="nil"/>
              <w:left w:val="single" w:sz="8" w:space="0" w:color="auto"/>
              <w:bottom w:val="single" w:sz="8" w:space="0" w:color="auto"/>
              <w:right w:val="single" w:sz="8" w:space="0" w:color="auto"/>
            </w:tcBorders>
            <w:shd w:val="clear" w:color="auto" w:fill="FFFFFF"/>
            <w:vAlign w:val="bottom"/>
            <w:hideMark/>
          </w:tcPr>
          <w:p w14:paraId="75A25AFB"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 xml:space="preserve">Реални раст у % </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7089498A"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-3,2</w:t>
            </w:r>
          </w:p>
        </w:tc>
        <w:tc>
          <w:tcPr>
            <w:tcW w:w="991" w:type="dxa"/>
            <w:tcBorders>
              <w:top w:val="nil"/>
              <w:left w:val="nil"/>
              <w:bottom w:val="single" w:sz="8" w:space="0" w:color="auto"/>
              <w:right w:val="single" w:sz="8" w:space="0" w:color="auto"/>
            </w:tcBorders>
            <w:shd w:val="clear" w:color="auto" w:fill="D9D9D9"/>
            <w:vAlign w:val="center"/>
            <w:hideMark/>
          </w:tcPr>
          <w:p w14:paraId="5DD724CC"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4,4</w:t>
            </w:r>
          </w:p>
        </w:tc>
        <w:tc>
          <w:tcPr>
            <w:tcW w:w="992" w:type="dxa"/>
            <w:tcBorders>
              <w:top w:val="nil"/>
              <w:left w:val="nil"/>
              <w:bottom w:val="single" w:sz="8" w:space="0" w:color="auto"/>
              <w:right w:val="single" w:sz="8" w:space="0" w:color="auto"/>
            </w:tcBorders>
            <w:shd w:val="clear" w:color="auto" w:fill="D9D9D9"/>
            <w:vAlign w:val="center"/>
            <w:hideMark/>
          </w:tcPr>
          <w:p w14:paraId="21AB9515"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0,5</w:t>
            </w:r>
          </w:p>
        </w:tc>
        <w:tc>
          <w:tcPr>
            <w:tcW w:w="992" w:type="dxa"/>
            <w:tcBorders>
              <w:top w:val="nil"/>
              <w:left w:val="nil"/>
              <w:bottom w:val="single" w:sz="8" w:space="0" w:color="auto"/>
              <w:right w:val="single" w:sz="8" w:space="0" w:color="auto"/>
            </w:tcBorders>
            <w:shd w:val="clear" w:color="auto" w:fill="D9D9D9"/>
            <w:vAlign w:val="center"/>
            <w:hideMark/>
          </w:tcPr>
          <w:p w14:paraId="4E82FA7B"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1,4</w:t>
            </w:r>
          </w:p>
        </w:tc>
        <w:tc>
          <w:tcPr>
            <w:tcW w:w="992" w:type="dxa"/>
            <w:tcBorders>
              <w:top w:val="nil"/>
              <w:left w:val="nil"/>
              <w:bottom w:val="single" w:sz="8" w:space="0" w:color="auto"/>
              <w:right w:val="single" w:sz="8" w:space="0" w:color="auto"/>
            </w:tcBorders>
            <w:shd w:val="clear" w:color="auto" w:fill="D9D9D9"/>
            <w:vAlign w:val="center"/>
            <w:hideMark/>
          </w:tcPr>
          <w:p w14:paraId="11D00ED6"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1,4</w:t>
            </w:r>
          </w:p>
        </w:tc>
        <w:tc>
          <w:tcPr>
            <w:tcW w:w="957" w:type="dxa"/>
            <w:tcBorders>
              <w:top w:val="nil"/>
              <w:left w:val="nil"/>
              <w:bottom w:val="single" w:sz="8" w:space="0" w:color="auto"/>
              <w:right w:val="single" w:sz="8" w:space="0" w:color="auto"/>
            </w:tcBorders>
            <w:shd w:val="clear" w:color="auto" w:fill="D9D9D9"/>
            <w:vAlign w:val="center"/>
            <w:hideMark/>
          </w:tcPr>
          <w:p w14:paraId="75D5EC86"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1,5</w:t>
            </w:r>
          </w:p>
        </w:tc>
      </w:tr>
      <w:tr w:rsidR="00EA0FD7" w:rsidRPr="00EA0FD7" w14:paraId="2C21A522" w14:textId="77777777" w:rsidTr="00EA0FD7">
        <w:trPr>
          <w:trHeight w:val="406"/>
        </w:trPr>
        <w:tc>
          <w:tcPr>
            <w:tcW w:w="4772" w:type="dxa"/>
            <w:tcBorders>
              <w:top w:val="nil"/>
              <w:left w:val="single" w:sz="8" w:space="0" w:color="auto"/>
              <w:bottom w:val="single" w:sz="8" w:space="0" w:color="auto"/>
              <w:right w:val="single" w:sz="8" w:space="0" w:color="auto"/>
            </w:tcBorders>
            <w:shd w:val="clear" w:color="auto" w:fill="F2F2F2"/>
            <w:vAlign w:val="bottom"/>
            <w:hideMark/>
          </w:tcPr>
          <w:p w14:paraId="65E790A9" w14:textId="068EECCE"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Инвестиције (бруто) у стална средства у мил</w:t>
            </w:r>
            <w:r w:rsidRPr="00AE5455">
              <w:rPr>
                <w:rFonts w:ascii="Times New Roman" w:eastAsia="Calibri" w:hAnsi="Times New Roman" w:cs="Times New Roman"/>
                <w:b/>
                <w:bCs/>
                <w:color w:val="000000"/>
                <w:sz w:val="20"/>
                <w:szCs w:val="20"/>
                <w:lang w:val="sr-Cyrl-RS"/>
              </w:rPr>
              <w:t>.</w:t>
            </w:r>
            <w:r w:rsidRPr="00EA0FD7">
              <w:rPr>
                <w:rFonts w:ascii="Times New Roman" w:eastAsia="Calibri" w:hAnsi="Times New Roman" w:cs="Times New Roman"/>
                <w:b/>
                <w:bCs/>
                <w:color w:val="000000"/>
                <w:sz w:val="20"/>
                <w:szCs w:val="20"/>
                <w:lang w:val="sr-Cyrl-RS"/>
              </w:rPr>
              <w:t xml:space="preserve"> КМ</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7FA58266"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7.779</w:t>
            </w:r>
          </w:p>
        </w:tc>
        <w:tc>
          <w:tcPr>
            <w:tcW w:w="991" w:type="dxa"/>
            <w:tcBorders>
              <w:top w:val="nil"/>
              <w:left w:val="nil"/>
              <w:bottom w:val="single" w:sz="8" w:space="0" w:color="auto"/>
              <w:right w:val="single" w:sz="8" w:space="0" w:color="auto"/>
            </w:tcBorders>
            <w:shd w:val="clear" w:color="auto" w:fill="D9D9D9"/>
            <w:vAlign w:val="center"/>
            <w:hideMark/>
          </w:tcPr>
          <w:p w14:paraId="0B888F8C"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8.520</w:t>
            </w:r>
          </w:p>
        </w:tc>
        <w:tc>
          <w:tcPr>
            <w:tcW w:w="992" w:type="dxa"/>
            <w:tcBorders>
              <w:top w:val="nil"/>
              <w:left w:val="nil"/>
              <w:bottom w:val="single" w:sz="8" w:space="0" w:color="auto"/>
              <w:right w:val="single" w:sz="8" w:space="0" w:color="auto"/>
            </w:tcBorders>
            <w:shd w:val="clear" w:color="auto" w:fill="D9D9D9"/>
            <w:vAlign w:val="center"/>
            <w:hideMark/>
          </w:tcPr>
          <w:p w14:paraId="10F7B784"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9.061</w:t>
            </w:r>
          </w:p>
        </w:tc>
        <w:tc>
          <w:tcPr>
            <w:tcW w:w="992" w:type="dxa"/>
            <w:tcBorders>
              <w:top w:val="nil"/>
              <w:left w:val="nil"/>
              <w:bottom w:val="single" w:sz="8" w:space="0" w:color="auto"/>
              <w:right w:val="single" w:sz="8" w:space="0" w:color="auto"/>
            </w:tcBorders>
            <w:shd w:val="clear" w:color="auto" w:fill="D9D9D9"/>
            <w:vAlign w:val="center"/>
            <w:hideMark/>
          </w:tcPr>
          <w:p w14:paraId="0A480BA3"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9.700</w:t>
            </w:r>
          </w:p>
        </w:tc>
        <w:tc>
          <w:tcPr>
            <w:tcW w:w="992" w:type="dxa"/>
            <w:tcBorders>
              <w:top w:val="nil"/>
              <w:left w:val="nil"/>
              <w:bottom w:val="single" w:sz="8" w:space="0" w:color="auto"/>
              <w:right w:val="single" w:sz="8" w:space="0" w:color="auto"/>
            </w:tcBorders>
            <w:shd w:val="clear" w:color="auto" w:fill="D9D9D9"/>
            <w:vAlign w:val="center"/>
            <w:hideMark/>
          </w:tcPr>
          <w:p w14:paraId="08F3270A"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10.650</w:t>
            </w:r>
          </w:p>
        </w:tc>
        <w:tc>
          <w:tcPr>
            <w:tcW w:w="957" w:type="dxa"/>
            <w:tcBorders>
              <w:top w:val="nil"/>
              <w:left w:val="nil"/>
              <w:bottom w:val="single" w:sz="8" w:space="0" w:color="auto"/>
              <w:right w:val="single" w:sz="8" w:space="0" w:color="auto"/>
            </w:tcBorders>
            <w:shd w:val="clear" w:color="auto" w:fill="D9D9D9"/>
            <w:vAlign w:val="center"/>
            <w:hideMark/>
          </w:tcPr>
          <w:p w14:paraId="732D4E4C"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11.700</w:t>
            </w:r>
          </w:p>
        </w:tc>
      </w:tr>
      <w:tr w:rsidR="00EA0FD7" w:rsidRPr="00EA0FD7" w14:paraId="74400CF5" w14:textId="77777777" w:rsidTr="00EA0FD7">
        <w:trPr>
          <w:trHeight w:val="406"/>
        </w:trPr>
        <w:tc>
          <w:tcPr>
            <w:tcW w:w="4772" w:type="dxa"/>
            <w:tcBorders>
              <w:top w:val="nil"/>
              <w:left w:val="single" w:sz="8" w:space="0" w:color="auto"/>
              <w:bottom w:val="single" w:sz="8" w:space="0" w:color="auto"/>
              <w:right w:val="single" w:sz="8" w:space="0" w:color="auto"/>
            </w:tcBorders>
            <w:shd w:val="clear" w:color="auto" w:fill="FFFFFF"/>
            <w:vAlign w:val="bottom"/>
            <w:hideMark/>
          </w:tcPr>
          <w:p w14:paraId="21C8D601"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 xml:space="preserve">Реални раст у % </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30C6B73C"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-4,1</w:t>
            </w:r>
          </w:p>
        </w:tc>
        <w:tc>
          <w:tcPr>
            <w:tcW w:w="991" w:type="dxa"/>
            <w:tcBorders>
              <w:top w:val="nil"/>
              <w:left w:val="nil"/>
              <w:bottom w:val="single" w:sz="8" w:space="0" w:color="auto"/>
              <w:right w:val="single" w:sz="8" w:space="0" w:color="auto"/>
            </w:tcBorders>
            <w:shd w:val="clear" w:color="auto" w:fill="D9D9D9"/>
            <w:vAlign w:val="center"/>
            <w:hideMark/>
          </w:tcPr>
          <w:p w14:paraId="52704E97"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4,8</w:t>
            </w:r>
          </w:p>
        </w:tc>
        <w:tc>
          <w:tcPr>
            <w:tcW w:w="992" w:type="dxa"/>
            <w:tcBorders>
              <w:top w:val="nil"/>
              <w:left w:val="nil"/>
              <w:bottom w:val="single" w:sz="8" w:space="0" w:color="auto"/>
              <w:right w:val="single" w:sz="8" w:space="0" w:color="auto"/>
            </w:tcBorders>
            <w:shd w:val="clear" w:color="auto" w:fill="D9D9D9"/>
            <w:vAlign w:val="center"/>
            <w:hideMark/>
          </w:tcPr>
          <w:p w14:paraId="3983CFDF"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0,7</w:t>
            </w:r>
          </w:p>
        </w:tc>
        <w:tc>
          <w:tcPr>
            <w:tcW w:w="992" w:type="dxa"/>
            <w:tcBorders>
              <w:top w:val="nil"/>
              <w:left w:val="nil"/>
              <w:bottom w:val="single" w:sz="8" w:space="0" w:color="auto"/>
              <w:right w:val="single" w:sz="8" w:space="0" w:color="auto"/>
            </w:tcBorders>
            <w:shd w:val="clear" w:color="auto" w:fill="D9D9D9"/>
            <w:vAlign w:val="center"/>
            <w:hideMark/>
          </w:tcPr>
          <w:p w14:paraId="10CA6FC3"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5,1</w:t>
            </w:r>
          </w:p>
        </w:tc>
        <w:tc>
          <w:tcPr>
            <w:tcW w:w="992" w:type="dxa"/>
            <w:tcBorders>
              <w:top w:val="nil"/>
              <w:left w:val="nil"/>
              <w:bottom w:val="single" w:sz="8" w:space="0" w:color="auto"/>
              <w:right w:val="single" w:sz="8" w:space="0" w:color="auto"/>
            </w:tcBorders>
            <w:shd w:val="clear" w:color="auto" w:fill="D9D9D9"/>
            <w:vAlign w:val="center"/>
            <w:hideMark/>
          </w:tcPr>
          <w:p w14:paraId="412E45D6"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7,8</w:t>
            </w:r>
          </w:p>
        </w:tc>
        <w:tc>
          <w:tcPr>
            <w:tcW w:w="957" w:type="dxa"/>
            <w:tcBorders>
              <w:top w:val="nil"/>
              <w:left w:val="nil"/>
              <w:bottom w:val="single" w:sz="8" w:space="0" w:color="auto"/>
              <w:right w:val="single" w:sz="8" w:space="0" w:color="auto"/>
            </w:tcBorders>
            <w:shd w:val="clear" w:color="auto" w:fill="D9D9D9"/>
            <w:vAlign w:val="center"/>
            <w:hideMark/>
          </w:tcPr>
          <w:p w14:paraId="2739ECD9"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7,8</w:t>
            </w:r>
          </w:p>
        </w:tc>
      </w:tr>
      <w:tr w:rsidR="00EA0FD7" w:rsidRPr="00EA0FD7" w14:paraId="4B5525BF" w14:textId="77777777" w:rsidTr="00EA0FD7">
        <w:trPr>
          <w:trHeight w:val="406"/>
        </w:trPr>
        <w:tc>
          <w:tcPr>
            <w:tcW w:w="4772" w:type="dxa"/>
            <w:tcBorders>
              <w:top w:val="nil"/>
              <w:left w:val="single" w:sz="8" w:space="0" w:color="auto"/>
              <w:bottom w:val="single" w:sz="8" w:space="0" w:color="auto"/>
              <w:right w:val="single" w:sz="8" w:space="0" w:color="auto"/>
            </w:tcBorders>
            <w:shd w:val="clear" w:color="auto" w:fill="F2F2F2"/>
            <w:vAlign w:val="bottom"/>
            <w:hideMark/>
          </w:tcPr>
          <w:p w14:paraId="583E01D2" w14:textId="341F584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Владине инвестиције у мил</w:t>
            </w:r>
            <w:r w:rsidRPr="00AE5455">
              <w:rPr>
                <w:rFonts w:ascii="Times New Roman" w:eastAsia="Calibri" w:hAnsi="Times New Roman" w:cs="Times New Roman"/>
                <w:b/>
                <w:bCs/>
                <w:color w:val="000000"/>
                <w:sz w:val="20"/>
                <w:szCs w:val="20"/>
                <w:lang w:val="sr-Cyrl-RS"/>
              </w:rPr>
              <w:t>.</w:t>
            </w:r>
            <w:r w:rsidRPr="00EA0FD7">
              <w:rPr>
                <w:rFonts w:ascii="Times New Roman" w:eastAsia="Calibri" w:hAnsi="Times New Roman" w:cs="Times New Roman"/>
                <w:b/>
                <w:bCs/>
                <w:color w:val="000000"/>
                <w:sz w:val="20"/>
                <w:szCs w:val="20"/>
                <w:lang w:val="sr-Cyrl-RS"/>
              </w:rPr>
              <w:t xml:space="preserve"> КМ</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5DD8C801"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1.674</w:t>
            </w:r>
          </w:p>
        </w:tc>
        <w:tc>
          <w:tcPr>
            <w:tcW w:w="991" w:type="dxa"/>
            <w:tcBorders>
              <w:top w:val="nil"/>
              <w:left w:val="nil"/>
              <w:bottom w:val="single" w:sz="8" w:space="0" w:color="auto"/>
              <w:right w:val="single" w:sz="8" w:space="0" w:color="auto"/>
            </w:tcBorders>
            <w:shd w:val="clear" w:color="auto" w:fill="D9D9D9"/>
            <w:vAlign w:val="center"/>
            <w:hideMark/>
          </w:tcPr>
          <w:p w14:paraId="607DABB9"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1.683</w:t>
            </w:r>
          </w:p>
        </w:tc>
        <w:tc>
          <w:tcPr>
            <w:tcW w:w="992" w:type="dxa"/>
            <w:tcBorders>
              <w:top w:val="nil"/>
              <w:left w:val="nil"/>
              <w:bottom w:val="single" w:sz="8" w:space="0" w:color="auto"/>
              <w:right w:val="single" w:sz="8" w:space="0" w:color="auto"/>
            </w:tcBorders>
            <w:shd w:val="clear" w:color="auto" w:fill="D9D9D9"/>
            <w:vAlign w:val="center"/>
            <w:hideMark/>
          </w:tcPr>
          <w:p w14:paraId="5031BE7C"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1.758</w:t>
            </w:r>
          </w:p>
        </w:tc>
        <w:tc>
          <w:tcPr>
            <w:tcW w:w="992" w:type="dxa"/>
            <w:tcBorders>
              <w:top w:val="nil"/>
              <w:left w:val="nil"/>
              <w:bottom w:val="single" w:sz="8" w:space="0" w:color="auto"/>
              <w:right w:val="single" w:sz="8" w:space="0" w:color="auto"/>
            </w:tcBorders>
            <w:shd w:val="clear" w:color="auto" w:fill="D9D9D9"/>
            <w:vAlign w:val="center"/>
            <w:hideMark/>
          </w:tcPr>
          <w:p w14:paraId="1F657291"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1.931</w:t>
            </w:r>
          </w:p>
        </w:tc>
        <w:tc>
          <w:tcPr>
            <w:tcW w:w="992" w:type="dxa"/>
            <w:tcBorders>
              <w:top w:val="nil"/>
              <w:left w:val="nil"/>
              <w:bottom w:val="single" w:sz="8" w:space="0" w:color="auto"/>
              <w:right w:val="single" w:sz="8" w:space="0" w:color="auto"/>
            </w:tcBorders>
            <w:shd w:val="clear" w:color="auto" w:fill="D9D9D9"/>
            <w:vAlign w:val="center"/>
            <w:hideMark/>
          </w:tcPr>
          <w:p w14:paraId="11E8DE26"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2.220</w:t>
            </w:r>
          </w:p>
        </w:tc>
        <w:tc>
          <w:tcPr>
            <w:tcW w:w="957" w:type="dxa"/>
            <w:tcBorders>
              <w:top w:val="nil"/>
              <w:left w:val="nil"/>
              <w:bottom w:val="single" w:sz="8" w:space="0" w:color="auto"/>
              <w:right w:val="single" w:sz="8" w:space="0" w:color="auto"/>
            </w:tcBorders>
            <w:shd w:val="clear" w:color="auto" w:fill="D9D9D9"/>
            <w:vAlign w:val="center"/>
            <w:hideMark/>
          </w:tcPr>
          <w:p w14:paraId="2D9F177F"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2.553</w:t>
            </w:r>
          </w:p>
        </w:tc>
      </w:tr>
      <w:tr w:rsidR="00EA0FD7" w:rsidRPr="00EA0FD7" w14:paraId="3287A832" w14:textId="77777777" w:rsidTr="00EA0FD7">
        <w:trPr>
          <w:trHeight w:val="406"/>
        </w:trPr>
        <w:tc>
          <w:tcPr>
            <w:tcW w:w="4772" w:type="dxa"/>
            <w:tcBorders>
              <w:top w:val="nil"/>
              <w:left w:val="single" w:sz="8" w:space="0" w:color="auto"/>
              <w:bottom w:val="single" w:sz="8" w:space="0" w:color="auto"/>
              <w:right w:val="single" w:sz="8" w:space="0" w:color="auto"/>
            </w:tcBorders>
            <w:shd w:val="clear" w:color="auto" w:fill="FFFFFF"/>
            <w:vAlign w:val="bottom"/>
            <w:hideMark/>
          </w:tcPr>
          <w:p w14:paraId="1C95FC96"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 xml:space="preserve">Реални раст у % </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4107C50F"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80,5</w:t>
            </w:r>
          </w:p>
        </w:tc>
        <w:tc>
          <w:tcPr>
            <w:tcW w:w="991" w:type="dxa"/>
            <w:tcBorders>
              <w:top w:val="nil"/>
              <w:left w:val="nil"/>
              <w:bottom w:val="single" w:sz="8" w:space="0" w:color="auto"/>
              <w:right w:val="single" w:sz="8" w:space="0" w:color="auto"/>
            </w:tcBorders>
            <w:shd w:val="clear" w:color="auto" w:fill="D9D9D9"/>
            <w:vAlign w:val="center"/>
            <w:hideMark/>
          </w:tcPr>
          <w:p w14:paraId="621F9DA0"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-1,0</w:t>
            </w:r>
          </w:p>
        </w:tc>
        <w:tc>
          <w:tcPr>
            <w:tcW w:w="992" w:type="dxa"/>
            <w:tcBorders>
              <w:top w:val="nil"/>
              <w:left w:val="nil"/>
              <w:bottom w:val="single" w:sz="8" w:space="0" w:color="auto"/>
              <w:right w:val="single" w:sz="8" w:space="0" w:color="auto"/>
            </w:tcBorders>
            <w:shd w:val="clear" w:color="auto" w:fill="D9D9D9"/>
            <w:vAlign w:val="center"/>
            <w:hideMark/>
          </w:tcPr>
          <w:p w14:paraId="71EEE068"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2,7</w:t>
            </w:r>
          </w:p>
        </w:tc>
        <w:tc>
          <w:tcPr>
            <w:tcW w:w="992" w:type="dxa"/>
            <w:tcBorders>
              <w:top w:val="nil"/>
              <w:left w:val="nil"/>
              <w:bottom w:val="single" w:sz="8" w:space="0" w:color="auto"/>
              <w:right w:val="single" w:sz="8" w:space="0" w:color="auto"/>
            </w:tcBorders>
            <w:shd w:val="clear" w:color="auto" w:fill="D9D9D9"/>
            <w:vAlign w:val="center"/>
            <w:hideMark/>
          </w:tcPr>
          <w:p w14:paraId="7423FB73"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7,6</w:t>
            </w:r>
          </w:p>
        </w:tc>
        <w:tc>
          <w:tcPr>
            <w:tcW w:w="992" w:type="dxa"/>
            <w:tcBorders>
              <w:top w:val="nil"/>
              <w:left w:val="nil"/>
              <w:bottom w:val="single" w:sz="8" w:space="0" w:color="auto"/>
              <w:right w:val="single" w:sz="8" w:space="0" w:color="auto"/>
            </w:tcBorders>
            <w:shd w:val="clear" w:color="auto" w:fill="D9D9D9"/>
            <w:vAlign w:val="center"/>
            <w:hideMark/>
          </w:tcPr>
          <w:p w14:paraId="23726CC8"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11,7</w:t>
            </w:r>
          </w:p>
        </w:tc>
        <w:tc>
          <w:tcPr>
            <w:tcW w:w="957" w:type="dxa"/>
            <w:tcBorders>
              <w:top w:val="nil"/>
              <w:left w:val="nil"/>
              <w:bottom w:val="single" w:sz="8" w:space="0" w:color="auto"/>
              <w:right w:val="single" w:sz="8" w:space="0" w:color="auto"/>
            </w:tcBorders>
            <w:shd w:val="clear" w:color="auto" w:fill="D9D9D9"/>
            <w:vAlign w:val="center"/>
            <w:hideMark/>
          </w:tcPr>
          <w:p w14:paraId="77C3EDD3"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11,7</w:t>
            </w:r>
          </w:p>
        </w:tc>
      </w:tr>
      <w:tr w:rsidR="00EA0FD7" w:rsidRPr="00EA0FD7" w14:paraId="5AF0EB54" w14:textId="77777777" w:rsidTr="00EA0FD7">
        <w:trPr>
          <w:trHeight w:val="406"/>
        </w:trPr>
        <w:tc>
          <w:tcPr>
            <w:tcW w:w="4772" w:type="dxa"/>
            <w:tcBorders>
              <w:top w:val="nil"/>
              <w:left w:val="single" w:sz="8" w:space="0" w:color="auto"/>
              <w:bottom w:val="single" w:sz="8" w:space="0" w:color="auto"/>
              <w:right w:val="single" w:sz="8" w:space="0" w:color="auto"/>
            </w:tcBorders>
            <w:shd w:val="clear" w:color="auto" w:fill="F2F2F2"/>
            <w:vAlign w:val="bottom"/>
            <w:hideMark/>
          </w:tcPr>
          <w:p w14:paraId="194C5969" w14:textId="13DA829B"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Приватне инвестиције у мил</w:t>
            </w:r>
            <w:r w:rsidRPr="00AE5455">
              <w:rPr>
                <w:rFonts w:ascii="Times New Roman" w:eastAsia="Calibri" w:hAnsi="Times New Roman" w:cs="Times New Roman"/>
                <w:b/>
                <w:bCs/>
                <w:color w:val="000000"/>
                <w:sz w:val="20"/>
                <w:szCs w:val="20"/>
                <w:lang w:val="sr-Cyrl-RS"/>
              </w:rPr>
              <w:t>.</w:t>
            </w:r>
            <w:r w:rsidRPr="00EA0FD7">
              <w:rPr>
                <w:rFonts w:ascii="Times New Roman" w:eastAsia="Calibri" w:hAnsi="Times New Roman" w:cs="Times New Roman"/>
                <w:b/>
                <w:bCs/>
                <w:color w:val="000000"/>
                <w:sz w:val="20"/>
                <w:szCs w:val="20"/>
                <w:lang w:val="sr-Cyrl-RS"/>
              </w:rPr>
              <w:t xml:space="preserve"> КМ</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210EE36B"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6.105</w:t>
            </w:r>
          </w:p>
        </w:tc>
        <w:tc>
          <w:tcPr>
            <w:tcW w:w="991" w:type="dxa"/>
            <w:tcBorders>
              <w:top w:val="nil"/>
              <w:left w:val="nil"/>
              <w:bottom w:val="single" w:sz="8" w:space="0" w:color="auto"/>
              <w:right w:val="single" w:sz="8" w:space="0" w:color="auto"/>
            </w:tcBorders>
            <w:shd w:val="clear" w:color="auto" w:fill="D9D9D9"/>
            <w:vAlign w:val="center"/>
            <w:hideMark/>
          </w:tcPr>
          <w:p w14:paraId="53374448"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6.838</w:t>
            </w:r>
          </w:p>
        </w:tc>
        <w:tc>
          <w:tcPr>
            <w:tcW w:w="992" w:type="dxa"/>
            <w:tcBorders>
              <w:top w:val="nil"/>
              <w:left w:val="nil"/>
              <w:bottom w:val="single" w:sz="8" w:space="0" w:color="auto"/>
              <w:right w:val="single" w:sz="8" w:space="0" w:color="auto"/>
            </w:tcBorders>
            <w:shd w:val="clear" w:color="auto" w:fill="D9D9D9"/>
            <w:vAlign w:val="center"/>
            <w:hideMark/>
          </w:tcPr>
          <w:p w14:paraId="0A4351C8"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7.302</w:t>
            </w:r>
          </w:p>
        </w:tc>
        <w:tc>
          <w:tcPr>
            <w:tcW w:w="992" w:type="dxa"/>
            <w:tcBorders>
              <w:top w:val="nil"/>
              <w:left w:val="nil"/>
              <w:bottom w:val="single" w:sz="8" w:space="0" w:color="auto"/>
              <w:right w:val="single" w:sz="8" w:space="0" w:color="auto"/>
            </w:tcBorders>
            <w:shd w:val="clear" w:color="auto" w:fill="D9D9D9"/>
            <w:vAlign w:val="center"/>
            <w:hideMark/>
          </w:tcPr>
          <w:p w14:paraId="53A50E0B"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7.770</w:t>
            </w:r>
          </w:p>
        </w:tc>
        <w:tc>
          <w:tcPr>
            <w:tcW w:w="992" w:type="dxa"/>
            <w:tcBorders>
              <w:top w:val="nil"/>
              <w:left w:val="nil"/>
              <w:bottom w:val="single" w:sz="8" w:space="0" w:color="auto"/>
              <w:right w:val="single" w:sz="8" w:space="0" w:color="auto"/>
            </w:tcBorders>
            <w:shd w:val="clear" w:color="auto" w:fill="D9D9D9"/>
            <w:vAlign w:val="center"/>
            <w:hideMark/>
          </w:tcPr>
          <w:p w14:paraId="7E189229"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8.430</w:t>
            </w:r>
          </w:p>
        </w:tc>
        <w:tc>
          <w:tcPr>
            <w:tcW w:w="957" w:type="dxa"/>
            <w:tcBorders>
              <w:top w:val="nil"/>
              <w:left w:val="nil"/>
              <w:bottom w:val="single" w:sz="8" w:space="0" w:color="auto"/>
              <w:right w:val="single" w:sz="8" w:space="0" w:color="auto"/>
            </w:tcBorders>
            <w:shd w:val="clear" w:color="auto" w:fill="D9D9D9"/>
            <w:vAlign w:val="center"/>
            <w:hideMark/>
          </w:tcPr>
          <w:p w14:paraId="0FAC2AC1"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9.147</w:t>
            </w:r>
          </w:p>
        </w:tc>
      </w:tr>
      <w:tr w:rsidR="00EA0FD7" w:rsidRPr="00EA0FD7" w14:paraId="76D80E4E" w14:textId="77777777" w:rsidTr="00EA0FD7">
        <w:trPr>
          <w:trHeight w:val="406"/>
        </w:trPr>
        <w:tc>
          <w:tcPr>
            <w:tcW w:w="4772" w:type="dxa"/>
            <w:tcBorders>
              <w:top w:val="nil"/>
              <w:left w:val="single" w:sz="8" w:space="0" w:color="auto"/>
              <w:bottom w:val="single" w:sz="4" w:space="0" w:color="auto"/>
              <w:right w:val="single" w:sz="8" w:space="0" w:color="auto"/>
            </w:tcBorders>
            <w:shd w:val="clear" w:color="auto" w:fill="FFFFFF"/>
            <w:vAlign w:val="bottom"/>
            <w:hideMark/>
          </w:tcPr>
          <w:p w14:paraId="6780DEB6"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 xml:space="preserve">Реални раст у % </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55ECED38"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-15,0</w:t>
            </w:r>
          </w:p>
        </w:tc>
        <w:tc>
          <w:tcPr>
            <w:tcW w:w="991" w:type="dxa"/>
            <w:tcBorders>
              <w:top w:val="nil"/>
              <w:left w:val="nil"/>
              <w:bottom w:val="single" w:sz="8" w:space="0" w:color="auto"/>
              <w:right w:val="single" w:sz="8" w:space="0" w:color="auto"/>
            </w:tcBorders>
            <w:shd w:val="clear" w:color="auto" w:fill="D9D9D9"/>
            <w:vAlign w:val="center"/>
            <w:hideMark/>
          </w:tcPr>
          <w:p w14:paraId="7D5555E8"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6,4</w:t>
            </w:r>
          </w:p>
        </w:tc>
        <w:tc>
          <w:tcPr>
            <w:tcW w:w="992" w:type="dxa"/>
            <w:tcBorders>
              <w:top w:val="nil"/>
              <w:left w:val="nil"/>
              <w:bottom w:val="single" w:sz="8" w:space="0" w:color="auto"/>
              <w:right w:val="single" w:sz="8" w:space="0" w:color="auto"/>
            </w:tcBorders>
            <w:shd w:val="clear" w:color="auto" w:fill="D9D9D9"/>
            <w:vAlign w:val="center"/>
            <w:hideMark/>
          </w:tcPr>
          <w:p w14:paraId="4DCD99F2"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0,3</w:t>
            </w:r>
          </w:p>
        </w:tc>
        <w:tc>
          <w:tcPr>
            <w:tcW w:w="992" w:type="dxa"/>
            <w:tcBorders>
              <w:top w:val="nil"/>
              <w:left w:val="nil"/>
              <w:bottom w:val="single" w:sz="8" w:space="0" w:color="auto"/>
              <w:right w:val="single" w:sz="8" w:space="0" w:color="auto"/>
            </w:tcBorders>
            <w:shd w:val="clear" w:color="auto" w:fill="D9D9D9"/>
            <w:vAlign w:val="center"/>
            <w:hideMark/>
          </w:tcPr>
          <w:p w14:paraId="6397ABB5"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4,5</w:t>
            </w:r>
          </w:p>
        </w:tc>
        <w:tc>
          <w:tcPr>
            <w:tcW w:w="992" w:type="dxa"/>
            <w:tcBorders>
              <w:top w:val="nil"/>
              <w:left w:val="nil"/>
              <w:bottom w:val="single" w:sz="8" w:space="0" w:color="auto"/>
              <w:right w:val="single" w:sz="8" w:space="0" w:color="auto"/>
            </w:tcBorders>
            <w:shd w:val="clear" w:color="auto" w:fill="D9D9D9"/>
            <w:vAlign w:val="center"/>
            <w:hideMark/>
          </w:tcPr>
          <w:p w14:paraId="4CA333F1"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6,8</w:t>
            </w:r>
          </w:p>
        </w:tc>
        <w:tc>
          <w:tcPr>
            <w:tcW w:w="957" w:type="dxa"/>
            <w:tcBorders>
              <w:top w:val="nil"/>
              <w:left w:val="nil"/>
              <w:bottom w:val="single" w:sz="8" w:space="0" w:color="auto"/>
              <w:right w:val="single" w:sz="8" w:space="0" w:color="auto"/>
            </w:tcBorders>
            <w:shd w:val="clear" w:color="auto" w:fill="D9D9D9"/>
            <w:vAlign w:val="center"/>
            <w:hideMark/>
          </w:tcPr>
          <w:p w14:paraId="2C0C81B0"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6,8</w:t>
            </w:r>
          </w:p>
        </w:tc>
      </w:tr>
      <w:tr w:rsidR="00EA0FD7" w:rsidRPr="00EA0FD7" w14:paraId="19F82483" w14:textId="77777777" w:rsidTr="00EA0FD7">
        <w:trPr>
          <w:trHeight w:val="406"/>
        </w:trPr>
        <w:tc>
          <w:tcPr>
            <w:tcW w:w="4772"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59A9D094" w14:textId="40D120BE"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Увоз  у мил</w:t>
            </w:r>
            <w:r w:rsidRPr="00AE5455">
              <w:rPr>
                <w:rFonts w:ascii="Times New Roman" w:eastAsia="Calibri" w:hAnsi="Times New Roman" w:cs="Times New Roman"/>
                <w:b/>
                <w:bCs/>
                <w:color w:val="000000"/>
                <w:sz w:val="20"/>
                <w:szCs w:val="20"/>
                <w:lang w:val="sr-Cyrl-RS"/>
              </w:rPr>
              <w:t>.</w:t>
            </w:r>
            <w:r w:rsidRPr="00EA0FD7">
              <w:rPr>
                <w:rFonts w:ascii="Times New Roman" w:eastAsia="Calibri" w:hAnsi="Times New Roman" w:cs="Times New Roman"/>
                <w:b/>
                <w:bCs/>
                <w:color w:val="000000"/>
                <w:sz w:val="20"/>
                <w:szCs w:val="20"/>
                <w:lang w:val="sr-Cyrl-RS"/>
              </w:rPr>
              <w:t xml:space="preserve"> КМ</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62B39C8C"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16.601</w:t>
            </w:r>
          </w:p>
        </w:tc>
        <w:tc>
          <w:tcPr>
            <w:tcW w:w="991" w:type="dxa"/>
            <w:tcBorders>
              <w:top w:val="nil"/>
              <w:left w:val="nil"/>
              <w:bottom w:val="single" w:sz="8" w:space="0" w:color="auto"/>
              <w:right w:val="single" w:sz="8" w:space="0" w:color="auto"/>
            </w:tcBorders>
            <w:shd w:val="clear" w:color="auto" w:fill="D9D9D9"/>
            <w:vAlign w:val="center"/>
            <w:hideMark/>
          </w:tcPr>
          <w:p w14:paraId="1F899E72"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21.118</w:t>
            </w:r>
          </w:p>
        </w:tc>
        <w:tc>
          <w:tcPr>
            <w:tcW w:w="992" w:type="dxa"/>
            <w:tcBorders>
              <w:top w:val="nil"/>
              <w:left w:val="nil"/>
              <w:bottom w:val="single" w:sz="8" w:space="0" w:color="auto"/>
              <w:right w:val="single" w:sz="8" w:space="0" w:color="auto"/>
            </w:tcBorders>
            <w:shd w:val="clear" w:color="auto" w:fill="D9D9D9"/>
            <w:vAlign w:val="center"/>
            <w:hideMark/>
          </w:tcPr>
          <w:p w14:paraId="7D90515A"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25.190</w:t>
            </w:r>
          </w:p>
        </w:tc>
        <w:tc>
          <w:tcPr>
            <w:tcW w:w="992" w:type="dxa"/>
            <w:tcBorders>
              <w:top w:val="nil"/>
              <w:left w:val="nil"/>
              <w:bottom w:val="single" w:sz="8" w:space="0" w:color="auto"/>
              <w:right w:val="single" w:sz="8" w:space="0" w:color="auto"/>
            </w:tcBorders>
            <w:shd w:val="clear" w:color="auto" w:fill="D9D9D9"/>
            <w:vAlign w:val="center"/>
            <w:hideMark/>
          </w:tcPr>
          <w:p w14:paraId="248DF703"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26.978</w:t>
            </w:r>
          </w:p>
        </w:tc>
        <w:tc>
          <w:tcPr>
            <w:tcW w:w="992" w:type="dxa"/>
            <w:tcBorders>
              <w:top w:val="nil"/>
              <w:left w:val="nil"/>
              <w:bottom w:val="single" w:sz="8" w:space="0" w:color="auto"/>
              <w:right w:val="single" w:sz="8" w:space="0" w:color="auto"/>
            </w:tcBorders>
            <w:shd w:val="clear" w:color="auto" w:fill="D9D9D9"/>
            <w:vAlign w:val="center"/>
            <w:hideMark/>
          </w:tcPr>
          <w:p w14:paraId="7549F7BE"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28.588</w:t>
            </w:r>
          </w:p>
        </w:tc>
        <w:tc>
          <w:tcPr>
            <w:tcW w:w="957" w:type="dxa"/>
            <w:tcBorders>
              <w:top w:val="nil"/>
              <w:left w:val="nil"/>
              <w:bottom w:val="single" w:sz="8" w:space="0" w:color="auto"/>
              <w:right w:val="single" w:sz="8" w:space="0" w:color="auto"/>
            </w:tcBorders>
            <w:shd w:val="clear" w:color="auto" w:fill="D9D9D9"/>
            <w:vAlign w:val="center"/>
            <w:hideMark/>
          </w:tcPr>
          <w:p w14:paraId="31B22312"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30.548</w:t>
            </w:r>
          </w:p>
        </w:tc>
      </w:tr>
      <w:tr w:rsidR="00EA0FD7" w:rsidRPr="00EA0FD7" w14:paraId="323E27B9" w14:textId="77777777" w:rsidTr="00EA0FD7">
        <w:trPr>
          <w:trHeight w:val="406"/>
        </w:trPr>
        <w:tc>
          <w:tcPr>
            <w:tcW w:w="47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9D6731"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Номинални раст у %</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348CA615"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-14,8</w:t>
            </w:r>
          </w:p>
        </w:tc>
        <w:tc>
          <w:tcPr>
            <w:tcW w:w="991" w:type="dxa"/>
            <w:tcBorders>
              <w:top w:val="nil"/>
              <w:left w:val="nil"/>
              <w:bottom w:val="single" w:sz="8" w:space="0" w:color="auto"/>
              <w:right w:val="single" w:sz="8" w:space="0" w:color="auto"/>
            </w:tcBorders>
            <w:shd w:val="clear" w:color="auto" w:fill="D9D9D9"/>
            <w:vAlign w:val="center"/>
            <w:hideMark/>
          </w:tcPr>
          <w:p w14:paraId="12CC40F5"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27,2</w:t>
            </w:r>
          </w:p>
        </w:tc>
        <w:tc>
          <w:tcPr>
            <w:tcW w:w="992" w:type="dxa"/>
            <w:tcBorders>
              <w:top w:val="nil"/>
              <w:left w:val="nil"/>
              <w:bottom w:val="single" w:sz="8" w:space="0" w:color="auto"/>
              <w:right w:val="single" w:sz="8" w:space="0" w:color="auto"/>
            </w:tcBorders>
            <w:shd w:val="clear" w:color="auto" w:fill="D9D9D9"/>
            <w:vAlign w:val="center"/>
            <w:hideMark/>
          </w:tcPr>
          <w:p w14:paraId="40E4BBDD"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19,3</w:t>
            </w:r>
          </w:p>
        </w:tc>
        <w:tc>
          <w:tcPr>
            <w:tcW w:w="992" w:type="dxa"/>
            <w:tcBorders>
              <w:top w:val="nil"/>
              <w:left w:val="nil"/>
              <w:bottom w:val="single" w:sz="8" w:space="0" w:color="auto"/>
              <w:right w:val="single" w:sz="8" w:space="0" w:color="auto"/>
            </w:tcBorders>
            <w:shd w:val="clear" w:color="auto" w:fill="D9D9D9"/>
            <w:vAlign w:val="center"/>
            <w:hideMark/>
          </w:tcPr>
          <w:p w14:paraId="2207E45B"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7,1</w:t>
            </w:r>
          </w:p>
        </w:tc>
        <w:tc>
          <w:tcPr>
            <w:tcW w:w="992" w:type="dxa"/>
            <w:tcBorders>
              <w:top w:val="nil"/>
              <w:left w:val="nil"/>
              <w:bottom w:val="single" w:sz="8" w:space="0" w:color="auto"/>
              <w:right w:val="single" w:sz="8" w:space="0" w:color="auto"/>
            </w:tcBorders>
            <w:shd w:val="clear" w:color="auto" w:fill="D9D9D9"/>
            <w:vAlign w:val="center"/>
            <w:hideMark/>
          </w:tcPr>
          <w:p w14:paraId="23D02D15"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6,0</w:t>
            </w:r>
          </w:p>
        </w:tc>
        <w:tc>
          <w:tcPr>
            <w:tcW w:w="957" w:type="dxa"/>
            <w:tcBorders>
              <w:top w:val="nil"/>
              <w:left w:val="nil"/>
              <w:bottom w:val="single" w:sz="8" w:space="0" w:color="auto"/>
              <w:right w:val="single" w:sz="8" w:space="0" w:color="auto"/>
            </w:tcBorders>
            <w:shd w:val="clear" w:color="auto" w:fill="D9D9D9"/>
            <w:vAlign w:val="center"/>
            <w:hideMark/>
          </w:tcPr>
          <w:p w14:paraId="045E570C"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6,9</w:t>
            </w:r>
          </w:p>
        </w:tc>
      </w:tr>
      <w:tr w:rsidR="00EA0FD7" w:rsidRPr="00EA0FD7" w14:paraId="671B6E04" w14:textId="77777777" w:rsidTr="00EA0FD7">
        <w:trPr>
          <w:trHeight w:val="406"/>
        </w:trPr>
        <w:tc>
          <w:tcPr>
            <w:tcW w:w="4772"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1586BF2C"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 xml:space="preserve">Реални раст у % </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6D60C217"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-13,6</w:t>
            </w:r>
          </w:p>
        </w:tc>
        <w:tc>
          <w:tcPr>
            <w:tcW w:w="991" w:type="dxa"/>
            <w:tcBorders>
              <w:top w:val="nil"/>
              <w:left w:val="nil"/>
              <w:bottom w:val="single" w:sz="8" w:space="0" w:color="auto"/>
              <w:right w:val="single" w:sz="8" w:space="0" w:color="auto"/>
            </w:tcBorders>
            <w:shd w:val="clear" w:color="auto" w:fill="D9D9D9"/>
            <w:vAlign w:val="center"/>
            <w:hideMark/>
          </w:tcPr>
          <w:p w14:paraId="3402D4A8"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12,3</w:t>
            </w:r>
          </w:p>
        </w:tc>
        <w:tc>
          <w:tcPr>
            <w:tcW w:w="992" w:type="dxa"/>
            <w:tcBorders>
              <w:top w:val="nil"/>
              <w:left w:val="nil"/>
              <w:bottom w:val="single" w:sz="8" w:space="0" w:color="auto"/>
              <w:right w:val="single" w:sz="8" w:space="0" w:color="auto"/>
            </w:tcBorders>
            <w:shd w:val="clear" w:color="auto" w:fill="D9D9D9"/>
            <w:vAlign w:val="center"/>
            <w:hideMark/>
          </w:tcPr>
          <w:p w14:paraId="6BA504E0"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6,1</w:t>
            </w:r>
          </w:p>
        </w:tc>
        <w:tc>
          <w:tcPr>
            <w:tcW w:w="992" w:type="dxa"/>
            <w:tcBorders>
              <w:top w:val="nil"/>
              <w:left w:val="nil"/>
              <w:bottom w:val="single" w:sz="8" w:space="0" w:color="auto"/>
              <w:right w:val="single" w:sz="8" w:space="0" w:color="auto"/>
            </w:tcBorders>
            <w:shd w:val="clear" w:color="auto" w:fill="D9D9D9"/>
            <w:vAlign w:val="center"/>
            <w:hideMark/>
          </w:tcPr>
          <w:p w14:paraId="34B8E908"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4,1</w:t>
            </w:r>
          </w:p>
        </w:tc>
        <w:tc>
          <w:tcPr>
            <w:tcW w:w="992" w:type="dxa"/>
            <w:tcBorders>
              <w:top w:val="nil"/>
              <w:left w:val="nil"/>
              <w:bottom w:val="single" w:sz="8" w:space="0" w:color="auto"/>
              <w:right w:val="single" w:sz="8" w:space="0" w:color="auto"/>
            </w:tcBorders>
            <w:shd w:val="clear" w:color="auto" w:fill="D9D9D9"/>
            <w:vAlign w:val="center"/>
            <w:hideMark/>
          </w:tcPr>
          <w:p w14:paraId="34D0A1DD"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4,0</w:t>
            </w:r>
          </w:p>
        </w:tc>
        <w:tc>
          <w:tcPr>
            <w:tcW w:w="957" w:type="dxa"/>
            <w:tcBorders>
              <w:top w:val="nil"/>
              <w:left w:val="nil"/>
              <w:bottom w:val="single" w:sz="8" w:space="0" w:color="auto"/>
              <w:right w:val="single" w:sz="8" w:space="0" w:color="auto"/>
            </w:tcBorders>
            <w:shd w:val="clear" w:color="auto" w:fill="D9D9D9"/>
            <w:vAlign w:val="center"/>
            <w:hideMark/>
          </w:tcPr>
          <w:p w14:paraId="42DE597A"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4,6</w:t>
            </w:r>
          </w:p>
        </w:tc>
      </w:tr>
      <w:tr w:rsidR="00EA0FD7" w:rsidRPr="00EA0FD7" w14:paraId="3AD6CA06" w14:textId="77777777" w:rsidTr="00EA0FD7">
        <w:trPr>
          <w:trHeight w:val="406"/>
        </w:trPr>
        <w:tc>
          <w:tcPr>
            <w:tcW w:w="47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2588159" w14:textId="31E1E7D9"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Извоз у мил</w:t>
            </w:r>
            <w:r w:rsidRPr="00AE5455">
              <w:rPr>
                <w:rFonts w:ascii="Times New Roman" w:eastAsia="Calibri" w:hAnsi="Times New Roman" w:cs="Times New Roman"/>
                <w:b/>
                <w:bCs/>
                <w:color w:val="000000"/>
                <w:sz w:val="20"/>
                <w:szCs w:val="20"/>
                <w:lang w:val="sr-Cyrl-RS"/>
              </w:rPr>
              <w:t>.</w:t>
            </w:r>
            <w:r w:rsidRPr="00EA0FD7">
              <w:rPr>
                <w:rFonts w:ascii="Times New Roman" w:eastAsia="Calibri" w:hAnsi="Times New Roman" w:cs="Times New Roman"/>
                <w:b/>
                <w:bCs/>
                <w:color w:val="000000"/>
                <w:sz w:val="20"/>
                <w:szCs w:val="20"/>
                <w:lang w:val="sr-Cyrl-RS"/>
              </w:rPr>
              <w:t xml:space="preserve"> КМ</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3866EA68"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11.820</w:t>
            </w:r>
          </w:p>
        </w:tc>
        <w:tc>
          <w:tcPr>
            <w:tcW w:w="991" w:type="dxa"/>
            <w:tcBorders>
              <w:top w:val="nil"/>
              <w:left w:val="nil"/>
              <w:bottom w:val="single" w:sz="8" w:space="0" w:color="auto"/>
              <w:right w:val="single" w:sz="8" w:space="0" w:color="auto"/>
            </w:tcBorders>
            <w:shd w:val="clear" w:color="auto" w:fill="D9D9D9"/>
            <w:vAlign w:val="center"/>
            <w:hideMark/>
          </w:tcPr>
          <w:p w14:paraId="5F3B5EA9"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16.142</w:t>
            </w:r>
          </w:p>
        </w:tc>
        <w:tc>
          <w:tcPr>
            <w:tcW w:w="992" w:type="dxa"/>
            <w:tcBorders>
              <w:top w:val="nil"/>
              <w:left w:val="nil"/>
              <w:bottom w:val="single" w:sz="8" w:space="0" w:color="auto"/>
              <w:right w:val="single" w:sz="8" w:space="0" w:color="auto"/>
            </w:tcBorders>
            <w:shd w:val="clear" w:color="auto" w:fill="D9D9D9"/>
            <w:vAlign w:val="center"/>
            <w:hideMark/>
          </w:tcPr>
          <w:p w14:paraId="03AB7328"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19.586</w:t>
            </w:r>
          </w:p>
        </w:tc>
        <w:tc>
          <w:tcPr>
            <w:tcW w:w="992" w:type="dxa"/>
            <w:tcBorders>
              <w:top w:val="nil"/>
              <w:left w:val="nil"/>
              <w:bottom w:val="single" w:sz="8" w:space="0" w:color="auto"/>
              <w:right w:val="single" w:sz="8" w:space="0" w:color="auto"/>
            </w:tcBorders>
            <w:shd w:val="clear" w:color="auto" w:fill="D9D9D9"/>
            <w:vAlign w:val="center"/>
            <w:hideMark/>
          </w:tcPr>
          <w:p w14:paraId="636D7F60"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21.370</w:t>
            </w:r>
          </w:p>
        </w:tc>
        <w:tc>
          <w:tcPr>
            <w:tcW w:w="992" w:type="dxa"/>
            <w:tcBorders>
              <w:top w:val="nil"/>
              <w:left w:val="nil"/>
              <w:bottom w:val="single" w:sz="8" w:space="0" w:color="auto"/>
              <w:right w:val="single" w:sz="8" w:space="0" w:color="auto"/>
            </w:tcBorders>
            <w:shd w:val="clear" w:color="auto" w:fill="D9D9D9"/>
            <w:vAlign w:val="center"/>
            <w:hideMark/>
          </w:tcPr>
          <w:p w14:paraId="7ABC6867"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23.129</w:t>
            </w:r>
          </w:p>
        </w:tc>
        <w:tc>
          <w:tcPr>
            <w:tcW w:w="957" w:type="dxa"/>
            <w:tcBorders>
              <w:top w:val="nil"/>
              <w:left w:val="nil"/>
              <w:bottom w:val="single" w:sz="8" w:space="0" w:color="auto"/>
              <w:right w:val="single" w:sz="8" w:space="0" w:color="auto"/>
            </w:tcBorders>
            <w:shd w:val="clear" w:color="auto" w:fill="D9D9D9"/>
            <w:vAlign w:val="center"/>
            <w:hideMark/>
          </w:tcPr>
          <w:p w14:paraId="28FE3227"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25.042</w:t>
            </w:r>
          </w:p>
        </w:tc>
      </w:tr>
      <w:tr w:rsidR="00EA0FD7" w:rsidRPr="00EA0FD7" w14:paraId="1C676235" w14:textId="77777777" w:rsidTr="00EA0FD7">
        <w:trPr>
          <w:trHeight w:val="406"/>
        </w:trPr>
        <w:tc>
          <w:tcPr>
            <w:tcW w:w="4772"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5D11296F"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Номинални раст у %</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766F7EAF"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-17,5</w:t>
            </w:r>
          </w:p>
        </w:tc>
        <w:tc>
          <w:tcPr>
            <w:tcW w:w="991" w:type="dxa"/>
            <w:tcBorders>
              <w:top w:val="nil"/>
              <w:left w:val="nil"/>
              <w:bottom w:val="single" w:sz="8" w:space="0" w:color="auto"/>
              <w:right w:val="single" w:sz="8" w:space="0" w:color="auto"/>
            </w:tcBorders>
            <w:shd w:val="clear" w:color="auto" w:fill="D9D9D9"/>
            <w:vAlign w:val="center"/>
            <w:hideMark/>
          </w:tcPr>
          <w:p w14:paraId="2E5BE6FA"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36,6</w:t>
            </w:r>
          </w:p>
        </w:tc>
        <w:tc>
          <w:tcPr>
            <w:tcW w:w="992" w:type="dxa"/>
            <w:tcBorders>
              <w:top w:val="nil"/>
              <w:left w:val="nil"/>
              <w:bottom w:val="single" w:sz="8" w:space="0" w:color="auto"/>
              <w:right w:val="single" w:sz="8" w:space="0" w:color="auto"/>
            </w:tcBorders>
            <w:shd w:val="clear" w:color="auto" w:fill="D9D9D9"/>
            <w:vAlign w:val="center"/>
            <w:hideMark/>
          </w:tcPr>
          <w:p w14:paraId="16B8D1C6"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21,3</w:t>
            </w:r>
          </w:p>
        </w:tc>
        <w:tc>
          <w:tcPr>
            <w:tcW w:w="992" w:type="dxa"/>
            <w:tcBorders>
              <w:top w:val="nil"/>
              <w:left w:val="nil"/>
              <w:bottom w:val="single" w:sz="8" w:space="0" w:color="auto"/>
              <w:right w:val="single" w:sz="8" w:space="0" w:color="auto"/>
            </w:tcBorders>
            <w:shd w:val="clear" w:color="auto" w:fill="D9D9D9"/>
            <w:vAlign w:val="center"/>
            <w:hideMark/>
          </w:tcPr>
          <w:p w14:paraId="4B54614F"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9,1</w:t>
            </w:r>
          </w:p>
        </w:tc>
        <w:tc>
          <w:tcPr>
            <w:tcW w:w="992" w:type="dxa"/>
            <w:tcBorders>
              <w:top w:val="nil"/>
              <w:left w:val="nil"/>
              <w:bottom w:val="single" w:sz="8" w:space="0" w:color="auto"/>
              <w:right w:val="single" w:sz="8" w:space="0" w:color="auto"/>
            </w:tcBorders>
            <w:shd w:val="clear" w:color="auto" w:fill="D9D9D9"/>
            <w:vAlign w:val="center"/>
            <w:hideMark/>
          </w:tcPr>
          <w:p w14:paraId="7F25FF5E"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8,2</w:t>
            </w:r>
          </w:p>
        </w:tc>
        <w:tc>
          <w:tcPr>
            <w:tcW w:w="957" w:type="dxa"/>
            <w:tcBorders>
              <w:top w:val="nil"/>
              <w:left w:val="nil"/>
              <w:bottom w:val="single" w:sz="8" w:space="0" w:color="auto"/>
              <w:right w:val="single" w:sz="8" w:space="0" w:color="auto"/>
            </w:tcBorders>
            <w:shd w:val="clear" w:color="auto" w:fill="D9D9D9"/>
            <w:vAlign w:val="center"/>
            <w:hideMark/>
          </w:tcPr>
          <w:p w14:paraId="6FC2BA06"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8,3</w:t>
            </w:r>
          </w:p>
        </w:tc>
      </w:tr>
      <w:tr w:rsidR="00EA0FD7" w:rsidRPr="00EA0FD7" w14:paraId="706822D2" w14:textId="77777777" w:rsidTr="00EA0FD7">
        <w:trPr>
          <w:trHeight w:val="406"/>
        </w:trPr>
        <w:tc>
          <w:tcPr>
            <w:tcW w:w="47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2F3FA1"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lastRenderedPageBreak/>
              <w:t xml:space="preserve">Реални раст у % </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40A8DC0E"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-16,1</w:t>
            </w:r>
          </w:p>
        </w:tc>
        <w:tc>
          <w:tcPr>
            <w:tcW w:w="991" w:type="dxa"/>
            <w:tcBorders>
              <w:top w:val="nil"/>
              <w:left w:val="nil"/>
              <w:bottom w:val="single" w:sz="8" w:space="0" w:color="auto"/>
              <w:right w:val="single" w:sz="8" w:space="0" w:color="auto"/>
            </w:tcBorders>
            <w:shd w:val="clear" w:color="auto" w:fill="D9D9D9"/>
            <w:vAlign w:val="center"/>
            <w:hideMark/>
          </w:tcPr>
          <w:p w14:paraId="290ED363"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20,6</w:t>
            </w:r>
          </w:p>
        </w:tc>
        <w:tc>
          <w:tcPr>
            <w:tcW w:w="992" w:type="dxa"/>
            <w:tcBorders>
              <w:top w:val="nil"/>
              <w:left w:val="nil"/>
              <w:bottom w:val="single" w:sz="8" w:space="0" w:color="auto"/>
              <w:right w:val="single" w:sz="8" w:space="0" w:color="auto"/>
            </w:tcBorders>
            <w:shd w:val="clear" w:color="auto" w:fill="D9D9D9"/>
            <w:vAlign w:val="center"/>
            <w:hideMark/>
          </w:tcPr>
          <w:p w14:paraId="38D04FB0"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10,6</w:t>
            </w:r>
          </w:p>
        </w:tc>
        <w:tc>
          <w:tcPr>
            <w:tcW w:w="992" w:type="dxa"/>
            <w:tcBorders>
              <w:top w:val="nil"/>
              <w:left w:val="nil"/>
              <w:bottom w:val="single" w:sz="8" w:space="0" w:color="auto"/>
              <w:right w:val="single" w:sz="8" w:space="0" w:color="auto"/>
            </w:tcBorders>
            <w:shd w:val="clear" w:color="auto" w:fill="D9D9D9"/>
            <w:vAlign w:val="center"/>
            <w:hideMark/>
          </w:tcPr>
          <w:p w14:paraId="2A8DDACC"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6,9</w:t>
            </w:r>
          </w:p>
        </w:tc>
        <w:tc>
          <w:tcPr>
            <w:tcW w:w="992" w:type="dxa"/>
            <w:tcBorders>
              <w:top w:val="nil"/>
              <w:left w:val="nil"/>
              <w:bottom w:val="single" w:sz="8" w:space="0" w:color="auto"/>
              <w:right w:val="single" w:sz="8" w:space="0" w:color="auto"/>
            </w:tcBorders>
            <w:shd w:val="clear" w:color="auto" w:fill="D9D9D9"/>
            <w:vAlign w:val="center"/>
            <w:hideMark/>
          </w:tcPr>
          <w:p w14:paraId="1F0F7F01"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6,2</w:t>
            </w:r>
          </w:p>
        </w:tc>
        <w:tc>
          <w:tcPr>
            <w:tcW w:w="957" w:type="dxa"/>
            <w:tcBorders>
              <w:top w:val="nil"/>
              <w:left w:val="nil"/>
              <w:bottom w:val="single" w:sz="8" w:space="0" w:color="auto"/>
              <w:right w:val="single" w:sz="8" w:space="0" w:color="auto"/>
            </w:tcBorders>
            <w:shd w:val="clear" w:color="auto" w:fill="D9D9D9"/>
            <w:vAlign w:val="center"/>
            <w:hideMark/>
          </w:tcPr>
          <w:p w14:paraId="30881A5D"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6,1</w:t>
            </w:r>
          </w:p>
        </w:tc>
      </w:tr>
      <w:tr w:rsidR="00EA0FD7" w:rsidRPr="00EA0FD7" w14:paraId="277EE520" w14:textId="77777777" w:rsidTr="00EA0FD7">
        <w:trPr>
          <w:trHeight w:val="406"/>
        </w:trPr>
        <w:tc>
          <w:tcPr>
            <w:tcW w:w="4772"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660CC59A"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Национална бруто штедња у % БДП-а</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130593C4"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18,5</w:t>
            </w:r>
          </w:p>
        </w:tc>
        <w:tc>
          <w:tcPr>
            <w:tcW w:w="991" w:type="dxa"/>
            <w:tcBorders>
              <w:top w:val="nil"/>
              <w:left w:val="nil"/>
              <w:bottom w:val="single" w:sz="8" w:space="0" w:color="auto"/>
              <w:right w:val="single" w:sz="8" w:space="0" w:color="auto"/>
            </w:tcBorders>
            <w:shd w:val="clear" w:color="auto" w:fill="D9D9D9"/>
            <w:vAlign w:val="center"/>
            <w:hideMark/>
          </w:tcPr>
          <w:p w14:paraId="5802927B"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19,6</w:t>
            </w:r>
          </w:p>
        </w:tc>
        <w:tc>
          <w:tcPr>
            <w:tcW w:w="992" w:type="dxa"/>
            <w:tcBorders>
              <w:top w:val="nil"/>
              <w:left w:val="nil"/>
              <w:bottom w:val="single" w:sz="8" w:space="0" w:color="auto"/>
              <w:right w:val="single" w:sz="8" w:space="0" w:color="auto"/>
            </w:tcBorders>
            <w:shd w:val="clear" w:color="auto" w:fill="D9D9D9"/>
            <w:vAlign w:val="center"/>
            <w:hideMark/>
          </w:tcPr>
          <w:p w14:paraId="75BA4F13"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19,4</w:t>
            </w:r>
          </w:p>
        </w:tc>
        <w:tc>
          <w:tcPr>
            <w:tcW w:w="992" w:type="dxa"/>
            <w:tcBorders>
              <w:top w:val="nil"/>
              <w:left w:val="nil"/>
              <w:bottom w:val="single" w:sz="8" w:space="0" w:color="auto"/>
              <w:right w:val="single" w:sz="8" w:space="0" w:color="auto"/>
            </w:tcBorders>
            <w:shd w:val="clear" w:color="auto" w:fill="D9D9D9"/>
            <w:vAlign w:val="center"/>
            <w:hideMark/>
          </w:tcPr>
          <w:p w14:paraId="0778764E"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20,2</w:t>
            </w:r>
          </w:p>
        </w:tc>
        <w:tc>
          <w:tcPr>
            <w:tcW w:w="992" w:type="dxa"/>
            <w:tcBorders>
              <w:top w:val="nil"/>
              <w:left w:val="nil"/>
              <w:bottom w:val="single" w:sz="8" w:space="0" w:color="auto"/>
              <w:right w:val="single" w:sz="8" w:space="0" w:color="auto"/>
            </w:tcBorders>
            <w:shd w:val="clear" w:color="auto" w:fill="D9D9D9"/>
            <w:vAlign w:val="center"/>
            <w:hideMark/>
          </w:tcPr>
          <w:p w14:paraId="335F3F1E"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21,3</w:t>
            </w:r>
          </w:p>
        </w:tc>
        <w:tc>
          <w:tcPr>
            <w:tcW w:w="957" w:type="dxa"/>
            <w:tcBorders>
              <w:top w:val="nil"/>
              <w:left w:val="nil"/>
              <w:bottom w:val="single" w:sz="8" w:space="0" w:color="auto"/>
              <w:right w:val="single" w:sz="8" w:space="0" w:color="auto"/>
            </w:tcBorders>
            <w:shd w:val="clear" w:color="auto" w:fill="D9D9D9"/>
            <w:vAlign w:val="center"/>
            <w:hideMark/>
          </w:tcPr>
          <w:p w14:paraId="68051EE3"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22,8</w:t>
            </w:r>
          </w:p>
        </w:tc>
      </w:tr>
      <w:tr w:rsidR="00EA0FD7" w:rsidRPr="00EA0FD7" w14:paraId="1A7534EE" w14:textId="77777777" w:rsidTr="00EA0FD7">
        <w:trPr>
          <w:trHeight w:val="406"/>
        </w:trPr>
        <w:tc>
          <w:tcPr>
            <w:tcW w:w="47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28BD5D" w14:textId="42884CF8"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Биланс текућег рачуна у мил</w:t>
            </w:r>
            <w:r w:rsidRPr="00AE5455">
              <w:rPr>
                <w:rFonts w:ascii="Times New Roman" w:eastAsia="Calibri" w:hAnsi="Times New Roman" w:cs="Times New Roman"/>
                <w:b/>
                <w:bCs/>
                <w:color w:val="000000"/>
                <w:sz w:val="20"/>
                <w:szCs w:val="20"/>
                <w:lang w:val="sr-Cyrl-RS"/>
              </w:rPr>
              <w:t>.</w:t>
            </w:r>
            <w:r w:rsidRPr="00EA0FD7">
              <w:rPr>
                <w:rFonts w:ascii="Times New Roman" w:eastAsia="Calibri" w:hAnsi="Times New Roman" w:cs="Times New Roman"/>
                <w:b/>
                <w:bCs/>
                <w:color w:val="000000"/>
                <w:sz w:val="20"/>
                <w:szCs w:val="20"/>
                <w:lang w:val="sr-Cyrl-RS"/>
              </w:rPr>
              <w:t xml:space="preserve"> КМ</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17F5703B"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-1.286</w:t>
            </w:r>
          </w:p>
        </w:tc>
        <w:tc>
          <w:tcPr>
            <w:tcW w:w="991" w:type="dxa"/>
            <w:tcBorders>
              <w:top w:val="nil"/>
              <w:left w:val="nil"/>
              <w:bottom w:val="single" w:sz="8" w:space="0" w:color="auto"/>
              <w:right w:val="single" w:sz="8" w:space="0" w:color="auto"/>
            </w:tcBorders>
            <w:shd w:val="clear" w:color="auto" w:fill="D9D9D9"/>
            <w:vAlign w:val="center"/>
            <w:hideMark/>
          </w:tcPr>
          <w:p w14:paraId="3DDF39F0"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-1.155</w:t>
            </w:r>
          </w:p>
        </w:tc>
        <w:tc>
          <w:tcPr>
            <w:tcW w:w="992" w:type="dxa"/>
            <w:tcBorders>
              <w:top w:val="nil"/>
              <w:left w:val="nil"/>
              <w:bottom w:val="single" w:sz="8" w:space="0" w:color="auto"/>
              <w:right w:val="single" w:sz="8" w:space="0" w:color="auto"/>
            </w:tcBorders>
            <w:shd w:val="clear" w:color="auto" w:fill="D9D9D9"/>
            <w:vAlign w:val="center"/>
            <w:hideMark/>
          </w:tcPr>
          <w:p w14:paraId="37BE7000"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-1.539</w:t>
            </w:r>
          </w:p>
        </w:tc>
        <w:tc>
          <w:tcPr>
            <w:tcW w:w="992" w:type="dxa"/>
            <w:tcBorders>
              <w:top w:val="nil"/>
              <w:left w:val="nil"/>
              <w:bottom w:val="single" w:sz="8" w:space="0" w:color="auto"/>
              <w:right w:val="single" w:sz="8" w:space="0" w:color="auto"/>
            </w:tcBorders>
            <w:shd w:val="clear" w:color="auto" w:fill="D9D9D9"/>
            <w:vAlign w:val="center"/>
            <w:hideMark/>
          </w:tcPr>
          <w:p w14:paraId="1FDB723D"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-1.488</w:t>
            </w:r>
          </w:p>
        </w:tc>
        <w:tc>
          <w:tcPr>
            <w:tcW w:w="992" w:type="dxa"/>
            <w:tcBorders>
              <w:top w:val="nil"/>
              <w:left w:val="nil"/>
              <w:bottom w:val="single" w:sz="8" w:space="0" w:color="auto"/>
              <w:right w:val="single" w:sz="8" w:space="0" w:color="auto"/>
            </w:tcBorders>
            <w:shd w:val="clear" w:color="auto" w:fill="D9D9D9"/>
            <w:vAlign w:val="center"/>
            <w:hideMark/>
          </w:tcPr>
          <w:p w14:paraId="40BA5784"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-1.334</w:t>
            </w:r>
          </w:p>
        </w:tc>
        <w:tc>
          <w:tcPr>
            <w:tcW w:w="957" w:type="dxa"/>
            <w:tcBorders>
              <w:top w:val="nil"/>
              <w:left w:val="nil"/>
              <w:bottom w:val="single" w:sz="8" w:space="0" w:color="auto"/>
              <w:right w:val="single" w:sz="8" w:space="0" w:color="auto"/>
            </w:tcBorders>
            <w:shd w:val="clear" w:color="auto" w:fill="D9D9D9"/>
            <w:vAlign w:val="center"/>
            <w:hideMark/>
          </w:tcPr>
          <w:p w14:paraId="47BC3620"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-1.312</w:t>
            </w:r>
          </w:p>
        </w:tc>
      </w:tr>
      <w:tr w:rsidR="00EA0FD7" w:rsidRPr="00EA0FD7" w14:paraId="69AF757C" w14:textId="77777777" w:rsidTr="00EA0FD7">
        <w:trPr>
          <w:trHeight w:val="308"/>
        </w:trPr>
        <w:tc>
          <w:tcPr>
            <w:tcW w:w="47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D7C56FE"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Раст у %</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46222185"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29,5</w:t>
            </w:r>
          </w:p>
        </w:tc>
        <w:tc>
          <w:tcPr>
            <w:tcW w:w="991" w:type="dxa"/>
            <w:tcBorders>
              <w:top w:val="nil"/>
              <w:left w:val="nil"/>
              <w:bottom w:val="single" w:sz="8" w:space="0" w:color="auto"/>
              <w:right w:val="single" w:sz="8" w:space="0" w:color="auto"/>
            </w:tcBorders>
            <w:shd w:val="clear" w:color="auto" w:fill="D9D9D9"/>
            <w:vAlign w:val="center"/>
            <w:hideMark/>
          </w:tcPr>
          <w:p w14:paraId="266CBD97"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-11,2</w:t>
            </w:r>
          </w:p>
        </w:tc>
        <w:tc>
          <w:tcPr>
            <w:tcW w:w="992" w:type="dxa"/>
            <w:tcBorders>
              <w:top w:val="nil"/>
              <w:left w:val="nil"/>
              <w:bottom w:val="single" w:sz="8" w:space="0" w:color="auto"/>
              <w:right w:val="single" w:sz="8" w:space="0" w:color="auto"/>
            </w:tcBorders>
            <w:shd w:val="clear" w:color="auto" w:fill="D9D9D9"/>
            <w:vAlign w:val="center"/>
            <w:hideMark/>
          </w:tcPr>
          <w:p w14:paraId="34B20E44"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33,3</w:t>
            </w:r>
          </w:p>
        </w:tc>
        <w:tc>
          <w:tcPr>
            <w:tcW w:w="992" w:type="dxa"/>
            <w:tcBorders>
              <w:top w:val="nil"/>
              <w:left w:val="nil"/>
              <w:bottom w:val="single" w:sz="8" w:space="0" w:color="auto"/>
              <w:right w:val="single" w:sz="8" w:space="0" w:color="auto"/>
            </w:tcBorders>
            <w:shd w:val="clear" w:color="auto" w:fill="D9D9D9"/>
            <w:vAlign w:val="center"/>
            <w:hideMark/>
          </w:tcPr>
          <w:p w14:paraId="2DDA1A53"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-3,3</w:t>
            </w:r>
          </w:p>
        </w:tc>
        <w:tc>
          <w:tcPr>
            <w:tcW w:w="992" w:type="dxa"/>
            <w:tcBorders>
              <w:top w:val="nil"/>
              <w:left w:val="nil"/>
              <w:bottom w:val="single" w:sz="8" w:space="0" w:color="auto"/>
              <w:right w:val="single" w:sz="8" w:space="0" w:color="auto"/>
            </w:tcBorders>
            <w:shd w:val="clear" w:color="auto" w:fill="D9D9D9"/>
            <w:vAlign w:val="center"/>
            <w:hideMark/>
          </w:tcPr>
          <w:p w14:paraId="2330B0E7"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-10,4</w:t>
            </w:r>
          </w:p>
        </w:tc>
        <w:tc>
          <w:tcPr>
            <w:tcW w:w="957" w:type="dxa"/>
            <w:tcBorders>
              <w:top w:val="nil"/>
              <w:left w:val="nil"/>
              <w:bottom w:val="single" w:sz="8" w:space="0" w:color="auto"/>
              <w:right w:val="single" w:sz="8" w:space="0" w:color="auto"/>
            </w:tcBorders>
            <w:shd w:val="clear" w:color="auto" w:fill="D9D9D9"/>
            <w:vAlign w:val="center"/>
            <w:hideMark/>
          </w:tcPr>
          <w:p w14:paraId="1DFF6417"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-1,6</w:t>
            </w:r>
          </w:p>
        </w:tc>
      </w:tr>
      <w:tr w:rsidR="00EA0FD7" w:rsidRPr="00EA0FD7" w14:paraId="2274B9D9" w14:textId="77777777" w:rsidTr="00EA0FD7">
        <w:trPr>
          <w:trHeight w:val="411"/>
        </w:trPr>
        <w:tc>
          <w:tcPr>
            <w:tcW w:w="47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B3AF98E" w14:textId="77777777" w:rsidR="00EA0FD7" w:rsidRPr="00EA0FD7" w:rsidRDefault="00EA0FD7" w:rsidP="00EA0FD7">
            <w:pPr>
              <w:spacing w:after="0" w:line="240" w:lineRule="auto"/>
              <w:rPr>
                <w:rFonts w:ascii="Times New Roman" w:eastAsia="Calibri" w:hAnsi="Times New Roman" w:cs="Times New Roman"/>
                <w:b/>
                <w:bCs/>
                <w:color w:val="000000"/>
                <w:sz w:val="20"/>
                <w:szCs w:val="20"/>
                <w:lang w:val="sr-Cyrl-RS"/>
              </w:rPr>
            </w:pPr>
            <w:r w:rsidRPr="00EA0FD7">
              <w:rPr>
                <w:rFonts w:ascii="Times New Roman" w:eastAsia="Calibri" w:hAnsi="Times New Roman" w:cs="Times New Roman"/>
                <w:b/>
                <w:bCs/>
                <w:color w:val="000000"/>
                <w:sz w:val="20"/>
                <w:szCs w:val="20"/>
                <w:lang w:val="sr-Cyrl-RS"/>
              </w:rPr>
              <w:t>Биланс текућег рачуна у % БДП-а</w:t>
            </w:r>
          </w:p>
        </w:tc>
        <w:tc>
          <w:tcPr>
            <w:tcW w:w="994" w:type="dxa"/>
            <w:tcBorders>
              <w:top w:val="nil"/>
              <w:left w:val="single" w:sz="8" w:space="0" w:color="auto"/>
              <w:bottom w:val="single" w:sz="8" w:space="0" w:color="auto"/>
              <w:right w:val="single" w:sz="8" w:space="0" w:color="auto"/>
            </w:tcBorders>
            <w:shd w:val="clear" w:color="auto" w:fill="D9D9D9"/>
            <w:vAlign w:val="center"/>
            <w:hideMark/>
          </w:tcPr>
          <w:p w14:paraId="70847873"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-3,7</w:t>
            </w:r>
          </w:p>
        </w:tc>
        <w:tc>
          <w:tcPr>
            <w:tcW w:w="991" w:type="dxa"/>
            <w:tcBorders>
              <w:top w:val="nil"/>
              <w:left w:val="nil"/>
              <w:bottom w:val="single" w:sz="8" w:space="0" w:color="auto"/>
              <w:right w:val="single" w:sz="8" w:space="0" w:color="auto"/>
            </w:tcBorders>
            <w:shd w:val="clear" w:color="auto" w:fill="D9D9D9"/>
            <w:vAlign w:val="center"/>
            <w:hideMark/>
          </w:tcPr>
          <w:p w14:paraId="250DD900"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-3,1</w:t>
            </w:r>
          </w:p>
        </w:tc>
        <w:tc>
          <w:tcPr>
            <w:tcW w:w="992" w:type="dxa"/>
            <w:tcBorders>
              <w:top w:val="nil"/>
              <w:left w:val="nil"/>
              <w:bottom w:val="single" w:sz="8" w:space="0" w:color="auto"/>
              <w:right w:val="single" w:sz="8" w:space="0" w:color="auto"/>
            </w:tcBorders>
            <w:shd w:val="clear" w:color="auto" w:fill="D9D9D9"/>
            <w:vAlign w:val="center"/>
            <w:hideMark/>
          </w:tcPr>
          <w:p w14:paraId="1F4AAD58"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-3,9</w:t>
            </w:r>
          </w:p>
        </w:tc>
        <w:tc>
          <w:tcPr>
            <w:tcW w:w="992" w:type="dxa"/>
            <w:tcBorders>
              <w:top w:val="nil"/>
              <w:left w:val="nil"/>
              <w:bottom w:val="single" w:sz="8" w:space="0" w:color="auto"/>
              <w:right w:val="single" w:sz="8" w:space="0" w:color="auto"/>
            </w:tcBorders>
            <w:shd w:val="clear" w:color="auto" w:fill="D9D9D9"/>
            <w:vAlign w:val="center"/>
            <w:hideMark/>
          </w:tcPr>
          <w:p w14:paraId="0EE8C25E"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-3,6</w:t>
            </w:r>
          </w:p>
        </w:tc>
        <w:tc>
          <w:tcPr>
            <w:tcW w:w="992" w:type="dxa"/>
            <w:tcBorders>
              <w:top w:val="nil"/>
              <w:left w:val="nil"/>
              <w:bottom w:val="single" w:sz="8" w:space="0" w:color="auto"/>
              <w:right w:val="single" w:sz="8" w:space="0" w:color="auto"/>
            </w:tcBorders>
            <w:shd w:val="clear" w:color="auto" w:fill="D9D9D9"/>
            <w:vAlign w:val="center"/>
            <w:hideMark/>
          </w:tcPr>
          <w:p w14:paraId="127548DF"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-3,1</w:t>
            </w:r>
          </w:p>
        </w:tc>
        <w:tc>
          <w:tcPr>
            <w:tcW w:w="957" w:type="dxa"/>
            <w:tcBorders>
              <w:top w:val="nil"/>
              <w:left w:val="nil"/>
              <w:bottom w:val="single" w:sz="8" w:space="0" w:color="auto"/>
              <w:right w:val="single" w:sz="8" w:space="0" w:color="auto"/>
            </w:tcBorders>
            <w:shd w:val="clear" w:color="auto" w:fill="D9D9D9"/>
            <w:vAlign w:val="center"/>
            <w:hideMark/>
          </w:tcPr>
          <w:p w14:paraId="387959BF"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-2,9</w:t>
            </w:r>
          </w:p>
        </w:tc>
      </w:tr>
    </w:tbl>
    <w:p w14:paraId="730A7BEA"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7440C826"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744B5BA7" w14:textId="77777777" w:rsidR="00EA0FD7" w:rsidRPr="00EA0FD7" w:rsidRDefault="00EA0FD7" w:rsidP="00EA0FD7">
      <w:pPr>
        <w:spacing w:after="0" w:line="240" w:lineRule="auto"/>
        <w:rPr>
          <w:rFonts w:ascii="Times New Roman" w:eastAsia="Times New Roman" w:hAnsi="Times New Roman" w:cs="Times New Roman"/>
          <w:b/>
          <w:bCs/>
          <w:color w:val="000000"/>
          <w:sz w:val="24"/>
          <w:szCs w:val="24"/>
          <w:lang w:val="sr-Cyrl-RS" w:eastAsia="bs-Latn-BA"/>
        </w:rPr>
      </w:pPr>
      <w:r w:rsidRPr="00EA0FD7">
        <w:rPr>
          <w:rFonts w:ascii="Times New Roman" w:eastAsia="Times New Roman" w:hAnsi="Times New Roman" w:cs="Times New Roman"/>
          <w:b/>
          <w:bCs/>
          <w:color w:val="000000"/>
          <w:sz w:val="24"/>
          <w:szCs w:val="24"/>
          <w:lang w:val="sr-Cyrl-RS" w:eastAsia="bs-Latn-BA"/>
        </w:rPr>
        <w:t>Реални сектор</w:t>
      </w:r>
    </w:p>
    <w:p w14:paraId="0A080DA2" w14:textId="77777777" w:rsidR="00EA0FD7" w:rsidRPr="00EA0FD7" w:rsidRDefault="00EA0FD7" w:rsidP="00EA0FD7">
      <w:pPr>
        <w:spacing w:after="0" w:line="240" w:lineRule="auto"/>
        <w:jc w:val="center"/>
        <w:rPr>
          <w:rFonts w:ascii="Times New Roman" w:eastAsia="Times New Roman" w:hAnsi="Times New Roman" w:cs="Times New Roman"/>
          <w:b/>
          <w:bCs/>
          <w:color w:val="000000"/>
          <w:sz w:val="24"/>
          <w:szCs w:val="24"/>
          <w:u w:val="single"/>
          <w:lang w:val="sr-Cyrl-RS" w:eastAsia="bs-Latn-BA"/>
        </w:rPr>
      </w:pPr>
    </w:p>
    <w:p w14:paraId="71FFABFB"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bs-Latn-BA"/>
        </w:rPr>
      </w:pPr>
    </w:p>
    <w:p w14:paraId="7875BBDC" w14:textId="78A8941B" w:rsidR="00EA0FD7" w:rsidRPr="00EA0FD7" w:rsidRDefault="00EA0FD7" w:rsidP="00EA0FD7">
      <w:pPr>
        <w:spacing w:after="0" w:line="240" w:lineRule="auto"/>
        <w:rPr>
          <w:rFonts w:ascii="Times New Roman" w:eastAsia="Times New Roman" w:hAnsi="Times New Roman" w:cs="Times New Roman"/>
          <w:b/>
          <w:bCs/>
          <w:sz w:val="24"/>
          <w:szCs w:val="24"/>
          <w:lang w:val="sr-Cyrl-RS" w:eastAsia="bs-Latn-BA"/>
        </w:rPr>
      </w:pPr>
      <w:r w:rsidRPr="00EA0FD7">
        <w:rPr>
          <w:rFonts w:ascii="Times New Roman" w:eastAsia="Times New Roman" w:hAnsi="Times New Roman" w:cs="Times New Roman"/>
          <w:b/>
          <w:bCs/>
          <w:sz w:val="24"/>
          <w:szCs w:val="24"/>
          <w:lang w:val="sr-Cyrl-RS" w:eastAsia="bs-Latn-BA"/>
        </w:rPr>
        <w:t>Економска кретања у 2021. години</w:t>
      </w:r>
    </w:p>
    <w:p w14:paraId="57B4D48A" w14:textId="77777777" w:rsidR="00EA0FD7" w:rsidRPr="00EA0FD7" w:rsidRDefault="00EA0FD7" w:rsidP="00EA0FD7">
      <w:pPr>
        <w:spacing w:after="0" w:line="240" w:lineRule="auto"/>
        <w:jc w:val="center"/>
        <w:rPr>
          <w:rFonts w:ascii="Times New Roman" w:eastAsia="Times New Roman" w:hAnsi="Times New Roman" w:cs="Times New Roman"/>
          <w:b/>
          <w:bCs/>
          <w:sz w:val="24"/>
          <w:szCs w:val="24"/>
          <w:lang w:val="sr-Cyrl-RS" w:eastAsia="bs-Latn-BA"/>
        </w:rPr>
      </w:pPr>
    </w:p>
    <w:p w14:paraId="4F4AA872" w14:textId="33F2F39F" w:rsidR="00EA0FD7" w:rsidRPr="00AE5455" w:rsidRDefault="00EA0FD7" w:rsidP="00EA0FD7">
      <w:pPr>
        <w:spacing w:after="0" w:line="240" w:lineRule="auto"/>
        <w:jc w:val="both"/>
        <w:rPr>
          <w:rFonts w:ascii="Times New Roman" w:eastAsia="Times New Roman" w:hAnsi="Times New Roman" w:cs="Times New Roman"/>
          <w:sz w:val="24"/>
          <w:szCs w:val="24"/>
          <w:lang w:val="sr-Cyrl-RS" w:eastAsia="hr-HR"/>
        </w:rPr>
      </w:pPr>
      <w:r w:rsidRPr="00AE5455">
        <w:rPr>
          <w:rFonts w:ascii="Times New Roman" w:eastAsia="Times New Roman" w:hAnsi="Times New Roman" w:cs="Times New Roman"/>
          <w:sz w:val="24"/>
          <w:szCs w:val="24"/>
          <w:lang w:val="sr-Cyrl-RS" w:eastAsia="hr-HR"/>
        </w:rPr>
        <w:t>2020. годину, како у здравственом, тако и у економском смислу обиљежила је глобална пандемија вируса COVID-19 што је у Босни и Херцеговини  довело до реалног пада БДП-а од 3,2% у односу на претходну годину.</w:t>
      </w:r>
      <w:r w:rsidRPr="00EA0FD7">
        <w:rPr>
          <w:rFonts w:ascii="Times New Roman" w:eastAsia="Times New Roman" w:hAnsi="Times New Roman" w:cs="Times New Roman"/>
          <w:sz w:val="24"/>
          <w:szCs w:val="24"/>
          <w:vertAlign w:val="superscript"/>
          <w:lang w:val="sr-Cyrl-RS" w:eastAsia="hr-HR"/>
        </w:rPr>
        <w:footnoteReference w:id="1"/>
      </w:r>
      <w:r w:rsidRPr="00AE5455">
        <w:rPr>
          <w:rFonts w:ascii="Times New Roman" w:eastAsia="Times New Roman" w:hAnsi="Times New Roman" w:cs="Times New Roman"/>
          <w:sz w:val="24"/>
          <w:szCs w:val="24"/>
          <w:vertAlign w:val="superscript"/>
          <w:lang w:val="sr-Cyrl-RS" w:eastAsia="hr-HR"/>
        </w:rPr>
        <w:t xml:space="preserve"> </w:t>
      </w:r>
      <w:r w:rsidRPr="00AE5455">
        <w:rPr>
          <w:rFonts w:ascii="Times New Roman" w:eastAsia="Times New Roman" w:hAnsi="Times New Roman" w:cs="Times New Roman"/>
          <w:sz w:val="24"/>
          <w:szCs w:val="24"/>
          <w:lang w:val="sr-Cyrl-RS" w:eastAsia="hr-HR"/>
        </w:rPr>
        <w:t>Економска криза узрокована ширењем глобалне пандемије вируса COVID-19 у Босни и Херцеговини се манифестовала  истовременим падом домаће и извозне тражње. Међутим, већ почетком 2021. године дошло је стабилизације епидемиолошких прилика што се позитивно одразило на економску активност, како у спољном окружењу, тако и у Босни и Херцеговини. Наиме, опоравак прије свега извозне, а касније и домаће тражње у К2 и К3 2021. године резултирао је осјетнијим опоравком привредне активности у земљи. Тако је Босна и Херцеговина према тренутно расположивим-прелиминарним подацима БХАС-а у периоду јануар-септембар 2021. године забиљежила реални раст БДП-а од око 7% у односу на исти период претходне године.</w:t>
      </w:r>
      <w:r w:rsidRPr="00EA0FD7">
        <w:rPr>
          <w:rFonts w:ascii="Times New Roman" w:eastAsia="Times New Roman" w:hAnsi="Times New Roman" w:cs="Times New Roman"/>
          <w:sz w:val="24"/>
          <w:szCs w:val="24"/>
          <w:vertAlign w:val="superscript"/>
          <w:lang w:val="sr-Cyrl-RS" w:eastAsia="hr-HR"/>
        </w:rPr>
        <w:footnoteReference w:id="2"/>
      </w:r>
      <w:r w:rsidRPr="00AE5455">
        <w:rPr>
          <w:rFonts w:ascii="Times New Roman" w:eastAsia="Times New Roman" w:hAnsi="Times New Roman" w:cs="Times New Roman"/>
          <w:sz w:val="24"/>
          <w:szCs w:val="24"/>
          <w:lang w:val="sr-Cyrl-RS" w:eastAsia="hr-HR"/>
        </w:rPr>
        <w:t xml:space="preserve"> Посматрано по кварталима, регистроване стопе економског раста су износиле К1:2,7%, К2:12,1% и К3: 8,1% у односу на исти период претходне године. Међутим, вриједи истаћи да су ове релативно високе стопе економског раста у доброј мјери посљедица и ниске основице (базни ефекат) из претходне године, обзиром да је у истом периоду претходне године у Босни и Херцеговини регистриран пад БДП-а од 4,7%. С друге стране, ако се економски раст у Босни и Херцеговини у 2021. години  посматра компаративно по земљама, може се констатовати да је исти био у рангу регионалног просјека земаља Западног Балкана.</w:t>
      </w:r>
      <w:r w:rsidRPr="00EA0FD7">
        <w:rPr>
          <w:rFonts w:ascii="Times New Roman" w:eastAsia="Times New Roman" w:hAnsi="Times New Roman" w:cs="Times New Roman"/>
          <w:sz w:val="24"/>
          <w:szCs w:val="24"/>
          <w:vertAlign w:val="superscript"/>
          <w:lang w:val="sr-Cyrl-RS" w:eastAsia="hr-HR"/>
        </w:rPr>
        <w:footnoteReference w:id="3"/>
      </w:r>
      <w:r w:rsidRPr="00AE5455">
        <w:rPr>
          <w:rFonts w:ascii="Times New Roman" w:eastAsia="Times New Roman" w:hAnsi="Times New Roman" w:cs="Times New Roman"/>
          <w:sz w:val="24"/>
          <w:szCs w:val="24"/>
          <w:lang w:val="sr-Cyrl-RS" w:eastAsia="hr-HR"/>
        </w:rPr>
        <w:t xml:space="preserve"> </w:t>
      </w:r>
    </w:p>
    <w:p w14:paraId="7E2CEFFB" w14:textId="77777777" w:rsidR="00EA0FD7" w:rsidRPr="00AE5455"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CFF76D5" w14:textId="6D7CB6C1"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AE5455">
        <w:rPr>
          <w:rFonts w:ascii="Times New Roman" w:eastAsia="Times New Roman" w:hAnsi="Times New Roman" w:cs="Times New Roman"/>
          <w:sz w:val="24"/>
          <w:szCs w:val="24"/>
          <w:lang w:val="sr-Cyrl-RS" w:eastAsia="hr-HR"/>
        </w:rPr>
        <w:t xml:space="preserve">Увидом у структуру овог релативно снажног економског раста може се констатовати да је исти остварен понајвише захваљујући повећању приватне потрошње од 6% што је представљало више од половине оствареног економског раста, односно 4,6 п.п. Овај снажан раст приватне потрошње поред базног ефекта и веће склоности ка потрошњи, по свему судећи је посљедица и дјелимичног раста расположивог дохотка грађана обзиром да је према службеним статистикама дошло до повећања броја запослених лица, реалног раста плата, новчаних дознака из иностранства у односу на претходну годину.  С друге стране, у истом временском периоду раст јавне потрошње износио је свега 1,7%, тако да је допринос исте у економском расту био мање више неутралан. Тренутно расположиви подаци БХАС-а из националних рачуна указују на раст бруто инвестиција од 7,2% у односу на исти период претходне године, тако да је допринос ове категорије у економском расту износио око 1,5 п.п. Међутим, вриједи истаћи да опоравак инвестиција у Босни и Херцеговини напредује доста спорије у односу на остале компоненте, обзиром да су исте за разлику од осталих компоненти још увијек испод нивоа из 2019. године. С дуге стране, опоравак </w:t>
      </w:r>
      <w:r w:rsidR="009E1E82">
        <w:rPr>
          <w:rFonts w:ascii="Times New Roman" w:eastAsia="Times New Roman" w:hAnsi="Times New Roman" w:cs="Times New Roman"/>
          <w:sz w:val="24"/>
          <w:szCs w:val="24"/>
          <w:lang w:val="sr-Cyrl-RS" w:eastAsia="hr-HR"/>
        </w:rPr>
        <w:t>спољно</w:t>
      </w:r>
      <w:r w:rsidRPr="00AE5455">
        <w:rPr>
          <w:rFonts w:ascii="Times New Roman" w:eastAsia="Times New Roman" w:hAnsi="Times New Roman" w:cs="Times New Roman"/>
          <w:sz w:val="24"/>
          <w:szCs w:val="24"/>
          <w:lang w:val="sr-Cyrl-RS" w:eastAsia="hr-HR"/>
        </w:rPr>
        <w:t>трговинске  размјене био је прилично охрабрујући што се нарочито односи на трговину ро</w:t>
      </w:r>
      <w:r w:rsidR="00A10E7A">
        <w:rPr>
          <w:rFonts w:ascii="Times New Roman" w:eastAsia="Times New Roman" w:hAnsi="Times New Roman" w:cs="Times New Roman"/>
          <w:sz w:val="24"/>
          <w:szCs w:val="24"/>
          <w:lang w:val="sr-Cyrl-RS" w:eastAsia="hr-HR"/>
        </w:rPr>
        <w:t>бам</w:t>
      </w:r>
      <w:r w:rsidRPr="00AE5455">
        <w:rPr>
          <w:rFonts w:ascii="Times New Roman" w:eastAsia="Times New Roman" w:hAnsi="Times New Roman" w:cs="Times New Roman"/>
          <w:sz w:val="24"/>
          <w:szCs w:val="24"/>
          <w:lang w:val="sr-Cyrl-RS" w:eastAsia="hr-HR"/>
        </w:rPr>
        <w:t xml:space="preserve">а. Наиме, према расположивим </w:t>
      </w:r>
      <w:r w:rsidRPr="00AE5455">
        <w:rPr>
          <w:rFonts w:ascii="Times New Roman" w:eastAsia="Times New Roman" w:hAnsi="Times New Roman" w:cs="Times New Roman"/>
          <w:sz w:val="24"/>
          <w:szCs w:val="24"/>
          <w:lang w:val="sr-Cyrl-RS" w:eastAsia="hr-HR"/>
        </w:rPr>
        <w:lastRenderedPageBreak/>
        <w:t>статистичким подацима БХАС-а</w:t>
      </w:r>
      <w:r w:rsidRPr="00EA0FD7">
        <w:rPr>
          <w:rFonts w:ascii="Times New Roman" w:eastAsia="Times New Roman" w:hAnsi="Times New Roman" w:cs="Times New Roman"/>
          <w:sz w:val="24"/>
          <w:szCs w:val="24"/>
          <w:vertAlign w:val="superscript"/>
          <w:lang w:val="sr-Cyrl-RS" w:eastAsia="hr-HR"/>
        </w:rPr>
        <w:footnoteReference w:id="4"/>
      </w:r>
      <w:r w:rsidRPr="00AE5455">
        <w:rPr>
          <w:rFonts w:ascii="Times New Roman" w:eastAsia="Times New Roman" w:hAnsi="Times New Roman" w:cs="Times New Roman"/>
          <w:sz w:val="24"/>
          <w:szCs w:val="24"/>
          <w:vertAlign w:val="superscript"/>
          <w:lang w:val="sr-Cyrl-RS" w:eastAsia="hr-HR"/>
        </w:rPr>
        <w:t xml:space="preserve"> </w:t>
      </w:r>
      <w:r w:rsidRPr="00AE5455">
        <w:rPr>
          <w:rFonts w:ascii="Times New Roman" w:eastAsia="Times New Roman" w:hAnsi="Times New Roman" w:cs="Times New Roman"/>
          <w:sz w:val="24"/>
          <w:szCs w:val="24"/>
          <w:lang w:val="sr-Cyrl-RS" w:eastAsia="hr-HR"/>
        </w:rPr>
        <w:t>укупна спољнотрговинска робна размјена у</w:t>
      </w:r>
      <w:r w:rsidRPr="00EA0FD7">
        <w:rPr>
          <w:rFonts w:ascii="Times New Roman" w:eastAsia="Times New Roman" w:hAnsi="Times New Roman" w:cs="Times New Roman"/>
          <w:sz w:val="24"/>
          <w:szCs w:val="24"/>
          <w:lang w:val="sr-Cyrl-RS" w:eastAsia="hr-HR"/>
        </w:rPr>
        <w:t xml:space="preserve"> Босни и Херцеговини у 2021. години увећана је за скоро 8,5 милијарди КМ, односно преко 30% у поређењу са претходном годином. Ово повећање робне размјене посљедица је повећања робног извоза од преко 35% (скоро 3,8 милијарди КМ) и раста увоза роба од скоро 28% (4,7 милијарди КМ). Међутим, приликом интерпретације ових показатеља веома је важно имати у виду ефекат ниске основице из претходне године, као и чињеницу да је током 2021. године дошло до повећања, како општег нивоа цијена, тако и раста извозних и увозних цијена у Босни и Херцеговини. Наиме, према подацима Агенције за Статистику Босне и Херцеговине у 2021. години дошло је до повећања извозних и увозних цијена од око 15% у односу на претходну годину. На основу ових показатеља се може констатовати да су реална повећања у оквиру вањскотрговинске робне размјене била знатно скромнија у односу на номинална. Дирекција за економско планирање (ДЕП) на бази расположивих података националних рачуна за 3 квартала и краткорочних статистичких показатеља за К4 процјењује да је Босна и Херцеговина у 2021. години забиљежила реални раст БДП-а од 5,4%, док је номинална стопа раста износила 6% у односу на претходну годину.</w:t>
      </w:r>
      <w:r w:rsidRPr="00AE5455">
        <w:rPr>
          <w:rFonts w:ascii="Times New Roman" w:eastAsia="Times New Roman" w:hAnsi="Times New Roman" w:cs="Times New Roman"/>
          <w:sz w:val="24"/>
          <w:szCs w:val="24"/>
          <w:vertAlign w:val="superscript"/>
          <w:lang w:val="sr-Cyrl-RS" w:eastAsia="hr-HR"/>
        </w:rPr>
        <w:footnoteReference w:id="5"/>
      </w:r>
      <w:r w:rsidRPr="00EA0FD7">
        <w:rPr>
          <w:rFonts w:ascii="Times New Roman" w:eastAsia="Times New Roman" w:hAnsi="Times New Roman" w:cs="Times New Roman"/>
          <w:sz w:val="24"/>
          <w:szCs w:val="24"/>
          <w:lang w:val="sr-Cyrl-RS" w:eastAsia="hr-HR"/>
        </w:rPr>
        <w:t xml:space="preserve"> Увидом у структуру оствареног реалног економског раста од 5,4% може се закључити да је исти оств</w:t>
      </w:r>
      <w:r w:rsidRPr="00AE5455">
        <w:rPr>
          <w:rFonts w:ascii="Times New Roman" w:eastAsia="Times New Roman" w:hAnsi="Times New Roman" w:cs="Times New Roman"/>
          <w:sz w:val="24"/>
          <w:szCs w:val="24"/>
          <w:lang w:val="sr-Cyrl-RS" w:eastAsia="hr-HR"/>
        </w:rPr>
        <w:t>а</w:t>
      </w:r>
      <w:r w:rsidRPr="00EA0FD7">
        <w:rPr>
          <w:rFonts w:ascii="Times New Roman" w:eastAsia="Times New Roman" w:hAnsi="Times New Roman" w:cs="Times New Roman"/>
          <w:sz w:val="24"/>
          <w:szCs w:val="24"/>
          <w:lang w:val="sr-Cyrl-RS" w:eastAsia="hr-HR"/>
        </w:rPr>
        <w:t>рен понајвише захваљујући повећању финалне потрошње обзиром да је допринос исте у економском расту износио 3,4 п.</w:t>
      </w:r>
      <w:r w:rsidR="000C192B">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п, затим нето извоза 1,1 п.</w:t>
      </w:r>
      <w:r w:rsidR="000C192B">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п, док је допринос инвестиција био нешто скромнији и износио је 0,9 п.</w:t>
      </w:r>
      <w:r w:rsidR="000C192B">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 xml:space="preserve">п. </w:t>
      </w:r>
    </w:p>
    <w:p w14:paraId="0F7E8C98" w14:textId="77777777" w:rsidR="00EA0FD7" w:rsidRPr="00EA0FD7" w:rsidRDefault="00EA0FD7" w:rsidP="00EA0FD7">
      <w:pPr>
        <w:spacing w:after="0" w:line="240" w:lineRule="auto"/>
        <w:jc w:val="both"/>
        <w:rPr>
          <w:rFonts w:ascii="Times New Roman" w:eastAsia="Times New Roman" w:hAnsi="Times New Roman" w:cs="Times New Roman"/>
          <w:b/>
          <w:bCs/>
          <w:color w:val="000000"/>
          <w:sz w:val="24"/>
          <w:szCs w:val="24"/>
          <w:highlight w:val="yellow"/>
          <w:lang w:val="sr-Cyrl-RS" w:eastAsia="hr-HR"/>
        </w:rPr>
      </w:pPr>
    </w:p>
    <w:p w14:paraId="04E45413" w14:textId="699ACB60"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b/>
          <w:bCs/>
          <w:color w:val="000000"/>
          <w:sz w:val="24"/>
          <w:szCs w:val="24"/>
          <w:lang w:val="sr-Cyrl-RS" w:eastAsia="hr-HR"/>
        </w:rPr>
        <w:t>Пројекције економских кретања за период  2022</w:t>
      </w:r>
      <w:r w:rsidRPr="00AE5455">
        <w:rPr>
          <w:rFonts w:ascii="Times New Roman" w:eastAsia="Times New Roman" w:hAnsi="Times New Roman" w:cs="Times New Roman"/>
          <w:b/>
          <w:bCs/>
          <w:color w:val="000000"/>
          <w:sz w:val="24"/>
          <w:szCs w:val="24"/>
          <w:lang w:val="sr-Cyrl-RS" w:eastAsia="hr-HR"/>
        </w:rPr>
        <w:t>–</w:t>
      </w:r>
      <w:r w:rsidRPr="00EA0FD7">
        <w:rPr>
          <w:rFonts w:ascii="Times New Roman" w:eastAsia="Times New Roman" w:hAnsi="Times New Roman" w:cs="Times New Roman"/>
          <w:b/>
          <w:bCs/>
          <w:color w:val="000000"/>
          <w:sz w:val="24"/>
          <w:szCs w:val="24"/>
          <w:lang w:val="sr-Cyrl-RS" w:eastAsia="hr-HR"/>
        </w:rPr>
        <w:t>2025. године</w:t>
      </w:r>
    </w:p>
    <w:p w14:paraId="467A20DD" w14:textId="77777777"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p>
    <w:p w14:paraId="564B8E75" w14:textId="7823F030"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Веома важну одредницу за економска кретања у Босни и Херцеговини у периоду 2022</w:t>
      </w:r>
      <w:r w:rsidRPr="00AE5455">
        <w:rPr>
          <w:rFonts w:ascii="Times New Roman" w:eastAsia="Times New Roman" w:hAnsi="Times New Roman" w:cs="Times New Roman"/>
          <w:color w:val="000000"/>
          <w:sz w:val="24"/>
          <w:szCs w:val="24"/>
          <w:lang w:val="sr-Cyrl-RS" w:eastAsia="hr-HR"/>
        </w:rPr>
        <w:t>–</w:t>
      </w:r>
      <w:r w:rsidRPr="00EA0FD7">
        <w:rPr>
          <w:rFonts w:ascii="Times New Roman" w:eastAsia="Times New Roman" w:hAnsi="Times New Roman" w:cs="Times New Roman"/>
          <w:color w:val="000000"/>
          <w:sz w:val="24"/>
          <w:szCs w:val="24"/>
          <w:lang w:val="sr-Cyrl-RS" w:eastAsia="hr-HR"/>
        </w:rPr>
        <w:t>2025. година поред интерних динамика представљаће и економска кретања у</w:t>
      </w:r>
      <w:r w:rsidRPr="00AE5455">
        <w:rPr>
          <w:rFonts w:ascii="Times New Roman" w:eastAsia="Times New Roman" w:hAnsi="Times New Roman" w:cs="Times New Roman"/>
          <w:color w:val="000000"/>
          <w:sz w:val="24"/>
          <w:szCs w:val="24"/>
          <w:lang w:val="sr-Cyrl-RS" w:eastAsia="hr-HR"/>
        </w:rPr>
        <w:t xml:space="preserve"> спољном</w:t>
      </w:r>
      <w:r w:rsidRPr="00EA0FD7">
        <w:rPr>
          <w:rFonts w:ascii="Times New Roman" w:eastAsia="Times New Roman" w:hAnsi="Times New Roman" w:cs="Times New Roman"/>
          <w:color w:val="000000"/>
          <w:sz w:val="24"/>
          <w:szCs w:val="24"/>
          <w:lang w:val="sr-Cyrl-RS" w:eastAsia="hr-HR"/>
        </w:rPr>
        <w:t xml:space="preserve"> окружењу, нарочито у земљам</w:t>
      </w:r>
      <w:r w:rsidRPr="00AE5455">
        <w:rPr>
          <w:rFonts w:ascii="Times New Roman" w:eastAsia="Times New Roman" w:hAnsi="Times New Roman" w:cs="Times New Roman"/>
          <w:color w:val="000000"/>
          <w:sz w:val="24"/>
          <w:szCs w:val="24"/>
          <w:lang w:val="sr-Cyrl-RS" w:eastAsia="hr-HR"/>
        </w:rPr>
        <w:t>а</w:t>
      </w:r>
      <w:r w:rsidRPr="00EA0FD7">
        <w:rPr>
          <w:rFonts w:ascii="Times New Roman" w:eastAsia="Times New Roman" w:hAnsi="Times New Roman" w:cs="Times New Roman"/>
          <w:color w:val="000000"/>
          <w:sz w:val="24"/>
          <w:szCs w:val="24"/>
          <w:lang w:val="sr-Cyrl-RS" w:eastAsia="hr-HR"/>
        </w:rPr>
        <w:t xml:space="preserve"> ЕУ27.</w:t>
      </w:r>
      <w:r w:rsidRPr="00AE5455">
        <w:rPr>
          <w:rFonts w:ascii="Times New Roman" w:eastAsia="Times New Roman" w:hAnsi="Times New Roman" w:cs="Times New Roman"/>
          <w:color w:val="000000"/>
          <w:sz w:val="24"/>
          <w:szCs w:val="24"/>
          <w:lang w:val="sr-Cyrl-RS" w:eastAsia="hr-HR"/>
        </w:rPr>
        <w:t xml:space="preserve"> </w:t>
      </w:r>
      <w:r w:rsidRPr="00EA0FD7">
        <w:rPr>
          <w:rFonts w:ascii="Times New Roman" w:eastAsia="Times New Roman" w:hAnsi="Times New Roman" w:cs="Times New Roman"/>
          <w:color w:val="000000"/>
          <w:sz w:val="24"/>
          <w:szCs w:val="24"/>
          <w:lang w:val="sr-Cyrl-RS" w:eastAsia="hr-HR"/>
        </w:rPr>
        <w:t>Наиме, у</w:t>
      </w:r>
      <w:r w:rsidRPr="00AE5455">
        <w:rPr>
          <w:rFonts w:ascii="Times New Roman" w:eastAsia="Times New Roman" w:hAnsi="Times New Roman" w:cs="Times New Roman"/>
          <w:color w:val="000000"/>
          <w:sz w:val="24"/>
          <w:szCs w:val="24"/>
          <w:lang w:val="sr-Cyrl-RS" w:eastAsia="hr-HR"/>
        </w:rPr>
        <w:t>пркос</w:t>
      </w:r>
      <w:r w:rsidRPr="00EA0FD7">
        <w:rPr>
          <w:rFonts w:ascii="Times New Roman" w:eastAsia="Times New Roman" w:hAnsi="Times New Roman" w:cs="Times New Roman"/>
          <w:color w:val="000000"/>
          <w:sz w:val="24"/>
          <w:szCs w:val="24"/>
          <w:lang w:val="sr-Cyrl-RS" w:eastAsia="hr-HR"/>
        </w:rPr>
        <w:t xml:space="preserve"> стабилизацији епидемиолошких прилика које су везане за глобалну пандамију </w:t>
      </w:r>
      <w:r w:rsidRPr="00AE5455">
        <w:rPr>
          <w:rFonts w:ascii="Times New Roman" w:eastAsia="Times New Roman" w:hAnsi="Times New Roman" w:cs="Times New Roman"/>
          <w:color w:val="000000"/>
          <w:sz w:val="24"/>
          <w:szCs w:val="24"/>
          <w:lang w:val="sr-Cyrl-RS" w:eastAsia="hr-HR"/>
        </w:rPr>
        <w:t>COVID-19</w:t>
      </w:r>
      <w:r w:rsidRPr="00EA0FD7">
        <w:rPr>
          <w:rFonts w:ascii="Times New Roman" w:eastAsia="Times New Roman" w:hAnsi="Times New Roman" w:cs="Times New Roman"/>
          <w:color w:val="000000"/>
          <w:sz w:val="24"/>
          <w:szCs w:val="24"/>
          <w:lang w:val="sr-Cyrl-RS" w:eastAsia="hr-HR"/>
        </w:rPr>
        <w:t xml:space="preserve"> већ почетком 2022. године дошло је до додатног усложњавања међународних политичко-економских прилика које су везане за дешавања у Украјини. Негативне економске посљедице ових дешавања на свјетску економију су већ видљиве и манифестују се кроз трговинске, финансијске, цјеновне шокове које неће заобићи ни Босну и Херцеговину. Наиме, ранији извјештаји су показали да </w:t>
      </w:r>
      <w:r w:rsidRPr="00AE5455">
        <w:rPr>
          <w:rFonts w:ascii="Times New Roman" w:eastAsia="Times New Roman" w:hAnsi="Times New Roman" w:cs="Times New Roman"/>
          <w:color w:val="000000"/>
          <w:sz w:val="24"/>
          <w:szCs w:val="24"/>
          <w:lang w:val="sr-Cyrl-RS" w:eastAsia="hr-HR"/>
        </w:rPr>
        <w:t>спољно</w:t>
      </w:r>
      <w:r w:rsidRPr="00EA0FD7">
        <w:rPr>
          <w:rFonts w:ascii="Times New Roman" w:eastAsia="Times New Roman" w:hAnsi="Times New Roman" w:cs="Times New Roman"/>
          <w:color w:val="000000"/>
          <w:sz w:val="24"/>
          <w:szCs w:val="24"/>
          <w:lang w:val="sr-Cyrl-RS" w:eastAsia="hr-HR"/>
        </w:rPr>
        <w:t xml:space="preserve"> окружење (ЕУ и земље региона) представљају веома важну структуралну одредницу свих економских кретања у Босни и Херцеговини. Референтне међународне институције у свијету као што су ММФ </w:t>
      </w:r>
      <w:r w:rsidRPr="00AE5455">
        <w:rPr>
          <w:rFonts w:ascii="Times New Roman" w:eastAsia="Times New Roman" w:hAnsi="Times New Roman" w:cs="Times New Roman"/>
          <w:color w:val="000000"/>
          <w:sz w:val="24"/>
          <w:szCs w:val="24"/>
          <w:lang w:val="sr-Cyrl-RS" w:eastAsia="hr-HR"/>
        </w:rPr>
        <w:t>–</w:t>
      </w:r>
      <w:r w:rsidRPr="00EA0FD7">
        <w:rPr>
          <w:rFonts w:ascii="Times New Roman" w:eastAsia="Times New Roman" w:hAnsi="Times New Roman" w:cs="Times New Roman"/>
          <w:color w:val="000000"/>
          <w:sz w:val="24"/>
          <w:szCs w:val="24"/>
          <w:lang w:val="sr-Cyrl-RS" w:eastAsia="hr-HR"/>
        </w:rPr>
        <w:t xml:space="preserve"> Међународни монетарни фонд, Свјетска банка и Европска комисија у одређеним публикацијама указују на то да ће најновија међународна догађања имати негативне економске посљедице по свјетску економију.</w:t>
      </w:r>
      <w:r w:rsidRPr="00AE5455">
        <w:rPr>
          <w:rFonts w:ascii="Times New Roman" w:eastAsia="Times New Roman" w:hAnsi="Times New Roman" w:cs="Times New Roman"/>
          <w:color w:val="000000"/>
          <w:sz w:val="24"/>
          <w:szCs w:val="24"/>
          <w:vertAlign w:val="superscript"/>
          <w:lang w:val="sr-Cyrl-RS" w:eastAsia="hr-HR"/>
        </w:rPr>
        <w:footnoteReference w:id="6"/>
      </w:r>
      <w:r w:rsidRPr="00EA0FD7">
        <w:rPr>
          <w:rFonts w:ascii="Times New Roman" w:eastAsia="Times New Roman" w:hAnsi="Times New Roman" w:cs="Times New Roman"/>
          <w:color w:val="000000"/>
          <w:sz w:val="24"/>
          <w:szCs w:val="24"/>
          <w:lang w:val="sr-Cyrl-RS" w:eastAsia="hr-HR"/>
        </w:rPr>
        <w:t xml:space="preserve"> </w:t>
      </w:r>
    </w:p>
    <w:p w14:paraId="2BA505FB" w14:textId="77777777"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p>
    <w:p w14:paraId="74E3421A" w14:textId="22F0E434"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Негативне економске посљедице су већ видљиве и огледају се кроз пораст свјетских цијена енергената и хране, нестабилност на финансијским тржиштима што би у коначници могло угрозити опоравак свјетске економије из претходне године. Иако званичне пројекције економских кретања у свијету нису биле расположиве током припреме овог извјештаја, врло је извјесно да ће исте бити ревидиране на ниже усљед повећаног ризика од даље ескалације сукоба. С тога вриједи истаћи да је приликом припреме овог извјештаја у оквиру пројицирања економских кретања у међународном економском окружењу  кориш</w:t>
      </w:r>
      <w:r w:rsidRPr="00AE5455">
        <w:rPr>
          <w:rFonts w:ascii="Times New Roman" w:eastAsia="Times New Roman" w:hAnsi="Times New Roman" w:cs="Times New Roman"/>
          <w:color w:val="000000"/>
          <w:sz w:val="24"/>
          <w:szCs w:val="24"/>
          <w:lang w:val="sr-Cyrl-RS" w:eastAsia="hr-HR"/>
        </w:rPr>
        <w:t>ћ</w:t>
      </w:r>
      <w:r w:rsidRPr="00EA0FD7">
        <w:rPr>
          <w:rFonts w:ascii="Times New Roman" w:eastAsia="Times New Roman" w:hAnsi="Times New Roman" w:cs="Times New Roman"/>
          <w:color w:val="000000"/>
          <w:sz w:val="24"/>
          <w:szCs w:val="24"/>
          <w:lang w:val="sr-Cyrl-RS" w:eastAsia="hr-HR"/>
        </w:rPr>
        <w:t xml:space="preserve">ено фебруарско издање </w:t>
      </w:r>
      <w:r w:rsidRPr="00AE5455">
        <w:rPr>
          <w:rFonts w:ascii="Times New Roman" w:eastAsia="Times New Roman" w:hAnsi="Times New Roman" w:cs="Times New Roman"/>
          <w:i/>
          <w:iCs/>
          <w:color w:val="000000"/>
          <w:sz w:val="24"/>
          <w:szCs w:val="24"/>
          <w:lang w:val="sr-Cyrl-RS" w:eastAsia="hr-HR"/>
        </w:rPr>
        <w:t>European</w:t>
      </w:r>
      <w:r w:rsidRPr="00EA0FD7">
        <w:rPr>
          <w:rFonts w:ascii="Times New Roman" w:eastAsia="Times New Roman" w:hAnsi="Times New Roman" w:cs="Times New Roman"/>
          <w:i/>
          <w:iCs/>
          <w:color w:val="000000"/>
          <w:sz w:val="24"/>
          <w:szCs w:val="24"/>
          <w:lang w:val="sr-Cyrl-RS" w:eastAsia="hr-HR"/>
        </w:rPr>
        <w:t xml:space="preserve"> </w:t>
      </w:r>
      <w:r w:rsidRPr="00AE5455">
        <w:rPr>
          <w:rFonts w:ascii="Times New Roman" w:eastAsia="Times New Roman" w:hAnsi="Times New Roman" w:cs="Times New Roman"/>
          <w:i/>
          <w:iCs/>
          <w:color w:val="000000"/>
          <w:sz w:val="24"/>
          <w:szCs w:val="24"/>
          <w:lang w:val="sr-Cyrl-RS" w:eastAsia="hr-HR"/>
        </w:rPr>
        <w:t>Economic</w:t>
      </w:r>
      <w:r w:rsidRPr="00EA0FD7">
        <w:rPr>
          <w:rFonts w:ascii="Times New Roman" w:eastAsia="Times New Roman" w:hAnsi="Times New Roman" w:cs="Times New Roman"/>
          <w:i/>
          <w:iCs/>
          <w:color w:val="000000"/>
          <w:sz w:val="24"/>
          <w:szCs w:val="24"/>
          <w:lang w:val="sr-Cyrl-RS" w:eastAsia="hr-HR"/>
        </w:rPr>
        <w:t xml:space="preserve"> </w:t>
      </w:r>
      <w:r w:rsidRPr="00AE5455">
        <w:rPr>
          <w:rFonts w:ascii="Times New Roman" w:eastAsia="Times New Roman" w:hAnsi="Times New Roman" w:cs="Times New Roman"/>
          <w:i/>
          <w:iCs/>
          <w:color w:val="000000"/>
          <w:sz w:val="24"/>
          <w:szCs w:val="24"/>
          <w:lang w:val="sr-Cyrl-RS" w:eastAsia="hr-HR"/>
        </w:rPr>
        <w:t>Forecast</w:t>
      </w:r>
      <w:r w:rsidRPr="00EA0FD7">
        <w:rPr>
          <w:rFonts w:ascii="Times New Roman" w:eastAsia="Times New Roman" w:hAnsi="Times New Roman" w:cs="Times New Roman"/>
          <w:i/>
          <w:iCs/>
          <w:color w:val="000000"/>
          <w:sz w:val="24"/>
          <w:szCs w:val="24"/>
          <w:lang w:val="sr-Cyrl-RS" w:eastAsia="hr-HR"/>
        </w:rPr>
        <w:t xml:space="preserve"> W</w:t>
      </w:r>
      <w:r w:rsidRPr="00AE5455">
        <w:rPr>
          <w:rFonts w:ascii="Times New Roman" w:eastAsia="Times New Roman" w:hAnsi="Times New Roman" w:cs="Times New Roman"/>
          <w:i/>
          <w:iCs/>
          <w:color w:val="000000"/>
          <w:sz w:val="24"/>
          <w:szCs w:val="24"/>
          <w:lang w:val="sr-Cyrl-RS" w:eastAsia="hr-HR"/>
        </w:rPr>
        <w:t>inter</w:t>
      </w:r>
      <w:r w:rsidRPr="00EA0FD7">
        <w:rPr>
          <w:rFonts w:ascii="Times New Roman" w:eastAsia="Times New Roman" w:hAnsi="Times New Roman" w:cs="Times New Roman"/>
          <w:i/>
          <w:iCs/>
          <w:color w:val="000000"/>
          <w:sz w:val="24"/>
          <w:szCs w:val="24"/>
          <w:lang w:val="sr-Cyrl-RS" w:eastAsia="hr-HR"/>
        </w:rPr>
        <w:t xml:space="preserve"> 2022</w:t>
      </w:r>
      <w:r w:rsidRPr="00EA0FD7">
        <w:rPr>
          <w:rFonts w:ascii="Times New Roman" w:eastAsia="Times New Roman" w:hAnsi="Times New Roman" w:cs="Times New Roman"/>
          <w:color w:val="000000"/>
          <w:sz w:val="24"/>
          <w:szCs w:val="24"/>
          <w:lang w:val="sr-Cyrl-RS" w:eastAsia="hr-HR"/>
        </w:rPr>
        <w:t xml:space="preserve">  </w:t>
      </w:r>
      <w:r w:rsidRPr="00EA0FD7">
        <w:rPr>
          <w:rFonts w:ascii="Times New Roman" w:eastAsia="Times New Roman" w:hAnsi="Times New Roman" w:cs="Times New Roman"/>
          <w:i/>
          <w:iCs/>
          <w:color w:val="000000"/>
          <w:sz w:val="24"/>
          <w:szCs w:val="24"/>
          <w:lang w:val="sr-Cyrl-RS" w:eastAsia="hr-HR"/>
        </w:rPr>
        <w:t>(</w:t>
      </w:r>
      <w:r w:rsidRPr="00AE5455">
        <w:rPr>
          <w:rFonts w:ascii="Times New Roman" w:eastAsia="Times New Roman" w:hAnsi="Times New Roman" w:cs="Times New Roman"/>
          <w:i/>
          <w:iCs/>
          <w:color w:val="000000"/>
          <w:sz w:val="24"/>
          <w:szCs w:val="24"/>
          <w:lang w:val="sr-Cyrl-RS" w:eastAsia="hr-HR"/>
        </w:rPr>
        <w:t>Interim</w:t>
      </w:r>
      <w:r w:rsidRPr="00EA0FD7">
        <w:rPr>
          <w:rFonts w:ascii="Times New Roman" w:eastAsia="Times New Roman" w:hAnsi="Times New Roman" w:cs="Times New Roman"/>
          <w:i/>
          <w:iCs/>
          <w:color w:val="000000"/>
          <w:sz w:val="24"/>
          <w:szCs w:val="24"/>
          <w:lang w:val="sr-Cyrl-RS" w:eastAsia="hr-HR"/>
        </w:rPr>
        <w:t>)</w:t>
      </w:r>
      <w:r w:rsidRPr="00EA0FD7">
        <w:rPr>
          <w:rFonts w:ascii="Times New Roman" w:eastAsia="Times New Roman" w:hAnsi="Times New Roman" w:cs="Times New Roman"/>
          <w:color w:val="000000"/>
          <w:sz w:val="24"/>
          <w:szCs w:val="24"/>
          <w:lang w:val="sr-Cyrl-RS" w:eastAsia="hr-HR"/>
        </w:rPr>
        <w:t xml:space="preserve"> које није у обзир узело најновија дешавања која су везана за кризу у Украјини.</w:t>
      </w:r>
      <w:r w:rsidRPr="00AE5455">
        <w:rPr>
          <w:rFonts w:ascii="Times New Roman" w:eastAsia="Times New Roman" w:hAnsi="Times New Roman" w:cs="Times New Roman"/>
          <w:color w:val="000000"/>
          <w:sz w:val="24"/>
          <w:szCs w:val="24"/>
          <w:vertAlign w:val="superscript"/>
          <w:lang w:val="sr-Cyrl-RS" w:eastAsia="hr-HR"/>
        </w:rPr>
        <w:footnoteReference w:id="7"/>
      </w:r>
      <w:r w:rsidRPr="00EA0FD7">
        <w:rPr>
          <w:rFonts w:ascii="Times New Roman" w:eastAsia="Times New Roman" w:hAnsi="Times New Roman" w:cs="Times New Roman"/>
          <w:color w:val="000000"/>
          <w:sz w:val="24"/>
          <w:szCs w:val="24"/>
          <w:lang w:val="sr-Cyrl-RS" w:eastAsia="hr-HR"/>
        </w:rPr>
        <w:t xml:space="preserve"> Обзиром да екстерне динамике представљају веома важну структурну одредницу свих економских кретања у Босни и Херцеговини вриједи истаћи да ће најновија дешавања имати велику ако не и одлучујућу улогу за изгледе економског раста у наредном периоду, што се нарочито односи на 2022. годину. Осим екстерних динамика, јако битан фактор за економски раст у земљи током програмског периода 2022</w:t>
      </w:r>
      <w:r w:rsidRPr="00AE5455">
        <w:rPr>
          <w:rFonts w:ascii="Times New Roman" w:eastAsia="Times New Roman" w:hAnsi="Times New Roman" w:cs="Times New Roman"/>
          <w:color w:val="000000"/>
          <w:sz w:val="24"/>
          <w:szCs w:val="24"/>
          <w:lang w:val="sr-Cyrl-RS" w:eastAsia="hr-HR"/>
        </w:rPr>
        <w:t>–</w:t>
      </w:r>
      <w:r w:rsidRPr="00EA0FD7">
        <w:rPr>
          <w:rFonts w:ascii="Times New Roman" w:eastAsia="Times New Roman" w:hAnsi="Times New Roman" w:cs="Times New Roman"/>
          <w:color w:val="000000"/>
          <w:sz w:val="24"/>
          <w:szCs w:val="24"/>
          <w:lang w:val="sr-Cyrl-RS" w:eastAsia="hr-HR"/>
        </w:rPr>
        <w:t xml:space="preserve">2025. година  представљаће и институционални капацитет земље у </w:t>
      </w:r>
      <w:r w:rsidRPr="00AE5455">
        <w:rPr>
          <w:rFonts w:ascii="Times New Roman" w:eastAsia="Times New Roman" w:hAnsi="Times New Roman" w:cs="Times New Roman"/>
          <w:color w:val="000000"/>
          <w:sz w:val="24"/>
          <w:szCs w:val="24"/>
          <w:lang w:val="sr-Cyrl-RS" w:eastAsia="hr-HR"/>
        </w:rPr>
        <w:t>спровођењу</w:t>
      </w:r>
      <w:r w:rsidRPr="00EA0FD7">
        <w:rPr>
          <w:rFonts w:ascii="Times New Roman" w:eastAsia="Times New Roman" w:hAnsi="Times New Roman" w:cs="Times New Roman"/>
          <w:color w:val="000000"/>
          <w:sz w:val="24"/>
          <w:szCs w:val="24"/>
          <w:lang w:val="sr-Cyrl-RS" w:eastAsia="hr-HR"/>
        </w:rPr>
        <w:t xml:space="preserve"> структуралних реформи </w:t>
      </w:r>
      <w:r w:rsidRPr="00EA0FD7">
        <w:rPr>
          <w:rFonts w:ascii="Times New Roman" w:eastAsia="Times New Roman" w:hAnsi="Times New Roman" w:cs="Times New Roman"/>
          <w:color w:val="000000"/>
          <w:sz w:val="24"/>
          <w:szCs w:val="24"/>
          <w:lang w:val="sr-Cyrl-RS" w:eastAsia="hr-HR"/>
        </w:rPr>
        <w:lastRenderedPageBreak/>
        <w:t>како би се ојачао допринос интерних динамика у креирању истог. Даље усложњавање како екстерних тако и интерних динамика би имало веома негативне посљедице по босанскохерцеговачку економију и смањила њен потенцијални раст.</w:t>
      </w:r>
    </w:p>
    <w:p w14:paraId="4D6BCA11" w14:textId="77777777"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p>
    <w:p w14:paraId="3B33DA4C" w14:textId="48E4CCCC"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Имајући у виду наведене како екстерне тако и интерне околности,  према пројекцијама ДЕП-а у периоду 2022</w:t>
      </w:r>
      <w:r w:rsidRPr="00AE5455">
        <w:rPr>
          <w:rFonts w:ascii="Times New Roman" w:eastAsia="Times New Roman" w:hAnsi="Times New Roman" w:cs="Times New Roman"/>
          <w:color w:val="000000"/>
          <w:sz w:val="24"/>
          <w:szCs w:val="24"/>
          <w:lang w:val="sr-Cyrl-RS" w:eastAsia="hr-HR"/>
        </w:rPr>
        <w:t>–</w:t>
      </w:r>
      <w:r w:rsidRPr="00EA0FD7">
        <w:rPr>
          <w:rFonts w:ascii="Times New Roman" w:eastAsia="Times New Roman" w:hAnsi="Times New Roman" w:cs="Times New Roman"/>
          <w:color w:val="000000"/>
          <w:sz w:val="24"/>
          <w:szCs w:val="24"/>
          <w:lang w:val="sr-Cyrl-RS" w:eastAsia="hr-HR"/>
        </w:rPr>
        <w:t>2025. година у Босни и Херцеговини се може очекивати економски раст са просјечном стопом економског раста  од око 3% на годишњем нивоу (2022: 2,1%, 2023: 3,1%, 2024: 3,0% и 2025. 3,4%). Најновија дешавања у међународном економском окружењу (повећани екстерни ризици), снажан раст свјетских цијена (енергенти и храна) и поприлично висока основица из претходне</w:t>
      </w:r>
      <w:r w:rsidRPr="00AE5455">
        <w:rPr>
          <w:rFonts w:ascii="Times New Roman" w:eastAsia="Times New Roman" w:hAnsi="Times New Roman" w:cs="Times New Roman"/>
          <w:color w:val="000000"/>
          <w:sz w:val="24"/>
          <w:szCs w:val="24"/>
          <w:lang w:val="sr-Cyrl-RS" w:eastAsia="hr-HR"/>
        </w:rPr>
        <w:t xml:space="preserve"> </w:t>
      </w:r>
      <w:r w:rsidRPr="00EA0FD7">
        <w:rPr>
          <w:rFonts w:ascii="Times New Roman" w:eastAsia="Times New Roman" w:hAnsi="Times New Roman" w:cs="Times New Roman"/>
          <w:color w:val="000000"/>
          <w:sz w:val="24"/>
          <w:szCs w:val="24"/>
          <w:lang w:val="sr-Cyrl-RS" w:eastAsia="hr-HR"/>
        </w:rPr>
        <w:t>године (стопа раста 5,4%) резултирали су ревидирањем пројекције економског раста у Босни и Херцеговини у 2022. години. Тако се према пројекцијама ДЕП-а у БиХ до краја 2022. године може очекивати реални економски раст од око 2,1% у односу на претходну годину, док очекивана номинална стопа раста износи 5,4%. Посљедица је ово веома изражених инфлаторних притисака који су започели током претходне године усљед прекида у глобалним ланцима сна</w:t>
      </w:r>
      <w:r w:rsidR="009E1E82">
        <w:rPr>
          <w:rFonts w:ascii="Times New Roman" w:eastAsia="Times New Roman" w:hAnsi="Times New Roman" w:cs="Times New Roman"/>
          <w:color w:val="000000"/>
          <w:sz w:val="24"/>
          <w:szCs w:val="24"/>
          <w:lang w:val="sr-Cyrl-RS" w:eastAsia="hr-HR"/>
        </w:rPr>
        <w:t>бд</w:t>
      </w:r>
      <w:r w:rsidRPr="00EA0FD7">
        <w:rPr>
          <w:rFonts w:ascii="Times New Roman" w:eastAsia="Times New Roman" w:hAnsi="Times New Roman" w:cs="Times New Roman"/>
          <w:color w:val="000000"/>
          <w:sz w:val="24"/>
          <w:szCs w:val="24"/>
          <w:lang w:val="sr-Cyrl-RS" w:eastAsia="hr-HR"/>
        </w:rPr>
        <w:t>ијевања (</w:t>
      </w:r>
      <w:r w:rsidRPr="00AE5455">
        <w:rPr>
          <w:rFonts w:ascii="Times New Roman" w:eastAsia="Times New Roman" w:hAnsi="Times New Roman" w:cs="Times New Roman"/>
          <w:color w:val="000000"/>
          <w:sz w:val="24"/>
          <w:szCs w:val="24"/>
          <w:lang w:val="sr-Cyrl-RS" w:eastAsia="hr-HR"/>
        </w:rPr>
        <w:t>COVID-19</w:t>
      </w:r>
      <w:r w:rsidRPr="00EA0FD7">
        <w:rPr>
          <w:rFonts w:ascii="Times New Roman" w:eastAsia="Times New Roman" w:hAnsi="Times New Roman" w:cs="Times New Roman"/>
          <w:color w:val="000000"/>
          <w:sz w:val="24"/>
          <w:szCs w:val="24"/>
          <w:lang w:val="sr-Cyrl-RS" w:eastAsia="hr-HR"/>
        </w:rPr>
        <w:t xml:space="preserve"> криза), а додатно интензивирани у 2022. години усљед најновијих дешавања у односима између Русије и Украјине.</w:t>
      </w:r>
      <w:r w:rsidRPr="00AE5455">
        <w:rPr>
          <w:rFonts w:ascii="Times New Roman" w:eastAsia="Times New Roman" w:hAnsi="Times New Roman" w:cs="Times New Roman"/>
          <w:color w:val="000000"/>
          <w:sz w:val="24"/>
          <w:szCs w:val="24"/>
          <w:vertAlign w:val="superscript"/>
          <w:lang w:val="sr-Cyrl-RS" w:eastAsia="hr-HR"/>
        </w:rPr>
        <w:footnoteReference w:id="8"/>
      </w:r>
      <w:r w:rsidRPr="00EA0FD7">
        <w:rPr>
          <w:rFonts w:ascii="Times New Roman" w:eastAsia="Times New Roman" w:hAnsi="Times New Roman" w:cs="Times New Roman"/>
          <w:color w:val="000000"/>
          <w:sz w:val="24"/>
          <w:szCs w:val="24"/>
          <w:lang w:val="sr-Cyrl-RS" w:eastAsia="hr-HR"/>
        </w:rPr>
        <w:t xml:space="preserve"> Ако се пажљивије посматра структура пројицираног економског раста у 2022. години видљиво је да је допринос по компонентама раста равномјерно распод</w:t>
      </w:r>
      <w:r w:rsidRPr="00AE5455">
        <w:rPr>
          <w:rFonts w:ascii="Times New Roman" w:eastAsia="Times New Roman" w:hAnsi="Times New Roman" w:cs="Times New Roman"/>
          <w:color w:val="000000"/>
          <w:sz w:val="24"/>
          <w:szCs w:val="24"/>
          <w:lang w:val="sr-Cyrl-RS" w:eastAsia="hr-HR"/>
        </w:rPr>
        <w:t>и</w:t>
      </w:r>
      <w:r w:rsidRPr="00EA0FD7">
        <w:rPr>
          <w:rFonts w:ascii="Times New Roman" w:eastAsia="Times New Roman" w:hAnsi="Times New Roman" w:cs="Times New Roman"/>
          <w:color w:val="000000"/>
          <w:sz w:val="24"/>
          <w:szCs w:val="24"/>
          <w:lang w:val="sr-Cyrl-RS" w:eastAsia="hr-HR"/>
        </w:rPr>
        <w:t xml:space="preserve">јељен уз позитиван допринос приватне потрошње, инвестиција и нето извоза. </w:t>
      </w:r>
    </w:p>
    <w:p w14:paraId="4F4A7392" w14:textId="77777777"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p>
    <w:p w14:paraId="76407955" w14:textId="65292B6C"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 xml:space="preserve">Под претпоставком нормализације како екстерних тако и интерних динамика у Босни и Херцеговини </w:t>
      </w:r>
      <w:r w:rsidRPr="00EA0FD7">
        <w:rPr>
          <w:rFonts w:ascii="Times New Roman" w:eastAsia="Times New Roman" w:hAnsi="Times New Roman" w:cs="Times New Roman"/>
          <w:bCs/>
          <w:color w:val="000000"/>
          <w:sz w:val="24"/>
          <w:szCs w:val="24"/>
          <w:lang w:val="sr-Cyrl-RS" w:eastAsia="hr-HR"/>
        </w:rPr>
        <w:t>у периоду 2023</w:t>
      </w:r>
      <w:r w:rsidRPr="00AE5455">
        <w:rPr>
          <w:rFonts w:ascii="Times New Roman" w:eastAsia="Times New Roman" w:hAnsi="Times New Roman" w:cs="Times New Roman"/>
          <w:bCs/>
          <w:color w:val="000000"/>
          <w:sz w:val="24"/>
          <w:szCs w:val="24"/>
          <w:lang w:val="sr-Cyrl-RS" w:eastAsia="hr-HR"/>
        </w:rPr>
        <w:t>–</w:t>
      </w:r>
      <w:r w:rsidRPr="00EA0FD7">
        <w:rPr>
          <w:rFonts w:ascii="Times New Roman" w:eastAsia="Times New Roman" w:hAnsi="Times New Roman" w:cs="Times New Roman"/>
          <w:bCs/>
          <w:color w:val="000000"/>
          <w:sz w:val="24"/>
          <w:szCs w:val="24"/>
          <w:lang w:val="sr-Cyrl-RS" w:eastAsia="hr-HR"/>
        </w:rPr>
        <w:t>2025. година</w:t>
      </w:r>
      <w:r w:rsidRPr="00EA0FD7">
        <w:rPr>
          <w:rFonts w:ascii="Times New Roman" w:eastAsia="Times New Roman" w:hAnsi="Times New Roman" w:cs="Times New Roman"/>
          <w:color w:val="000000"/>
          <w:sz w:val="24"/>
          <w:szCs w:val="24"/>
          <w:lang w:val="sr-Cyrl-RS" w:eastAsia="hr-HR"/>
        </w:rPr>
        <w:t xml:space="preserve"> се може очекивати економски раст од око 3%. Посматрано појединачно по годинама у 2023. години очекивана стопа економског раста износи 3,1%, у 2024. 3,0% и у 2025. години 3,4% у односу на претходну годину. Претпоставља се да би кључни ослонац економског раста током овог периода требала представљати домаћа тражња кроз повећање приватне потрошње и инвестиција. Наиме, повећање укупне економске активности у земљи уз очекивано повећање индустријске производње и грађевинских радова праћено повећањем броја запослених и прихода од извоза (роба и услуга) требало би резултирати повећањем расположивог дохотка грађана</w:t>
      </w:r>
      <w:r w:rsidRPr="00AE5455">
        <w:rPr>
          <w:rFonts w:ascii="Times New Roman" w:eastAsia="Times New Roman" w:hAnsi="Times New Roman" w:cs="Times New Roman"/>
          <w:color w:val="000000"/>
          <w:sz w:val="24"/>
          <w:szCs w:val="24"/>
          <w:lang w:val="sr-Cyrl-RS" w:eastAsia="hr-HR"/>
        </w:rPr>
        <w:t xml:space="preserve">, </w:t>
      </w:r>
      <w:r w:rsidRPr="00EA0FD7">
        <w:rPr>
          <w:rFonts w:ascii="Times New Roman" w:eastAsia="Times New Roman" w:hAnsi="Times New Roman" w:cs="Times New Roman"/>
          <w:color w:val="000000"/>
          <w:sz w:val="24"/>
          <w:szCs w:val="24"/>
          <w:lang w:val="sr-Cyrl-RS" w:eastAsia="hr-HR"/>
        </w:rPr>
        <w:t>а самим тим и повећањем приватне потрошње која ће као и претходних година представљати кључни ослонац економског раста. Тако се у периоду 2023</w:t>
      </w:r>
      <w:r w:rsidRPr="00AE5455">
        <w:rPr>
          <w:rFonts w:ascii="Times New Roman" w:eastAsia="Times New Roman" w:hAnsi="Times New Roman" w:cs="Times New Roman"/>
          <w:color w:val="000000"/>
          <w:sz w:val="24"/>
          <w:szCs w:val="24"/>
          <w:lang w:val="sr-Cyrl-RS" w:eastAsia="hr-HR"/>
        </w:rPr>
        <w:t>–</w:t>
      </w:r>
      <w:r w:rsidRPr="00EA0FD7">
        <w:rPr>
          <w:rFonts w:ascii="Times New Roman" w:eastAsia="Times New Roman" w:hAnsi="Times New Roman" w:cs="Times New Roman"/>
          <w:color w:val="000000"/>
          <w:sz w:val="24"/>
          <w:szCs w:val="24"/>
          <w:lang w:val="sr-Cyrl-RS" w:eastAsia="hr-HR"/>
        </w:rPr>
        <w:t>2025. године очекује просјечна стопа раста приватне потрошње од 1,4% (2023: 1,4%, 2024: 1,4%, 2025: 1,5%). С друге стране, имајући у виду висок ниво јавне потрошње у оквиру БДП-а у Босни и Херцеговини и напоре који се улажу кроз процес фискалне консолидације у Босни и Херцеговини током овог периода очекује се постепена стабилизација јавних финансија кроз смањење јавних расхода и истовремено повећање јавних прихода како би се ограничио раст јавне потрошње. Тако се у периоду 2023</w:t>
      </w:r>
      <w:r w:rsidRPr="00AE5455">
        <w:rPr>
          <w:rFonts w:ascii="Times New Roman" w:eastAsia="Times New Roman" w:hAnsi="Times New Roman" w:cs="Times New Roman"/>
          <w:color w:val="000000"/>
          <w:sz w:val="24"/>
          <w:szCs w:val="24"/>
          <w:lang w:val="sr-Cyrl-RS" w:eastAsia="hr-HR"/>
        </w:rPr>
        <w:t>–</w:t>
      </w:r>
      <w:r w:rsidRPr="00EA0FD7">
        <w:rPr>
          <w:rFonts w:ascii="Times New Roman" w:eastAsia="Times New Roman" w:hAnsi="Times New Roman" w:cs="Times New Roman"/>
          <w:color w:val="000000"/>
          <w:sz w:val="24"/>
          <w:szCs w:val="24"/>
          <w:lang w:val="sr-Cyrl-RS" w:eastAsia="hr-HR"/>
        </w:rPr>
        <w:t xml:space="preserve">2025. година очекује уједначен раст јавне потрошње од око 0,5% на годишњем нивоу. Ако се има у виду да би током овог периода пројицирана стопа економског раста била виша у односу на раст јавне потрошње, удио исте у БДП-у би се дјелимично смањио на око 18% на крају 2024. године. </w:t>
      </w:r>
    </w:p>
    <w:p w14:paraId="227BB528" w14:textId="77777777"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p>
    <w:p w14:paraId="7EE17BFF" w14:textId="4A0F7BF1"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 xml:space="preserve">У овом временском периоду очекује се да би мјерама фискалне политике дио средстава из текуће потрошње требао бити канализиран у сврху јачања инвестиционе потрошње у Босни и Херцеговини. Самим тим, уз побољшање пословног амбијента, инвестиције би за разлику од претходних година могле имати значајнији раст, а тиме и већи допринос у очекиваном расту БДП-а. У периоду 2023-2025. године у Босни и Херцеговини </w:t>
      </w:r>
      <w:r w:rsidRPr="00AE5455">
        <w:rPr>
          <w:rFonts w:ascii="Times New Roman" w:eastAsia="Times New Roman" w:hAnsi="Times New Roman" w:cs="Times New Roman"/>
          <w:color w:val="000000"/>
          <w:sz w:val="24"/>
          <w:szCs w:val="24"/>
          <w:lang w:val="sr-Cyrl-RS" w:eastAsia="hr-HR"/>
        </w:rPr>
        <w:t xml:space="preserve">се </w:t>
      </w:r>
      <w:r w:rsidRPr="00EA0FD7">
        <w:rPr>
          <w:rFonts w:ascii="Times New Roman" w:eastAsia="Times New Roman" w:hAnsi="Times New Roman" w:cs="Times New Roman"/>
          <w:color w:val="000000"/>
          <w:sz w:val="24"/>
          <w:szCs w:val="24"/>
          <w:lang w:val="sr-Cyrl-RS" w:eastAsia="hr-HR"/>
        </w:rPr>
        <w:t xml:space="preserve">очекује повећање бруто инвестиција у стална средства по просјечној годишњој стопи раста од око 6,5% (2023: 5,1%, 2024: 7,8%, 2025: 7,8%). У овом временском оквиру поред повећања приватних инвестиција које чине већински дио укупних инвестиција (око 80% укупних инвестиција) као што је то и раније наведено, очекује се и значајнији допринос јавних инвестиција. Сматра се да би напредак у процесу европских интеграција у комбинацији са унапређењем пословног окружења кроз реформске процесе могло повећати интерес како домаћих тако и страних инвеститора за инвестициона улагања у Босну и Херцеговину. С друге стране, обзиром на </w:t>
      </w:r>
      <w:r w:rsidRPr="00EA0FD7">
        <w:rPr>
          <w:rFonts w:ascii="Times New Roman" w:eastAsia="Times New Roman" w:hAnsi="Times New Roman" w:cs="Times New Roman"/>
          <w:color w:val="000000"/>
          <w:sz w:val="24"/>
          <w:szCs w:val="24"/>
          <w:lang w:val="sr-Cyrl-RS" w:eastAsia="hr-HR"/>
        </w:rPr>
        <w:lastRenderedPageBreak/>
        <w:t xml:space="preserve">структуру и позицију економије Босне и Херцеговине, сматра се да ће јавне инвестиције представљати нешто важнију  полугу за подстицање економског раста у средњем року. Пројекти у оквиру изградње путне инфраструктуре и енергетски пројекти, као и расположивост средстава код међународних финансијских институција би уз адекватну и правовремену имплементацију истих могли резултирати годишњим повећањем јавних инвестиција од око 10%, за период од 2023. до 2025. године. Тако би у средњорочном временском оквиру удио јавних инвестиција у оквиру БДП-а у Босни и Херцеговини био повећан на око 5% БДП-а. Стабилно екстерно окружење уз унапређење индустријске базе и подизање конкурентности у земљи представљају предуслов побољшања </w:t>
      </w:r>
      <w:r w:rsidRPr="00AE5455">
        <w:rPr>
          <w:rFonts w:ascii="Times New Roman" w:eastAsia="Times New Roman" w:hAnsi="Times New Roman" w:cs="Times New Roman"/>
          <w:color w:val="000000"/>
          <w:sz w:val="24"/>
          <w:szCs w:val="24"/>
          <w:lang w:val="sr-Cyrl-RS" w:eastAsia="hr-HR"/>
        </w:rPr>
        <w:t>спољно</w:t>
      </w:r>
      <w:r w:rsidRPr="00EA0FD7">
        <w:rPr>
          <w:rFonts w:ascii="Times New Roman" w:eastAsia="Times New Roman" w:hAnsi="Times New Roman" w:cs="Times New Roman"/>
          <w:color w:val="000000"/>
          <w:sz w:val="24"/>
          <w:szCs w:val="24"/>
          <w:lang w:val="sr-Cyrl-RS" w:eastAsia="hr-HR"/>
        </w:rPr>
        <w:t>трговинске размјене са свијетом. Само под условом материјализације наведених екстерних  претпоставки  у периоду 2023</w:t>
      </w:r>
      <w:r w:rsidRPr="00AE5455">
        <w:rPr>
          <w:rFonts w:ascii="Times New Roman" w:eastAsia="Times New Roman" w:hAnsi="Times New Roman" w:cs="Times New Roman"/>
          <w:color w:val="000000"/>
          <w:sz w:val="24"/>
          <w:szCs w:val="24"/>
          <w:lang w:val="sr-Cyrl-RS" w:eastAsia="hr-HR"/>
        </w:rPr>
        <w:t>–</w:t>
      </w:r>
      <w:r w:rsidRPr="00EA0FD7">
        <w:rPr>
          <w:rFonts w:ascii="Times New Roman" w:eastAsia="Times New Roman" w:hAnsi="Times New Roman" w:cs="Times New Roman"/>
          <w:color w:val="000000"/>
          <w:sz w:val="24"/>
          <w:szCs w:val="24"/>
          <w:lang w:val="sr-Cyrl-RS" w:eastAsia="hr-HR"/>
        </w:rPr>
        <w:t xml:space="preserve">2025. године може се очекивати пораст </w:t>
      </w:r>
      <w:r w:rsidRPr="00AE5455">
        <w:rPr>
          <w:rFonts w:ascii="Times New Roman" w:eastAsia="Times New Roman" w:hAnsi="Times New Roman" w:cs="Times New Roman"/>
          <w:color w:val="000000"/>
          <w:sz w:val="24"/>
          <w:szCs w:val="24"/>
          <w:lang w:val="sr-Cyrl-RS" w:eastAsia="hr-HR"/>
        </w:rPr>
        <w:t>спољно</w:t>
      </w:r>
      <w:r w:rsidRPr="00EA0FD7">
        <w:rPr>
          <w:rFonts w:ascii="Times New Roman" w:eastAsia="Times New Roman" w:hAnsi="Times New Roman" w:cs="Times New Roman"/>
          <w:color w:val="000000"/>
          <w:sz w:val="24"/>
          <w:szCs w:val="24"/>
          <w:lang w:val="sr-Cyrl-RS" w:eastAsia="hr-HR"/>
        </w:rPr>
        <w:t xml:space="preserve">трговинске размјене са свијетом. У том случају у Босни и Херцеговини се може очекивати просјечни годишњи раст извоза од 6,5% при чему би пројицирани раст роба и услуга био прилично уједначен. Тако би током овог периода захваљујући овом извозном расту удио извоза у БДП-у био повећан  на око 55% на крају 2025. године. С друге стране, очекује се да би се увоз у овом временском периоду требао кретати по нешто споријој годишњој стопи раста од 4,5%. Током овог периода очекује се прилично избалансиран раст увоза роба и раст увоза услуга. Посљедица оваквог кретања увозног раста била би стабилизација удјела увоза у БДП-у на око 65% БДП-а на крају 2025. године. Нешто снажнији раст извоза у односу на раст увоза у средњем року би резултирао постепеном стабилизацијом </w:t>
      </w:r>
      <w:r w:rsidRPr="00AE5455">
        <w:rPr>
          <w:rFonts w:ascii="Times New Roman" w:eastAsia="Times New Roman" w:hAnsi="Times New Roman" w:cs="Times New Roman"/>
          <w:color w:val="000000"/>
          <w:sz w:val="24"/>
          <w:szCs w:val="24"/>
          <w:lang w:val="sr-Cyrl-RS" w:eastAsia="hr-HR"/>
        </w:rPr>
        <w:t>спољно</w:t>
      </w:r>
      <w:r w:rsidRPr="00EA0FD7">
        <w:rPr>
          <w:rFonts w:ascii="Times New Roman" w:eastAsia="Times New Roman" w:hAnsi="Times New Roman" w:cs="Times New Roman"/>
          <w:color w:val="000000"/>
          <w:sz w:val="24"/>
          <w:szCs w:val="24"/>
          <w:lang w:val="sr-Cyrl-RS" w:eastAsia="hr-HR"/>
        </w:rPr>
        <w:t>трговинског биланса као удио у БДП-у на око 12%, односно благо позитивним доприносом економском расту, док би покривеност увоза извозом закључно са 2025. годином требала износити скоро 80%.</w:t>
      </w:r>
    </w:p>
    <w:p w14:paraId="2B5ED5E2" w14:textId="77777777" w:rsidR="00EA0FD7" w:rsidRPr="00EA0FD7" w:rsidRDefault="00EA0FD7" w:rsidP="00EA0FD7">
      <w:pPr>
        <w:spacing w:after="0" w:line="240" w:lineRule="auto"/>
        <w:jc w:val="center"/>
        <w:rPr>
          <w:rFonts w:ascii="Times New Roman" w:eastAsia="Times New Roman" w:hAnsi="Times New Roman" w:cs="Times New Roman"/>
          <w:b/>
          <w:bCs/>
          <w:color w:val="000000"/>
          <w:sz w:val="24"/>
          <w:szCs w:val="24"/>
          <w:lang w:val="sr-Cyrl-RS" w:eastAsia="hr-HR"/>
        </w:rPr>
      </w:pPr>
    </w:p>
    <w:p w14:paraId="703FF679" w14:textId="77777777" w:rsidR="00EA0FD7" w:rsidRPr="00EA0FD7" w:rsidRDefault="00EA0FD7" w:rsidP="00EA0FD7">
      <w:pPr>
        <w:spacing w:after="0" w:line="240" w:lineRule="auto"/>
        <w:jc w:val="center"/>
        <w:rPr>
          <w:rFonts w:ascii="Times New Roman" w:eastAsia="Times New Roman" w:hAnsi="Times New Roman" w:cs="Times New Roman"/>
          <w:b/>
          <w:bCs/>
          <w:color w:val="000000"/>
          <w:sz w:val="24"/>
          <w:szCs w:val="24"/>
          <w:lang w:val="sr-Cyrl-RS" w:eastAsia="hr-HR"/>
        </w:rPr>
      </w:pPr>
    </w:p>
    <w:p w14:paraId="60DF62B6" w14:textId="77777777" w:rsidR="00EA0FD7" w:rsidRPr="00EA0FD7" w:rsidRDefault="00EA0FD7" w:rsidP="00EA0FD7">
      <w:pPr>
        <w:spacing w:after="0" w:line="240" w:lineRule="auto"/>
        <w:rPr>
          <w:rFonts w:ascii="Times New Roman" w:eastAsia="Times New Roman" w:hAnsi="Times New Roman" w:cs="Times New Roman"/>
          <w:b/>
          <w:bCs/>
          <w:color w:val="000000"/>
          <w:sz w:val="24"/>
          <w:szCs w:val="24"/>
          <w:lang w:val="sr-Cyrl-RS" w:eastAsia="hr-HR"/>
        </w:rPr>
      </w:pPr>
      <w:r w:rsidRPr="00EA0FD7">
        <w:rPr>
          <w:rFonts w:ascii="Times New Roman" w:eastAsia="Times New Roman" w:hAnsi="Times New Roman" w:cs="Times New Roman"/>
          <w:b/>
          <w:bCs/>
          <w:color w:val="000000"/>
          <w:sz w:val="24"/>
          <w:szCs w:val="24"/>
          <w:lang w:val="sr-Cyrl-RS" w:eastAsia="hr-HR"/>
        </w:rPr>
        <w:t>Ризици</w:t>
      </w:r>
    </w:p>
    <w:p w14:paraId="74DAC98A" w14:textId="77777777"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p>
    <w:p w14:paraId="0872A2C8" w14:textId="6D22F4D8"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Ризици по остваривање пројекција економског раста у основном сценарију могу се класификовати у двије групе (вањски и унутрашњи). У вријеме припреме овог извјештаја чини се да су </w:t>
      </w:r>
      <w:r w:rsidR="00AE5455">
        <w:rPr>
          <w:rFonts w:ascii="Times New Roman" w:eastAsia="Times New Roman" w:hAnsi="Times New Roman" w:cs="Times New Roman"/>
          <w:sz w:val="24"/>
          <w:szCs w:val="24"/>
          <w:lang w:val="sr-Cyrl-RS" w:eastAsia="hr-HR"/>
        </w:rPr>
        <w:t>спољни</w:t>
      </w:r>
      <w:r w:rsidRPr="00EA0FD7">
        <w:rPr>
          <w:rFonts w:ascii="Times New Roman" w:eastAsia="Times New Roman" w:hAnsi="Times New Roman" w:cs="Times New Roman"/>
          <w:sz w:val="24"/>
          <w:szCs w:val="24"/>
          <w:lang w:val="sr-Cyrl-RS" w:eastAsia="hr-HR"/>
        </w:rPr>
        <w:t xml:space="preserve"> ризици доста израженији и представљају већи ризик за реализацију пројекција економског раста из основног сценарија у односу на унутрашње. Наиме, након стабилизације епидемиолошких прилика које су везане за </w:t>
      </w:r>
      <w:r w:rsidRPr="00AE5455">
        <w:rPr>
          <w:rFonts w:ascii="Times New Roman" w:eastAsia="Times New Roman" w:hAnsi="Times New Roman" w:cs="Times New Roman"/>
          <w:sz w:val="24"/>
          <w:szCs w:val="24"/>
          <w:lang w:val="sr-Cyrl-RS" w:eastAsia="hr-HR"/>
        </w:rPr>
        <w:t>COVID-19</w:t>
      </w:r>
      <w:r w:rsidRPr="00EA0FD7">
        <w:rPr>
          <w:rFonts w:ascii="Times New Roman" w:eastAsia="Times New Roman" w:hAnsi="Times New Roman" w:cs="Times New Roman"/>
          <w:sz w:val="24"/>
          <w:szCs w:val="24"/>
          <w:lang w:val="sr-Cyrl-RS" w:eastAsia="hr-HR"/>
        </w:rPr>
        <w:t>, почетком 2022. године дошло је до ескалације сукоба између Украјине и Русије што ће несумњиво имати негативне економске посљедице по глобалну економију и самим тим и Босну и Херцеговину. Даља ескалација  украјинске кризе, као и јачање инфлаторних притисака како на глобалном нивоу, тако у Босни и Херцеговини засигурно би имали негативан ут</w:t>
      </w:r>
      <w:r w:rsidR="00AE5455">
        <w:rPr>
          <w:rFonts w:ascii="Times New Roman" w:eastAsia="Times New Roman" w:hAnsi="Times New Roman" w:cs="Times New Roman"/>
          <w:sz w:val="24"/>
          <w:szCs w:val="24"/>
          <w:lang w:val="sr-Cyrl-RS" w:eastAsia="hr-HR"/>
        </w:rPr>
        <w:t>и</w:t>
      </w:r>
      <w:r w:rsidRPr="00EA0FD7">
        <w:rPr>
          <w:rFonts w:ascii="Times New Roman" w:eastAsia="Times New Roman" w:hAnsi="Times New Roman" w:cs="Times New Roman"/>
          <w:sz w:val="24"/>
          <w:szCs w:val="24"/>
          <w:lang w:val="sr-Cyrl-RS" w:eastAsia="hr-HR"/>
        </w:rPr>
        <w:t xml:space="preserve">цај на потрошњу, инвестиције, </w:t>
      </w:r>
      <w:r w:rsidR="00AE5455">
        <w:rPr>
          <w:rFonts w:ascii="Times New Roman" w:eastAsia="Times New Roman" w:hAnsi="Times New Roman" w:cs="Times New Roman"/>
          <w:sz w:val="24"/>
          <w:szCs w:val="24"/>
          <w:lang w:val="sr-Cyrl-RS" w:eastAsia="hr-HR"/>
        </w:rPr>
        <w:t>спољно</w:t>
      </w:r>
      <w:r w:rsidRPr="00EA0FD7">
        <w:rPr>
          <w:rFonts w:ascii="Times New Roman" w:eastAsia="Times New Roman" w:hAnsi="Times New Roman" w:cs="Times New Roman"/>
          <w:sz w:val="24"/>
          <w:szCs w:val="24"/>
          <w:lang w:val="sr-Cyrl-RS" w:eastAsia="hr-HR"/>
        </w:rPr>
        <w:t>трговинску размјену</w:t>
      </w:r>
      <w:r w:rsidR="00AE5455">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 xml:space="preserve">а самим тим и на пројекције економског раста у основном сценарију. </w:t>
      </w:r>
    </w:p>
    <w:p w14:paraId="30DB78A5" w14:textId="77777777"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p>
    <w:p w14:paraId="6EB02F4D" w14:textId="4FBECB72"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 xml:space="preserve">С друге стране, пријетњу реализацији ових пројекција представљају и унутрашњи изазови односно унутрашњи ризици у Босни и Херцеговини. Унутрашње ризике представљају сложен систем доношења одлука и спор темпо </w:t>
      </w:r>
      <w:r w:rsidR="00AE5455">
        <w:rPr>
          <w:rFonts w:ascii="Times New Roman" w:eastAsia="Times New Roman" w:hAnsi="Times New Roman" w:cs="Times New Roman"/>
          <w:color w:val="000000"/>
          <w:sz w:val="24"/>
          <w:szCs w:val="24"/>
          <w:lang w:val="sr-Cyrl-RS" w:eastAsia="hr-HR"/>
        </w:rPr>
        <w:t>с</w:t>
      </w:r>
      <w:r w:rsidRPr="00EA0FD7">
        <w:rPr>
          <w:rFonts w:ascii="Times New Roman" w:eastAsia="Times New Roman" w:hAnsi="Times New Roman" w:cs="Times New Roman"/>
          <w:color w:val="000000"/>
          <w:sz w:val="24"/>
          <w:szCs w:val="24"/>
          <w:lang w:val="sr-Cyrl-RS" w:eastAsia="hr-HR"/>
        </w:rPr>
        <w:t>провођења економских реформи у земљи. Евентуална кашњења у имплементацији</w:t>
      </w:r>
      <w:r w:rsidR="00AE5455">
        <w:rPr>
          <w:rFonts w:ascii="Times New Roman" w:eastAsia="Times New Roman" w:hAnsi="Times New Roman" w:cs="Times New Roman"/>
          <w:color w:val="000000"/>
          <w:sz w:val="24"/>
          <w:szCs w:val="24"/>
          <w:lang w:val="sr-Cyrl-RS" w:eastAsia="hr-HR"/>
        </w:rPr>
        <w:t xml:space="preserve"> </w:t>
      </w:r>
      <w:r w:rsidRPr="00EA0FD7">
        <w:rPr>
          <w:rFonts w:ascii="Times New Roman" w:eastAsia="Times New Roman" w:hAnsi="Times New Roman" w:cs="Times New Roman"/>
          <w:color w:val="000000"/>
          <w:sz w:val="24"/>
          <w:szCs w:val="24"/>
          <w:lang w:val="sr-Cyrl-RS" w:eastAsia="hr-HR"/>
        </w:rPr>
        <w:t>структуралних реформи  могла би се негативно одразити на укупни економски раст. Што се тиче ризика у средњем року, они се односе на миграцију становништва из Босне и Херцеговине, а то се нарочито  односи на млади, образовани  и квалификовани кадар што би могло резултирати смањењем продуктивности и споријим растом БДП-а од пројектованог.</w:t>
      </w:r>
    </w:p>
    <w:p w14:paraId="7813833F"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1F9F05D8" w14:textId="77777777" w:rsidR="00EA0FD7" w:rsidRPr="00EA0FD7" w:rsidRDefault="00EA0FD7" w:rsidP="00EA0FD7">
      <w:pPr>
        <w:spacing w:after="0" w:line="240" w:lineRule="auto"/>
        <w:rPr>
          <w:rFonts w:ascii="Times New Roman" w:eastAsia="Times New Roman" w:hAnsi="Times New Roman" w:cs="Times New Roman"/>
          <w:b/>
          <w:bCs/>
          <w:sz w:val="24"/>
          <w:szCs w:val="24"/>
          <w:u w:val="single"/>
          <w:lang w:val="sr-Cyrl-RS" w:eastAsia="hr-HR"/>
        </w:rPr>
      </w:pPr>
    </w:p>
    <w:p w14:paraId="32AFEFFC"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Индустријска производња у БиХ – 2022. година</w:t>
      </w:r>
    </w:p>
    <w:p w14:paraId="22965916"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u w:val="single"/>
          <w:lang w:val="sr-Cyrl-RS" w:eastAsia="hr-HR"/>
        </w:rPr>
      </w:pPr>
    </w:p>
    <w:p w14:paraId="7CE45FDB" w14:textId="4CF9C858" w:rsidR="00EA0FD7" w:rsidRPr="00EA0FD7" w:rsidRDefault="00EA0FD7" w:rsidP="00EA0FD7">
      <w:pPr>
        <w:spacing w:after="0" w:line="240" w:lineRule="auto"/>
        <w:jc w:val="both"/>
        <w:rPr>
          <w:rFonts w:ascii="Times New Roman" w:eastAsia="Times New Roman" w:hAnsi="Times New Roman" w:cs="Times New Roman"/>
          <w:color w:val="000000"/>
          <w:sz w:val="24"/>
          <w:lang w:val="sr-Cyrl-RS"/>
        </w:rPr>
      </w:pPr>
      <w:r w:rsidRPr="00EA0FD7">
        <w:rPr>
          <w:rFonts w:ascii="Times New Roman" w:eastAsia="Times New Roman" w:hAnsi="Times New Roman" w:cs="Times New Roman"/>
          <w:color w:val="000000"/>
          <w:sz w:val="24"/>
          <w:lang w:val="sr-Cyrl-RS"/>
        </w:rPr>
        <w:t xml:space="preserve">Према подацима БХАС-а у 2021. години усљед побољшања епидемиолошких и економских прилика у екстерном окружењу, Босна и Херцеговина је остварила раст физичког обима индустријске производње од 10,7% у односу на претходну годину. Вриједи истаћи да је овај раст физичког обима индустријске производње добрим дијелом и посљедица базног ефекта из претходне године обзиром да је током пандемијске (2020) године у Босни и Херцеговини </w:t>
      </w:r>
      <w:r w:rsidRPr="00EA0FD7">
        <w:rPr>
          <w:rFonts w:ascii="Times New Roman" w:eastAsia="Times New Roman" w:hAnsi="Times New Roman" w:cs="Times New Roman"/>
          <w:color w:val="000000"/>
          <w:sz w:val="24"/>
          <w:lang w:val="sr-Cyrl-RS"/>
        </w:rPr>
        <w:lastRenderedPageBreak/>
        <w:t>регистр</w:t>
      </w:r>
      <w:r w:rsidR="00AE5455">
        <w:rPr>
          <w:rFonts w:ascii="Times New Roman" w:eastAsia="Times New Roman" w:hAnsi="Times New Roman" w:cs="Times New Roman"/>
          <w:color w:val="000000"/>
          <w:sz w:val="24"/>
          <w:lang w:val="sr-Cyrl-RS"/>
        </w:rPr>
        <w:t>ован</w:t>
      </w:r>
      <w:r w:rsidRPr="00EA0FD7">
        <w:rPr>
          <w:rFonts w:ascii="Times New Roman" w:eastAsia="Times New Roman" w:hAnsi="Times New Roman" w:cs="Times New Roman"/>
          <w:color w:val="000000"/>
          <w:sz w:val="24"/>
          <w:lang w:val="sr-Cyrl-RS"/>
        </w:rPr>
        <w:t xml:space="preserve"> пад индустријске производње од 6,2%. С друге стране, тренутно расположиви прелиминарни подаци БХАС-а за јануар 2022. године ук</w:t>
      </w:r>
      <w:r w:rsidR="00AE5455">
        <w:rPr>
          <w:rFonts w:ascii="Times New Roman" w:eastAsia="Times New Roman" w:hAnsi="Times New Roman" w:cs="Times New Roman"/>
          <w:color w:val="000000"/>
          <w:sz w:val="24"/>
          <w:lang w:val="sr-Cyrl-RS"/>
        </w:rPr>
        <w:t>а</w:t>
      </w:r>
      <w:r w:rsidRPr="00EA0FD7">
        <w:rPr>
          <w:rFonts w:ascii="Times New Roman" w:eastAsia="Times New Roman" w:hAnsi="Times New Roman" w:cs="Times New Roman"/>
          <w:color w:val="000000"/>
          <w:sz w:val="24"/>
          <w:lang w:val="sr-Cyrl-RS"/>
        </w:rPr>
        <w:t>зују на наставак тренда раста физичког обима индустријске производње у Босни и Херцеговини обзиром да је у односу на исти мјесец претходне године остварен раст од 3%.</w:t>
      </w:r>
      <w:r w:rsidRPr="00EA0FD7">
        <w:rPr>
          <w:rFonts w:ascii="Times New Roman" w:eastAsia="Times New Roman" w:hAnsi="Times New Roman" w:cs="Times New Roman"/>
          <w:sz w:val="24"/>
          <w:lang w:val="sr-Cyrl-RS"/>
        </w:rPr>
        <w:t xml:space="preserve"> </w:t>
      </w:r>
      <w:r w:rsidRPr="00EA0FD7">
        <w:rPr>
          <w:rFonts w:ascii="Times New Roman" w:eastAsia="Times New Roman" w:hAnsi="Times New Roman" w:cs="Times New Roman"/>
          <w:color w:val="000000"/>
          <w:sz w:val="24"/>
          <w:lang w:val="sr-Cyrl-RS"/>
        </w:rPr>
        <w:t xml:space="preserve">Имајући у виду раније наведена међународна кретања и структуралну композицију индустријске производње уз очување стабилног </w:t>
      </w:r>
      <w:r w:rsidR="00AE5455">
        <w:rPr>
          <w:rFonts w:ascii="Times New Roman" w:eastAsia="Times New Roman" w:hAnsi="Times New Roman" w:cs="Times New Roman"/>
          <w:color w:val="000000"/>
          <w:sz w:val="24"/>
          <w:lang w:val="sr-Cyrl-RS"/>
        </w:rPr>
        <w:t>спољног</w:t>
      </w:r>
      <w:r w:rsidRPr="00EA0FD7">
        <w:rPr>
          <w:rFonts w:ascii="Times New Roman" w:eastAsia="Times New Roman" w:hAnsi="Times New Roman" w:cs="Times New Roman"/>
          <w:color w:val="000000"/>
          <w:sz w:val="24"/>
          <w:lang w:val="sr-Cyrl-RS"/>
        </w:rPr>
        <w:t xml:space="preserve"> окружења  у главним трговинским партнерима до краја 2022. године у Босни и Херцеговини се може очекивати повећање физичког обима индустријске производње. Вриједи истаћи да је очекивана стопа раста индустријске производње нешто нижа у односу на претходну годину.</w:t>
      </w:r>
    </w:p>
    <w:p w14:paraId="603E3D9B"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ECE569F" w14:textId="4FA9B7BE"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Cs/>
          <w:sz w:val="24"/>
          <w:szCs w:val="24"/>
          <w:lang w:val="sr-Cyrl-RS" w:eastAsia="hr-HR"/>
        </w:rPr>
        <w:t>У периоду 2023</w:t>
      </w:r>
      <w:r w:rsidR="00AE5455">
        <w:rPr>
          <w:rFonts w:ascii="Times New Roman" w:eastAsia="Times New Roman" w:hAnsi="Times New Roman" w:cs="Times New Roman"/>
          <w:bCs/>
          <w:sz w:val="24"/>
          <w:szCs w:val="24"/>
          <w:lang w:val="sr-Cyrl-RS" w:eastAsia="hr-HR"/>
        </w:rPr>
        <w:t>–</w:t>
      </w:r>
      <w:r w:rsidRPr="00EA0FD7">
        <w:rPr>
          <w:rFonts w:ascii="Times New Roman" w:eastAsia="Times New Roman" w:hAnsi="Times New Roman" w:cs="Times New Roman"/>
          <w:bCs/>
          <w:sz w:val="24"/>
          <w:szCs w:val="24"/>
          <w:lang w:val="sr-Cyrl-RS" w:eastAsia="hr-HR"/>
        </w:rPr>
        <w:t>2025. година</w:t>
      </w:r>
      <w:r w:rsidRPr="00EA0FD7">
        <w:rPr>
          <w:rFonts w:ascii="Times New Roman" w:eastAsia="Times New Roman" w:hAnsi="Times New Roman" w:cs="Times New Roman"/>
          <w:sz w:val="24"/>
          <w:szCs w:val="24"/>
          <w:lang w:val="sr-Cyrl-RS" w:eastAsia="hr-HR"/>
        </w:rPr>
        <w:t>, у БиХ се очекује осјетнији економски напредак у оквиру којег би дешавања у индустријској производњи требала имати централну улогу. Поред очекиваних повољних екстерних прилика у овом средњорочном временском оквиру се очекује и значајнији ут</w:t>
      </w:r>
      <w:r w:rsidR="00AE5455">
        <w:rPr>
          <w:rFonts w:ascii="Times New Roman" w:eastAsia="Times New Roman" w:hAnsi="Times New Roman" w:cs="Times New Roman"/>
          <w:sz w:val="24"/>
          <w:szCs w:val="24"/>
          <w:lang w:val="sr-Cyrl-RS" w:eastAsia="hr-HR"/>
        </w:rPr>
        <w:t>и</w:t>
      </w:r>
      <w:r w:rsidRPr="00EA0FD7">
        <w:rPr>
          <w:rFonts w:ascii="Times New Roman" w:eastAsia="Times New Roman" w:hAnsi="Times New Roman" w:cs="Times New Roman"/>
          <w:sz w:val="24"/>
          <w:szCs w:val="24"/>
          <w:lang w:val="sr-Cyrl-RS" w:eastAsia="hr-HR"/>
        </w:rPr>
        <w:t xml:space="preserve">цај интерних динамика у функцији јачања индустријске производње у Босни и Херцеговини. Наиме, током овог периода очекује се да би реформске мјере на унапређењу пословног амбијента које </w:t>
      </w:r>
      <w:r w:rsidR="00AE5455">
        <w:rPr>
          <w:rFonts w:ascii="Times New Roman" w:eastAsia="Times New Roman" w:hAnsi="Times New Roman" w:cs="Times New Roman"/>
          <w:sz w:val="24"/>
          <w:szCs w:val="24"/>
          <w:lang w:val="sr-Cyrl-RS" w:eastAsia="hr-HR"/>
        </w:rPr>
        <w:t>с</w:t>
      </w:r>
      <w:r w:rsidRPr="00EA0FD7">
        <w:rPr>
          <w:rFonts w:ascii="Times New Roman" w:eastAsia="Times New Roman" w:hAnsi="Times New Roman" w:cs="Times New Roman"/>
          <w:sz w:val="24"/>
          <w:szCs w:val="24"/>
          <w:lang w:val="sr-Cyrl-RS" w:eastAsia="hr-HR"/>
        </w:rPr>
        <w:t xml:space="preserve">проводе надлежне институције у Босни и Херцеговини требале получити мјерљиве резултате. Побољшање пословног амбијента требало би резултирати повећањем инвестиционих улагања (домаћих и иностраних), већу искориштеност постојећих и покретање нових капацитета, повећање броја запослених и јачање конкурентске позиције бх. </w:t>
      </w:r>
      <w:r w:rsidR="00AE5455">
        <w:rPr>
          <w:rFonts w:ascii="Times New Roman" w:eastAsia="Times New Roman" w:hAnsi="Times New Roman" w:cs="Times New Roman"/>
          <w:sz w:val="24"/>
          <w:szCs w:val="24"/>
          <w:lang w:val="sr-Cyrl-RS" w:eastAsia="hr-HR"/>
        </w:rPr>
        <w:t>п</w:t>
      </w:r>
      <w:r w:rsidRPr="00EA0FD7">
        <w:rPr>
          <w:rFonts w:ascii="Times New Roman" w:eastAsia="Times New Roman" w:hAnsi="Times New Roman" w:cs="Times New Roman"/>
          <w:sz w:val="24"/>
          <w:szCs w:val="24"/>
          <w:lang w:val="sr-Cyrl-RS" w:eastAsia="hr-HR"/>
        </w:rPr>
        <w:t>роизвођача, како на домаћем, тако и на иностраним тржиштима. Имајући у виду све наведене околности, током овог</w:t>
      </w:r>
      <w:r w:rsidR="00AE5455">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периода очекиване стопе раста физичког обима индустријске производње према пројекцији ДЕП-а износе око 6% на годишњем нивоу.</w:t>
      </w:r>
    </w:p>
    <w:p w14:paraId="5CDE0081" w14:textId="77777777" w:rsidR="00EA0FD7" w:rsidRPr="00EA0FD7" w:rsidRDefault="00EA0FD7" w:rsidP="00EA0FD7">
      <w:pPr>
        <w:spacing w:after="0" w:line="240" w:lineRule="auto"/>
        <w:jc w:val="both"/>
        <w:rPr>
          <w:rFonts w:ascii="Times New Roman" w:eastAsia="Times New Roman" w:hAnsi="Times New Roman" w:cs="Times New Roman"/>
          <w:sz w:val="24"/>
          <w:szCs w:val="24"/>
          <w:highlight w:val="yellow"/>
          <w:vertAlign w:val="superscript"/>
          <w:lang w:val="sr-Cyrl-RS" w:eastAsia="hr-HR"/>
        </w:rPr>
      </w:pPr>
      <w:r w:rsidRPr="00EA0FD7">
        <w:rPr>
          <w:rFonts w:ascii="Times New Roman" w:eastAsia="Times New Roman" w:hAnsi="Times New Roman" w:cs="Times New Roman"/>
          <w:sz w:val="24"/>
          <w:szCs w:val="24"/>
          <w:highlight w:val="yellow"/>
          <w:vertAlign w:val="superscript"/>
          <w:lang w:val="sr-Cyrl-RS" w:eastAsia="hr-HR"/>
        </w:rPr>
        <w:t xml:space="preserve"> </w:t>
      </w:r>
    </w:p>
    <w:p w14:paraId="4BC64089" w14:textId="77777777" w:rsidR="00EA0FD7" w:rsidRPr="00EA0FD7" w:rsidRDefault="00EA0FD7" w:rsidP="00EA0FD7">
      <w:pPr>
        <w:spacing w:after="0" w:line="240" w:lineRule="auto"/>
        <w:jc w:val="both"/>
        <w:rPr>
          <w:rFonts w:ascii="Times New Roman" w:eastAsia="Times New Roman" w:hAnsi="Times New Roman" w:cs="Times New Roman"/>
          <w:sz w:val="24"/>
          <w:szCs w:val="24"/>
          <w:highlight w:val="yellow"/>
          <w:vertAlign w:val="superscript"/>
          <w:lang w:val="sr-Cyrl-RS" w:eastAsia="hr-HR"/>
        </w:rPr>
      </w:pPr>
    </w:p>
    <w:p w14:paraId="0FA6A249" w14:textId="063C12B4" w:rsidR="00EA0FD7" w:rsidRPr="00EA0FD7" w:rsidRDefault="00EA0FD7" w:rsidP="00EA0FD7">
      <w:pPr>
        <w:suppressLineNumbers/>
        <w:suppressAutoHyphens/>
        <w:spacing w:after="0" w:line="276" w:lineRule="auto"/>
        <w:jc w:val="center"/>
        <w:rPr>
          <w:rFonts w:ascii="Calibri" w:eastAsia="Times New Roman" w:hAnsi="Calibri" w:cs="Times New Roman"/>
          <w:iCs/>
          <w:sz w:val="24"/>
          <w:szCs w:val="24"/>
          <w:highlight w:val="yellow"/>
          <w:lang w:val="sr-Cyrl-RS" w:eastAsia="ar-SA"/>
        </w:rPr>
      </w:pPr>
      <w:r w:rsidRPr="00EA0FD7">
        <w:rPr>
          <w:rFonts w:ascii="Times New Roman" w:eastAsia="Times New Roman" w:hAnsi="Times New Roman" w:cs="Times New Roman"/>
          <w:b/>
          <w:bCs/>
          <w:sz w:val="24"/>
          <w:szCs w:val="24"/>
          <w:lang w:val="sr-Cyrl-RS" w:eastAsia="ar-SA"/>
        </w:rPr>
        <w:t xml:space="preserve"> Графикон 2. </w:t>
      </w:r>
      <w:r w:rsidRPr="00EA0FD7">
        <w:rPr>
          <w:rFonts w:ascii="Calibri" w:eastAsia="Times New Roman" w:hAnsi="Calibri" w:cs="Tahoma"/>
          <w:i/>
          <w:iCs/>
          <w:sz w:val="24"/>
          <w:szCs w:val="24"/>
          <w:lang w:val="sr-Cyrl-RS" w:eastAsia="ar-SA"/>
        </w:rPr>
        <w:fldChar w:fldCharType="begin"/>
      </w:r>
      <w:r w:rsidRPr="00EA0FD7">
        <w:rPr>
          <w:rFonts w:ascii="Times New Roman" w:eastAsia="Times New Roman" w:hAnsi="Times New Roman" w:cs="Times New Roman"/>
          <w:b/>
          <w:bCs/>
          <w:sz w:val="24"/>
          <w:szCs w:val="24"/>
          <w:lang w:val="sr-Cyrl-RS" w:eastAsia="ar-SA"/>
        </w:rPr>
        <w:instrText xml:space="preserve"> SEQ Grafikon \* ARABIC </w:instrText>
      </w:r>
      <w:r w:rsidRPr="00EA0FD7">
        <w:rPr>
          <w:rFonts w:ascii="Calibri" w:eastAsia="Times New Roman" w:hAnsi="Calibri" w:cs="Tahoma"/>
          <w:i/>
          <w:iCs/>
          <w:sz w:val="24"/>
          <w:szCs w:val="24"/>
          <w:lang w:val="sr-Cyrl-RS" w:eastAsia="ar-SA"/>
        </w:rPr>
        <w:fldChar w:fldCharType="separate"/>
      </w:r>
      <w:r w:rsidRPr="00EA0FD7">
        <w:rPr>
          <w:rFonts w:ascii="Times New Roman" w:eastAsia="Times New Roman" w:hAnsi="Times New Roman" w:cs="Times New Roman"/>
          <w:b/>
          <w:bCs/>
          <w:sz w:val="24"/>
          <w:szCs w:val="24"/>
          <w:lang w:val="sr-Cyrl-RS" w:eastAsia="ar-SA"/>
        </w:rPr>
        <w:t>1</w:t>
      </w:r>
      <w:r w:rsidRPr="00EA0FD7">
        <w:rPr>
          <w:rFonts w:ascii="Calibri" w:eastAsia="Times New Roman" w:hAnsi="Calibri" w:cs="Tahoma"/>
          <w:i/>
          <w:iCs/>
          <w:sz w:val="24"/>
          <w:szCs w:val="24"/>
          <w:lang w:val="sr-Cyrl-RS" w:eastAsia="ar-SA"/>
        </w:rPr>
        <w:fldChar w:fldCharType="end"/>
      </w:r>
      <w:r w:rsidRPr="00EA0FD7">
        <w:rPr>
          <w:rFonts w:ascii="Times New Roman" w:eastAsia="Times New Roman" w:hAnsi="Times New Roman" w:cs="Times New Roman"/>
          <w:b/>
          <w:bCs/>
          <w:sz w:val="24"/>
          <w:szCs w:val="24"/>
          <w:lang w:val="sr-Cyrl-RS" w:eastAsia="ar-SA"/>
        </w:rPr>
        <w:t xml:space="preserve">. </w:t>
      </w:r>
      <w:r w:rsidRPr="00EA0FD7">
        <w:rPr>
          <w:rFonts w:ascii="Times New Roman" w:eastAsia="Times New Roman" w:hAnsi="Times New Roman" w:cs="Times New Roman"/>
          <w:bCs/>
          <w:color w:val="000000"/>
          <w:sz w:val="24"/>
          <w:szCs w:val="24"/>
          <w:lang w:val="sr-Cyrl-RS" w:eastAsia="ar-SA"/>
        </w:rPr>
        <w:t>Кретање индустријске производње у БиХ  за период 2007</w:t>
      </w:r>
      <w:r w:rsidR="00AE5455">
        <w:rPr>
          <w:rFonts w:ascii="Times New Roman" w:eastAsia="Times New Roman" w:hAnsi="Times New Roman" w:cs="Times New Roman"/>
          <w:bCs/>
          <w:color w:val="000000"/>
          <w:sz w:val="24"/>
          <w:szCs w:val="24"/>
          <w:lang w:val="sr-Cyrl-RS" w:eastAsia="ar-SA"/>
        </w:rPr>
        <w:t>–</w:t>
      </w:r>
      <w:r w:rsidRPr="00EA0FD7">
        <w:rPr>
          <w:rFonts w:ascii="Times New Roman" w:eastAsia="Times New Roman" w:hAnsi="Times New Roman" w:cs="Times New Roman"/>
          <w:bCs/>
          <w:color w:val="000000"/>
          <w:sz w:val="24"/>
          <w:szCs w:val="24"/>
          <w:lang w:val="sr-Cyrl-RS" w:eastAsia="ar-SA"/>
        </w:rPr>
        <w:t>2022. година и пројекција</w:t>
      </w:r>
      <w:r w:rsidRPr="00EA0FD7">
        <w:rPr>
          <w:rFonts w:ascii="Times New Roman" w:eastAsia="Times New Roman" w:hAnsi="Times New Roman" w:cs="Times New Roman"/>
          <w:bCs/>
          <w:i/>
          <w:iCs/>
          <w:color w:val="000000"/>
          <w:sz w:val="24"/>
          <w:szCs w:val="24"/>
          <w:lang w:val="sr-Cyrl-RS" w:eastAsia="ar-SA"/>
        </w:rPr>
        <w:t xml:space="preserve"> </w:t>
      </w:r>
      <w:r w:rsidRPr="00EA0FD7">
        <w:rPr>
          <w:rFonts w:ascii="Times New Roman" w:eastAsia="Times New Roman" w:hAnsi="Times New Roman" w:cs="Times New Roman"/>
          <w:bCs/>
          <w:iCs/>
          <w:color w:val="000000"/>
          <w:sz w:val="24"/>
          <w:szCs w:val="24"/>
          <w:lang w:val="sr-Cyrl-RS" w:eastAsia="ar-SA"/>
        </w:rPr>
        <w:t>кретања  2022</w:t>
      </w:r>
      <w:r w:rsidR="00AE5455">
        <w:rPr>
          <w:rFonts w:ascii="Times New Roman" w:eastAsia="Times New Roman" w:hAnsi="Times New Roman" w:cs="Times New Roman"/>
          <w:bCs/>
          <w:iCs/>
          <w:color w:val="000000"/>
          <w:sz w:val="24"/>
          <w:szCs w:val="24"/>
          <w:lang w:val="sr-Cyrl-RS" w:eastAsia="ar-SA"/>
        </w:rPr>
        <w:t>–</w:t>
      </w:r>
      <w:r w:rsidRPr="00EA0FD7">
        <w:rPr>
          <w:rFonts w:ascii="Times New Roman" w:eastAsia="Times New Roman" w:hAnsi="Times New Roman" w:cs="Times New Roman"/>
          <w:bCs/>
          <w:iCs/>
          <w:color w:val="000000"/>
          <w:sz w:val="24"/>
          <w:szCs w:val="24"/>
          <w:lang w:val="sr-Cyrl-RS" w:eastAsia="ar-SA"/>
        </w:rPr>
        <w:t>2025. год</w:t>
      </w:r>
      <w:r w:rsidR="00AE5455">
        <w:rPr>
          <w:rFonts w:ascii="Times New Roman" w:eastAsia="Times New Roman" w:hAnsi="Times New Roman" w:cs="Times New Roman"/>
          <w:bCs/>
          <w:iCs/>
          <w:color w:val="000000"/>
          <w:sz w:val="24"/>
          <w:szCs w:val="24"/>
          <w:lang w:val="sr-Cyrl-RS" w:eastAsia="ar-SA"/>
        </w:rPr>
        <w:t>.</w:t>
      </w:r>
    </w:p>
    <w:p w14:paraId="06AC8E2F" w14:textId="77777777" w:rsidR="00EA0FD7" w:rsidRPr="00EA0FD7" w:rsidRDefault="00EA0FD7" w:rsidP="00EA0FD7">
      <w:pPr>
        <w:spacing w:after="0" w:line="240" w:lineRule="auto"/>
        <w:jc w:val="center"/>
        <w:rPr>
          <w:rFonts w:ascii="Times New Roman" w:eastAsia="Times New Roman" w:hAnsi="Times New Roman" w:cs="Times New Roman"/>
          <w:sz w:val="24"/>
          <w:szCs w:val="24"/>
          <w:highlight w:val="yellow"/>
          <w:lang w:val="sr-Cyrl-RS" w:eastAsia="hr-HR"/>
        </w:rPr>
      </w:pPr>
      <w:r w:rsidRPr="00EA0FD7">
        <w:rPr>
          <w:rFonts w:ascii="Times New Roman" w:eastAsia="Times New Roman" w:hAnsi="Times New Roman" w:cs="Times New Roman"/>
          <w:noProof/>
          <w:sz w:val="24"/>
          <w:szCs w:val="24"/>
          <w:highlight w:val="yellow"/>
          <w:lang w:val="sr-Cyrl-RS" w:eastAsia="hr-HR"/>
        </w:rPr>
        <w:drawing>
          <wp:inline distT="0" distB="0" distL="0" distR="0" wp14:anchorId="07948CD8" wp14:editId="68EBEA45">
            <wp:extent cx="5617210" cy="1983105"/>
            <wp:effectExtent l="0" t="0" r="2540" b="0"/>
            <wp:docPr id="2" name="Chart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4"/>
                    <pic:cNvPicPr>
                      <a:picLocks noChangeArrowheads="1"/>
                    </pic:cNvPicPr>
                  </pic:nvPicPr>
                  <pic:blipFill>
                    <a:blip r:embed="rId8">
                      <a:extLst>
                        <a:ext uri="{28A0092B-C50C-407E-A947-70E740481C1C}">
                          <a14:useLocalDpi xmlns:a14="http://schemas.microsoft.com/office/drawing/2010/main" val="0"/>
                        </a:ext>
                      </a:extLst>
                    </a:blip>
                    <a:srcRect b="-96"/>
                    <a:stretch>
                      <a:fillRect/>
                    </a:stretch>
                  </pic:blipFill>
                  <pic:spPr bwMode="auto">
                    <a:xfrm>
                      <a:off x="0" y="0"/>
                      <a:ext cx="5617210" cy="1983105"/>
                    </a:xfrm>
                    <a:prstGeom prst="rect">
                      <a:avLst/>
                    </a:prstGeom>
                    <a:noFill/>
                    <a:ln>
                      <a:noFill/>
                    </a:ln>
                  </pic:spPr>
                </pic:pic>
              </a:graphicData>
            </a:graphic>
          </wp:inline>
        </w:drawing>
      </w:r>
    </w:p>
    <w:p w14:paraId="24D75560" w14:textId="77777777"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Извор: Агенција за статистику Босне и Херцеговине и пројекције ДЕП-а, март 2022. године</w:t>
      </w:r>
    </w:p>
    <w:p w14:paraId="73F31578"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4F8B9561"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38EE7C96" w14:textId="77777777" w:rsidR="00EA0FD7" w:rsidRPr="00EA0FD7" w:rsidRDefault="00EA0FD7" w:rsidP="00EA0FD7">
      <w:pPr>
        <w:spacing w:after="0" w:line="240" w:lineRule="auto"/>
        <w:rPr>
          <w:rFonts w:ascii="Times New Roman" w:eastAsia="Times New Roman" w:hAnsi="Times New Roman" w:cs="Times New Roman"/>
          <w:sz w:val="24"/>
          <w:szCs w:val="24"/>
          <w:highlight w:val="yellow"/>
          <w:lang w:val="sr-Cyrl-RS" w:eastAsia="hr-HR"/>
        </w:rPr>
      </w:pPr>
    </w:p>
    <w:p w14:paraId="302E51DF" w14:textId="77777777" w:rsidR="00EA0FD7" w:rsidRPr="00EA0FD7" w:rsidRDefault="00EA0FD7" w:rsidP="00EA0FD7">
      <w:pPr>
        <w:keepNext/>
        <w:keepLines/>
        <w:spacing w:after="0" w:line="240" w:lineRule="auto"/>
        <w:jc w:val="center"/>
        <w:outlineLvl w:val="2"/>
        <w:rPr>
          <w:rFonts w:ascii="Times New Roman" w:eastAsia="Times New Roman" w:hAnsi="Times New Roman" w:cs="Times New Roman"/>
          <w:b/>
          <w:sz w:val="24"/>
          <w:szCs w:val="24"/>
          <w:u w:val="single"/>
          <w:lang w:val="sr-Cyrl-RS" w:eastAsia="hr-HR"/>
        </w:rPr>
      </w:pPr>
    </w:p>
    <w:p w14:paraId="7C07A782"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4CB21BB7"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67DE0E20"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4CD0C8E0"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00B71EC2" w14:textId="77777777" w:rsidR="00EA0FD7" w:rsidRPr="00EA0FD7" w:rsidRDefault="00EA0FD7" w:rsidP="00EA0FD7">
      <w:pPr>
        <w:keepNext/>
        <w:keepLines/>
        <w:spacing w:after="0" w:line="240" w:lineRule="auto"/>
        <w:outlineLvl w:val="2"/>
        <w:rPr>
          <w:rFonts w:ascii="Times New Roman" w:eastAsia="Times New Roman" w:hAnsi="Times New Roman" w:cs="Times New Roman"/>
          <w:sz w:val="24"/>
          <w:szCs w:val="24"/>
          <w:lang w:val="sr-Cyrl-RS" w:eastAsia="hr-HR"/>
        </w:rPr>
      </w:pPr>
    </w:p>
    <w:p w14:paraId="0C23A2BD"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4E26F138" w14:textId="77777777" w:rsidR="00EA0FD7" w:rsidRPr="00EA0FD7" w:rsidRDefault="00EA0FD7" w:rsidP="00EA0FD7">
      <w:pPr>
        <w:keepNext/>
        <w:keepLines/>
        <w:spacing w:after="0" w:line="240" w:lineRule="auto"/>
        <w:jc w:val="center"/>
        <w:outlineLvl w:val="2"/>
        <w:rPr>
          <w:rFonts w:ascii="Times New Roman" w:eastAsia="Times New Roman" w:hAnsi="Times New Roman" w:cs="Times New Roman"/>
          <w:b/>
          <w:sz w:val="24"/>
          <w:szCs w:val="24"/>
          <w:u w:val="single"/>
          <w:lang w:val="sr-Cyrl-RS" w:eastAsia="hr-HR"/>
        </w:rPr>
      </w:pPr>
    </w:p>
    <w:p w14:paraId="4700DE67" w14:textId="77777777" w:rsidR="00EA0FD7" w:rsidRPr="00EA0FD7" w:rsidRDefault="00EA0FD7" w:rsidP="00EA0FD7">
      <w:pPr>
        <w:keepNext/>
        <w:keepLines/>
        <w:spacing w:after="0" w:line="240" w:lineRule="auto"/>
        <w:jc w:val="center"/>
        <w:outlineLvl w:val="2"/>
        <w:rPr>
          <w:rFonts w:ascii="Times New Roman" w:eastAsia="Times New Roman" w:hAnsi="Times New Roman" w:cs="Times New Roman"/>
          <w:b/>
          <w:sz w:val="24"/>
          <w:szCs w:val="24"/>
          <w:u w:val="single"/>
          <w:lang w:val="sr-Cyrl-RS" w:eastAsia="hr-HR"/>
        </w:rPr>
      </w:pPr>
    </w:p>
    <w:p w14:paraId="775A1371" w14:textId="77777777" w:rsidR="000C192B" w:rsidRDefault="000C192B" w:rsidP="000C192B">
      <w:pPr>
        <w:keepNext/>
        <w:keepLines/>
        <w:spacing w:after="0" w:line="240" w:lineRule="auto"/>
        <w:outlineLvl w:val="2"/>
        <w:rPr>
          <w:rFonts w:ascii="Times New Roman" w:eastAsia="Times New Roman" w:hAnsi="Times New Roman" w:cs="Times New Roman"/>
          <w:b/>
          <w:sz w:val="24"/>
          <w:szCs w:val="24"/>
          <w:u w:val="single"/>
          <w:lang w:val="sr-Cyrl-RS" w:eastAsia="hr-HR"/>
        </w:rPr>
      </w:pPr>
    </w:p>
    <w:p w14:paraId="4A1EE2B3" w14:textId="77777777" w:rsidR="000C192B" w:rsidRDefault="000C192B" w:rsidP="000C192B">
      <w:pPr>
        <w:keepNext/>
        <w:keepLines/>
        <w:spacing w:after="0" w:line="240" w:lineRule="auto"/>
        <w:outlineLvl w:val="2"/>
        <w:rPr>
          <w:rFonts w:ascii="Times New Roman" w:eastAsia="Times New Roman" w:hAnsi="Times New Roman" w:cs="Times New Roman"/>
          <w:b/>
          <w:sz w:val="24"/>
          <w:szCs w:val="24"/>
          <w:u w:val="single"/>
          <w:lang w:val="sr-Cyrl-RS" w:eastAsia="hr-HR"/>
        </w:rPr>
      </w:pPr>
    </w:p>
    <w:p w14:paraId="465B63FA" w14:textId="77777777" w:rsidR="009E1E82" w:rsidRDefault="009E1E82" w:rsidP="000C192B">
      <w:pPr>
        <w:keepNext/>
        <w:keepLines/>
        <w:spacing w:after="0" w:line="240" w:lineRule="auto"/>
        <w:jc w:val="center"/>
        <w:outlineLvl w:val="2"/>
        <w:rPr>
          <w:rFonts w:ascii="Times New Roman" w:eastAsia="Times New Roman" w:hAnsi="Times New Roman" w:cs="Times New Roman"/>
          <w:b/>
          <w:sz w:val="24"/>
          <w:szCs w:val="24"/>
          <w:u w:val="single"/>
          <w:lang w:val="sr-Cyrl-RS" w:eastAsia="hr-HR"/>
        </w:rPr>
      </w:pPr>
    </w:p>
    <w:p w14:paraId="2C1270CC" w14:textId="0C9189AD" w:rsidR="00EA0FD7" w:rsidRPr="00EA0FD7" w:rsidRDefault="00EA0FD7" w:rsidP="000C192B">
      <w:pPr>
        <w:keepNext/>
        <w:keepLines/>
        <w:spacing w:after="0" w:line="240" w:lineRule="auto"/>
        <w:jc w:val="center"/>
        <w:outlineLvl w:val="2"/>
        <w:rPr>
          <w:rFonts w:ascii="Times New Roman" w:eastAsia="Times New Roman" w:hAnsi="Times New Roman" w:cs="Times New Roman"/>
          <w:b/>
          <w:sz w:val="24"/>
          <w:szCs w:val="24"/>
          <w:u w:val="single"/>
          <w:lang w:val="sr-Cyrl-RS" w:eastAsia="hr-HR"/>
        </w:rPr>
      </w:pPr>
      <w:r w:rsidRPr="00EA0FD7">
        <w:rPr>
          <w:rFonts w:ascii="Times New Roman" w:eastAsia="Times New Roman" w:hAnsi="Times New Roman" w:cs="Times New Roman"/>
          <w:b/>
          <w:sz w:val="24"/>
          <w:szCs w:val="24"/>
          <w:u w:val="single"/>
          <w:lang w:val="sr-Cyrl-RS" w:eastAsia="hr-HR"/>
        </w:rPr>
        <w:t>Тржиште рада у БиХ</w:t>
      </w:r>
    </w:p>
    <w:p w14:paraId="5A7E1295" w14:textId="77777777" w:rsidR="00EA0FD7" w:rsidRPr="00EA0FD7" w:rsidRDefault="00EA0FD7" w:rsidP="00EA0FD7">
      <w:pPr>
        <w:spacing w:after="0" w:line="240" w:lineRule="auto"/>
        <w:jc w:val="both"/>
        <w:rPr>
          <w:rFonts w:ascii="Times New Roman" w:eastAsia="Times New Roman" w:hAnsi="Times New Roman" w:cs="Times New Roman"/>
          <w:sz w:val="24"/>
          <w:szCs w:val="24"/>
          <w:highlight w:val="yellow"/>
          <w:lang w:val="sr-Cyrl-RS" w:eastAsia="hr-HR"/>
        </w:rPr>
      </w:pPr>
    </w:p>
    <w:p w14:paraId="319BBB1E"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Тржиште рада – 2021. година</w:t>
      </w:r>
    </w:p>
    <w:p w14:paraId="3E663156"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717F75FF" w14:textId="48396942" w:rsidR="00EA0FD7" w:rsidRPr="00EA0FD7" w:rsidRDefault="00EA0FD7" w:rsidP="00EA0FD7">
      <w:pPr>
        <w:spacing w:after="0" w:line="240" w:lineRule="auto"/>
        <w:jc w:val="both"/>
        <w:rPr>
          <w:rFonts w:ascii="Times New Roman" w:eastAsia="Calibri" w:hAnsi="Times New Roman" w:cs="Times New Roman"/>
          <w:sz w:val="24"/>
          <w:szCs w:val="24"/>
          <w:lang w:val="sr-Cyrl-RS" w:eastAsia="bs-Latn-BA"/>
        </w:rPr>
      </w:pPr>
      <w:r w:rsidRPr="00EA0FD7">
        <w:rPr>
          <w:rFonts w:ascii="Times New Roman" w:eastAsia="Calibri" w:hAnsi="Times New Roman" w:cs="Times New Roman"/>
          <w:sz w:val="24"/>
          <w:szCs w:val="24"/>
          <w:lang w:val="sr-Cyrl-RS" w:eastAsia="bs-Latn-BA"/>
        </w:rPr>
        <w:t xml:space="preserve">Током 2021. године у Босни и Херцеговини дошло је до постепене стабилизације на тржишту рада након вишемјесечног смањења броја запослених лица узрокованог пандемијом вируса </w:t>
      </w:r>
      <w:r w:rsidR="00AE5455">
        <w:rPr>
          <w:rFonts w:ascii="Times New Roman" w:eastAsia="Calibri" w:hAnsi="Times New Roman" w:cs="Times New Roman"/>
          <w:sz w:val="24"/>
          <w:szCs w:val="24"/>
          <w:lang w:eastAsia="bs-Latn-BA"/>
        </w:rPr>
        <w:t>COVID</w:t>
      </w:r>
      <w:r w:rsidRPr="00EA0FD7">
        <w:rPr>
          <w:rFonts w:ascii="Times New Roman" w:eastAsia="Calibri" w:hAnsi="Times New Roman" w:cs="Times New Roman"/>
          <w:sz w:val="24"/>
          <w:szCs w:val="24"/>
          <w:lang w:val="sr-Cyrl-RS" w:eastAsia="bs-Latn-BA"/>
        </w:rPr>
        <w:t xml:space="preserve">-19. Од К2 број запослених лица се почео постепено увећавати и у периоду </w:t>
      </w:r>
      <w:r w:rsidR="00AE5455">
        <w:rPr>
          <w:rFonts w:ascii="Times New Roman" w:eastAsia="Calibri" w:hAnsi="Times New Roman" w:cs="Times New Roman"/>
          <w:sz w:val="24"/>
          <w:szCs w:val="24"/>
          <w:lang w:eastAsia="bs-Latn-BA"/>
        </w:rPr>
        <w:t>I</w:t>
      </w:r>
      <w:r w:rsidRPr="00EA0FD7">
        <w:rPr>
          <w:rFonts w:ascii="Times New Roman" w:eastAsia="Calibri" w:hAnsi="Times New Roman" w:cs="Times New Roman"/>
          <w:sz w:val="24"/>
          <w:szCs w:val="24"/>
          <w:lang w:val="sr-Cyrl-RS" w:eastAsia="bs-Latn-BA"/>
        </w:rPr>
        <w:t>-X</w:t>
      </w:r>
      <w:r w:rsidR="00AE5455">
        <w:rPr>
          <w:rFonts w:ascii="Times New Roman" w:eastAsia="Calibri" w:hAnsi="Times New Roman" w:cs="Times New Roman"/>
          <w:sz w:val="24"/>
          <w:szCs w:val="24"/>
          <w:lang w:eastAsia="bs-Latn-BA"/>
        </w:rPr>
        <w:t>II</w:t>
      </w:r>
      <w:r w:rsidRPr="00EA0FD7">
        <w:rPr>
          <w:rFonts w:ascii="Times New Roman" w:eastAsia="Calibri" w:hAnsi="Times New Roman" w:cs="Times New Roman"/>
          <w:sz w:val="24"/>
          <w:szCs w:val="24"/>
          <w:lang w:val="sr-Cyrl-RS" w:eastAsia="bs-Latn-BA"/>
        </w:rPr>
        <w:t xml:space="preserve"> 2021. године просјечан број запослених је износио око 823,6</w:t>
      </w:r>
      <w:r w:rsidRPr="00EA0FD7">
        <w:rPr>
          <w:rFonts w:ascii="Calibri" w:eastAsia="Calibri" w:hAnsi="Calibri" w:cs="Times New Roman"/>
          <w:vertAlign w:val="superscript"/>
          <w:lang w:val="sr-Cyrl-RS"/>
        </w:rPr>
        <w:footnoteReference w:id="9"/>
      </w:r>
      <w:r w:rsidRPr="00EA0FD7">
        <w:rPr>
          <w:rFonts w:ascii="Times New Roman" w:eastAsia="Calibri" w:hAnsi="Times New Roman" w:cs="Times New Roman"/>
          <w:sz w:val="24"/>
          <w:szCs w:val="24"/>
          <w:lang w:val="sr-Cyrl-RS" w:eastAsia="bs-Latn-BA"/>
        </w:rPr>
        <w:t xml:space="preserve"> хиљада што је више за 1,3% у односу на 2020. годину. Посматрајући број запослених лица према подручјима дјелатности, н</w:t>
      </w:r>
      <w:r w:rsidRPr="00EA0FD7">
        <w:rPr>
          <w:rFonts w:ascii="Times New Roman" w:eastAsia="Calibri" w:hAnsi="Times New Roman" w:cs="Times New Roman"/>
          <w:color w:val="000000"/>
          <w:sz w:val="24"/>
          <w:szCs w:val="24"/>
          <w:lang w:val="sr-Cyrl-RS" w:eastAsia="bs-Latn-BA"/>
        </w:rPr>
        <w:t>ајзначајнији раст у 2021. години био је у области прерађивачке индустрије, информација и комуникација, те дјелатности здравствене и социјалне заштите. Уз раст броја запослених лица, регистровано је смањење броја регистрованих незапослених лица од 5% г/г.</w:t>
      </w:r>
      <w:r w:rsidRPr="00EA0FD7">
        <w:rPr>
          <w:rFonts w:ascii="Times New Roman" w:eastAsia="Calibri" w:hAnsi="Times New Roman" w:cs="Times New Roman"/>
          <w:sz w:val="24"/>
          <w:szCs w:val="24"/>
          <w:lang w:val="sr-Cyrl-RS" w:eastAsia="bs-Latn-BA"/>
        </w:rPr>
        <w:t xml:space="preserve"> Просјечна нето плата у 2021. години наставила је да се увећава и износила је 998 КМ уз номинални раст од 4,4% у односу на 2020. годину, док је реални раст износио 2,4% због инфлације од 2%. </w:t>
      </w:r>
    </w:p>
    <w:p w14:paraId="41DEBBF6"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8DD9DD1" w14:textId="105E1860"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Тржиште рада – пројекције 2022</w:t>
      </w:r>
      <w:r w:rsidR="00AE5455">
        <w:rPr>
          <w:rFonts w:ascii="Times New Roman" w:eastAsia="Times New Roman" w:hAnsi="Times New Roman" w:cs="Times New Roman"/>
          <w:b/>
          <w:bCs/>
          <w:sz w:val="24"/>
          <w:szCs w:val="24"/>
          <w:lang w:val="sr-Cyrl-RS" w:eastAsia="hr-HR"/>
        </w:rPr>
        <w:t>–</w:t>
      </w:r>
      <w:r w:rsidRPr="00EA0FD7">
        <w:rPr>
          <w:rFonts w:ascii="Times New Roman" w:eastAsia="Times New Roman" w:hAnsi="Times New Roman" w:cs="Times New Roman"/>
          <w:b/>
          <w:bCs/>
          <w:sz w:val="24"/>
          <w:szCs w:val="24"/>
          <w:lang w:val="sr-Cyrl-RS" w:eastAsia="hr-HR"/>
        </w:rPr>
        <w:t>2025. године</w:t>
      </w:r>
    </w:p>
    <w:p w14:paraId="08FC1F6A"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B4DD9BC" w14:textId="51C97F6C"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color w:val="000000"/>
          <w:sz w:val="24"/>
          <w:szCs w:val="24"/>
          <w:lang w:val="sr-Cyrl-RS" w:eastAsia="hr-HR"/>
        </w:rPr>
        <w:t>Иако у периоду припреме пројекција нису расположиви подаци о броју запослених лица у Босни и Херцеговини у 2022. години, смањење броја регистрованих незапослених лица у јануару 2022. године од 9,1% г/г указује на могући раст броја запосл</w:t>
      </w:r>
      <w:r w:rsidR="00AE5455">
        <w:rPr>
          <w:rFonts w:ascii="Times New Roman" w:eastAsia="Times New Roman" w:hAnsi="Times New Roman" w:cs="Times New Roman"/>
          <w:color w:val="000000"/>
          <w:sz w:val="24"/>
          <w:szCs w:val="24"/>
          <w:lang w:eastAsia="hr-HR"/>
        </w:rPr>
        <w:t>e</w:t>
      </w:r>
      <w:r w:rsidRPr="00EA0FD7">
        <w:rPr>
          <w:rFonts w:ascii="Times New Roman" w:eastAsia="Times New Roman" w:hAnsi="Times New Roman" w:cs="Times New Roman"/>
          <w:color w:val="000000"/>
          <w:sz w:val="24"/>
          <w:szCs w:val="24"/>
          <w:lang w:val="sr-Cyrl-RS" w:eastAsia="hr-HR"/>
        </w:rPr>
        <w:t>них лица у посматраном мјесецу.</w:t>
      </w:r>
      <w:r w:rsidRPr="00EA0FD7">
        <w:rPr>
          <w:rFonts w:ascii="Times New Roman" w:eastAsia="Times New Roman" w:hAnsi="Times New Roman" w:cs="Times New Roman"/>
          <w:sz w:val="24"/>
          <w:szCs w:val="24"/>
          <w:lang w:val="sr-Cyrl-RS" w:eastAsia="hr-HR"/>
        </w:rPr>
        <w:t xml:space="preserve"> Дешавања на тржишту рада у 2022. години значајно ће детерминисати пословни амбијент, како у региону, тако и у ЕУ. Према пројекцијама Европске централне банке (март 2022. године) стопа незапослености у е</w:t>
      </w:r>
      <w:r w:rsidR="00AE5455">
        <w:rPr>
          <w:rFonts w:ascii="Times New Roman" w:eastAsia="Times New Roman" w:hAnsi="Times New Roman" w:cs="Times New Roman"/>
          <w:sz w:val="24"/>
          <w:szCs w:val="24"/>
          <w:lang w:val="bs-Cyrl-BA" w:eastAsia="hr-HR"/>
        </w:rPr>
        <w:t>в</w:t>
      </w:r>
      <w:r w:rsidRPr="00EA0FD7">
        <w:rPr>
          <w:rFonts w:ascii="Times New Roman" w:eastAsia="Times New Roman" w:hAnsi="Times New Roman" w:cs="Times New Roman"/>
          <w:sz w:val="24"/>
          <w:szCs w:val="24"/>
          <w:lang w:val="sr-Cyrl-RS" w:eastAsia="hr-HR"/>
        </w:rPr>
        <w:t>ро</w:t>
      </w:r>
      <w:r w:rsidR="00AE5455">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зони би требала бити смањена у 2022. години у односу на претходну годину  и износити 7,3% уз раст броја запослених лица  од 1,4%. У изради пројекција за тржиште рада значајан утицај би могао имати претпостављени обим инвестиција, трговине и уопште економски раст. Уз пројицирани спорији економски раст, обим инвестиција и трговине (у односу на прошлу годину) у Босни и Херцеговини се може очекивати умјерен раст броја запослених лица (1,1% г/г) уз постепено смањење стопе незапослености. Просјечна нето плата би у 2022. години могла бити номинално увећана око 6,3% г/г.</w:t>
      </w:r>
      <w:r w:rsidRPr="00AE5455">
        <w:rPr>
          <w:rFonts w:ascii="Times New Roman" w:eastAsia="Times New Roman" w:hAnsi="Times New Roman" w:cs="Times New Roman"/>
          <w:sz w:val="24"/>
          <w:szCs w:val="24"/>
          <w:vertAlign w:val="superscript"/>
          <w:lang w:val="sr-Cyrl-RS" w:eastAsia="hr-HR"/>
        </w:rPr>
        <w:footnoteReference w:id="10"/>
      </w:r>
      <w:r w:rsidRPr="00EA0FD7">
        <w:rPr>
          <w:rFonts w:ascii="Times New Roman" w:eastAsia="Times New Roman" w:hAnsi="Times New Roman" w:cs="Times New Roman"/>
          <w:sz w:val="24"/>
          <w:szCs w:val="24"/>
          <w:lang w:val="sr-Cyrl-RS" w:eastAsia="hr-HR"/>
        </w:rPr>
        <w:t xml:space="preserve"> Поред тога, треба узети у обзир ризике за остварење пројекција (на крају текста) који би могли утицати на претпостављени раст основних индикатора на тржишту рада.</w:t>
      </w:r>
      <w:r w:rsidRPr="00AE5455">
        <w:rPr>
          <w:rFonts w:ascii="Times New Roman" w:eastAsia="Times New Roman" w:hAnsi="Times New Roman" w:cs="Times New Roman"/>
          <w:sz w:val="24"/>
          <w:szCs w:val="24"/>
          <w:vertAlign w:val="superscript"/>
          <w:lang w:val="sr-Cyrl-RS" w:eastAsia="hr-HR"/>
        </w:rPr>
        <w:footnoteReference w:id="11"/>
      </w:r>
    </w:p>
    <w:p w14:paraId="04A6CBEE" w14:textId="77777777" w:rsidR="00EA0FD7" w:rsidRPr="00EA0FD7" w:rsidRDefault="00EA0FD7" w:rsidP="00EA0FD7">
      <w:pPr>
        <w:shd w:val="clear" w:color="auto" w:fill="FFFFFF"/>
        <w:spacing w:after="0" w:line="240" w:lineRule="auto"/>
        <w:jc w:val="both"/>
        <w:rPr>
          <w:rFonts w:ascii="Times New Roman" w:eastAsia="Times New Roman" w:hAnsi="Times New Roman" w:cs="Times New Roman"/>
          <w:sz w:val="24"/>
          <w:szCs w:val="24"/>
          <w:lang w:val="sr-Cyrl-RS" w:eastAsia="bs-Latn-BA"/>
        </w:rPr>
      </w:pPr>
    </w:p>
    <w:p w14:paraId="0DEA19A5" w14:textId="00E95B06" w:rsidR="00EA0FD7" w:rsidRPr="00EA0FD7" w:rsidRDefault="00EA0FD7" w:rsidP="00EA0FD7">
      <w:pPr>
        <w:shd w:val="clear" w:color="auto" w:fill="FFFFFF"/>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Према пројекцијама ДЕП-а у Босни и Херцеговини у 2023. години се очекује економски раст од 3,1% г/г. Поред тога, раст обима инвестиција и трговине би се требао позитивно одразити на број запослених лица нарочито у секторима који су и претходних година запошљавали највише лица у Босни и Херцеговини. Уз боље пословне прилике у области инду</w:t>
      </w:r>
      <w:r w:rsidR="00AE5455">
        <w:rPr>
          <w:rFonts w:ascii="Times New Roman" w:eastAsia="Times New Roman" w:hAnsi="Times New Roman" w:cs="Times New Roman"/>
          <w:sz w:val="24"/>
          <w:szCs w:val="24"/>
          <w:lang w:val="sr-Cyrl-RS" w:eastAsia="bs-Latn-BA"/>
        </w:rPr>
        <w:t>с</w:t>
      </w:r>
      <w:r w:rsidRPr="00EA0FD7">
        <w:rPr>
          <w:rFonts w:ascii="Times New Roman" w:eastAsia="Times New Roman" w:hAnsi="Times New Roman" w:cs="Times New Roman"/>
          <w:sz w:val="24"/>
          <w:szCs w:val="24"/>
          <w:lang w:val="sr-Cyrl-RS" w:eastAsia="bs-Latn-BA"/>
        </w:rPr>
        <w:t>трије, трговине</w:t>
      </w:r>
      <w:r w:rsidR="00AE5455">
        <w:rPr>
          <w:rFonts w:ascii="Times New Roman" w:eastAsia="Times New Roman" w:hAnsi="Times New Roman" w:cs="Times New Roman"/>
          <w:sz w:val="24"/>
          <w:szCs w:val="24"/>
          <w:lang w:val="sr-Cyrl-RS" w:eastAsia="bs-Latn-BA"/>
        </w:rPr>
        <w:t>,</w:t>
      </w:r>
      <w:r w:rsidRPr="00EA0FD7">
        <w:rPr>
          <w:rFonts w:ascii="Times New Roman" w:eastAsia="Times New Roman" w:hAnsi="Times New Roman" w:cs="Times New Roman"/>
          <w:sz w:val="24"/>
          <w:szCs w:val="24"/>
          <w:lang w:val="sr-Cyrl-RS" w:eastAsia="bs-Latn-BA"/>
        </w:rPr>
        <w:t xml:space="preserve"> али и појединим услужним дјелатностима створили би се услови за раст броја запослених лица. Узимајући у обзир све наведено, очекује се да би допринос расту броја запослених могао бити скромнији у јавном</w:t>
      </w:r>
      <w:r w:rsidRPr="00EA0FD7">
        <w:rPr>
          <w:rFonts w:ascii="Times New Roman" w:eastAsia="Times New Roman" w:hAnsi="Times New Roman" w:cs="Times New Roman"/>
          <w:sz w:val="24"/>
          <w:szCs w:val="24"/>
          <w:vertAlign w:val="superscript"/>
          <w:lang w:val="sr-Cyrl-RS" w:eastAsia="bs-Latn-BA"/>
        </w:rPr>
        <w:footnoteReference w:id="12"/>
      </w:r>
      <w:r w:rsidRPr="00EA0FD7">
        <w:rPr>
          <w:rFonts w:ascii="Times New Roman" w:eastAsia="Times New Roman" w:hAnsi="Times New Roman" w:cs="Times New Roman"/>
          <w:sz w:val="24"/>
          <w:szCs w:val="24"/>
          <w:lang w:val="sr-Cyrl-RS" w:eastAsia="bs-Latn-BA"/>
        </w:rPr>
        <w:t xml:space="preserve"> сектору у односу на остала подручја дјелатности. Тиме би у 2023. години укупан број запослених лица у Босни и Херцеговини могао бити увећан око 1,5% г/г. Поред тога, већи обим пословне активности би се требао одразити на плате. Просјечна нето плата би у 2023. години могла бити номинално увећана око 3,1% г/г. </w:t>
      </w:r>
    </w:p>
    <w:p w14:paraId="68E67A8C"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CF8421F" w14:textId="03780D8A"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Пројекције за основне индикаторе на тржишту рада у периоду 2024</w:t>
      </w:r>
      <w:r w:rsid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2025. године базиране су на анализи економског раста као и његових основних компоненти, односно на нивоу потражње, трговине и инвестиција (детаљније у поглављу о економском расту). Поред тога, битно се осврнути на кретања основних индикатора на тржишту рада ЕУ. ЕЦБ у својим пројекцијама (март 2022. године) предвиђа у 2024. години нижу стопу незапослености у е</w:t>
      </w:r>
      <w:r w:rsidR="00AE5455">
        <w:rPr>
          <w:rFonts w:ascii="Times New Roman" w:eastAsia="Times New Roman" w:hAnsi="Times New Roman" w:cs="Times New Roman"/>
          <w:sz w:val="24"/>
          <w:szCs w:val="24"/>
          <w:lang w:val="sr-Cyrl-RS" w:eastAsia="hr-HR"/>
        </w:rPr>
        <w:t>в</w:t>
      </w:r>
      <w:r w:rsidRPr="00EA0FD7">
        <w:rPr>
          <w:rFonts w:ascii="Times New Roman" w:eastAsia="Times New Roman" w:hAnsi="Times New Roman" w:cs="Times New Roman"/>
          <w:sz w:val="24"/>
          <w:szCs w:val="24"/>
          <w:lang w:val="sr-Cyrl-RS" w:eastAsia="hr-HR"/>
        </w:rPr>
        <w:t>ро</w:t>
      </w:r>
      <w:r w:rsidR="00AE5455">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зони (7% г/г) у поређењу са претходном годином. Ова стопа незапослености у е</w:t>
      </w:r>
      <w:r w:rsidR="00AE5455">
        <w:rPr>
          <w:rFonts w:ascii="Times New Roman" w:eastAsia="Times New Roman" w:hAnsi="Times New Roman" w:cs="Times New Roman"/>
          <w:sz w:val="24"/>
          <w:szCs w:val="24"/>
          <w:lang w:val="sr-Cyrl-RS" w:eastAsia="hr-HR"/>
        </w:rPr>
        <w:t>в</w:t>
      </w:r>
      <w:r w:rsidRPr="00EA0FD7">
        <w:rPr>
          <w:rFonts w:ascii="Times New Roman" w:eastAsia="Times New Roman" w:hAnsi="Times New Roman" w:cs="Times New Roman"/>
          <w:sz w:val="24"/>
          <w:szCs w:val="24"/>
          <w:lang w:val="sr-Cyrl-RS" w:eastAsia="hr-HR"/>
        </w:rPr>
        <w:t>ро</w:t>
      </w:r>
      <w:r w:rsidR="00AE5455">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зони је уједно нижа и у односу на годину непосредно прије појаве пандемије.</w:t>
      </w:r>
      <w:r w:rsidRPr="00AE5455">
        <w:rPr>
          <w:rFonts w:ascii="Times New Roman" w:eastAsia="Times New Roman" w:hAnsi="Times New Roman" w:cs="Times New Roman"/>
          <w:sz w:val="24"/>
          <w:szCs w:val="24"/>
          <w:vertAlign w:val="superscript"/>
          <w:lang w:val="sr-Cyrl-RS" w:eastAsia="hr-HR"/>
        </w:rPr>
        <w:footnoteReference w:id="13"/>
      </w:r>
      <w:r w:rsidRPr="00EA0FD7">
        <w:rPr>
          <w:rFonts w:ascii="Times New Roman" w:eastAsia="Times New Roman" w:hAnsi="Times New Roman" w:cs="Times New Roman"/>
          <w:sz w:val="24"/>
          <w:szCs w:val="24"/>
          <w:lang w:val="sr-Cyrl-RS" w:eastAsia="hr-HR"/>
        </w:rPr>
        <w:t xml:space="preserve"> Уз повољну пословну климу у Босни и Херцеговини се очекује повећање броја запослених лица у периоду </w:t>
      </w:r>
      <w:r w:rsidR="00AE5455">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2024</w:t>
      </w:r>
      <w:r w:rsid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2025. године од 1,6%-1,7% г/г уз истовремено смањење броја незапослених лица, али и наставак увећања нето плата од 3,2%-3,3% г/г. Ипак, раст плата и броја запослених лица највише ће зависити од идентификованих ризика у периоду израде пројекција који би могли успорити и одложити опоравак тржишта рада.</w:t>
      </w:r>
    </w:p>
    <w:p w14:paraId="0B0D835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0757A67"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55E57F4F"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Ризици</w:t>
      </w:r>
    </w:p>
    <w:p w14:paraId="6051D4E3" w14:textId="77777777" w:rsidR="00EA0FD7" w:rsidRPr="00EA0FD7" w:rsidRDefault="00EA0FD7" w:rsidP="00EA0FD7">
      <w:pPr>
        <w:spacing w:after="0" w:line="240" w:lineRule="auto"/>
        <w:jc w:val="center"/>
        <w:rPr>
          <w:rFonts w:ascii="Times New Roman" w:eastAsia="Times New Roman" w:hAnsi="Times New Roman" w:cs="Times New Roman"/>
          <w:b/>
          <w:bCs/>
          <w:sz w:val="24"/>
          <w:szCs w:val="24"/>
          <w:lang w:val="sr-Cyrl-RS" w:eastAsia="hr-HR"/>
        </w:rPr>
      </w:pPr>
    </w:p>
    <w:p w14:paraId="3E60E47A" w14:textId="2FAC2300"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Пројекције на тржишту рада одређене су значајно дешавањима у окружењу односно пословним амбијентом како у Босни и Херцеговини тако и у ЕУ и региону. Према томе, значајне неизвјесности око дешавања између Украјине и Русије могле би се лоше одразити на економију како ЕУ тако и Босне и Херцеговине</w:t>
      </w:r>
      <w:r w:rsid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а потом и на тржиште рада. Уз спорији економски раст, мањи обим инвестиција, трговине и уопште лошије услове пословања, раст броја запослених лица као и плата би могао бити нижи од претпостављеног у основном сценарију. Поред тога, смањење радне снаге (миграције) и степен имплементације планираних структурних реформи у Босни и Херцеговини могао би утицати на посматране индикаторе тржишта рада као и на ниво куповне моћи и животног стандарда. Све наведене промјене уједно представљају основне ризике за пројекције на тржишту рада. </w:t>
      </w:r>
    </w:p>
    <w:p w14:paraId="2629F842"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3325D0F2"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CCDAD01" w14:textId="77777777" w:rsidR="00EA0FD7" w:rsidRPr="00EA0FD7" w:rsidRDefault="00EA0FD7" w:rsidP="00EA0FD7">
      <w:pPr>
        <w:spacing w:after="0" w:line="240" w:lineRule="auto"/>
        <w:jc w:val="center"/>
        <w:rPr>
          <w:rFonts w:ascii="Times New Roman" w:eastAsia="Times New Roman" w:hAnsi="Times New Roman" w:cs="Times New Roman"/>
          <w:b/>
          <w:bCs/>
          <w:sz w:val="24"/>
          <w:szCs w:val="24"/>
          <w:u w:val="single"/>
          <w:lang w:val="sr-Cyrl-RS" w:eastAsia="hr-HR"/>
        </w:rPr>
      </w:pPr>
      <w:r w:rsidRPr="00EA0FD7">
        <w:rPr>
          <w:rFonts w:ascii="Times New Roman" w:eastAsia="Times New Roman" w:hAnsi="Times New Roman" w:cs="Times New Roman"/>
          <w:b/>
          <w:bCs/>
          <w:sz w:val="24"/>
          <w:szCs w:val="24"/>
          <w:u w:val="single"/>
          <w:lang w:val="sr-Cyrl-RS" w:eastAsia="hr-HR"/>
        </w:rPr>
        <w:t xml:space="preserve">Цијене </w:t>
      </w:r>
    </w:p>
    <w:p w14:paraId="0972D815"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5D85381" w14:textId="77777777" w:rsidR="00EA0FD7" w:rsidRPr="00EA0FD7" w:rsidRDefault="00EA0FD7" w:rsidP="00EA0FD7">
      <w:pPr>
        <w:suppressLineNumbers/>
        <w:suppressAutoHyphens/>
        <w:spacing w:after="0" w:line="240" w:lineRule="auto"/>
        <w:jc w:val="both"/>
        <w:rPr>
          <w:rFonts w:ascii="Times New Roman" w:eastAsia="Times New Roman" w:hAnsi="Times New Roman" w:cs="Times New Roman"/>
          <w:b/>
          <w:bCs/>
          <w:sz w:val="24"/>
          <w:szCs w:val="24"/>
          <w:lang w:val="sr-Cyrl-RS" w:eastAsia="ar-SA"/>
        </w:rPr>
      </w:pPr>
      <w:r w:rsidRPr="00EA0FD7">
        <w:rPr>
          <w:rFonts w:ascii="Times New Roman" w:eastAsia="Times New Roman" w:hAnsi="Times New Roman" w:cs="Times New Roman"/>
          <w:b/>
          <w:bCs/>
          <w:sz w:val="24"/>
          <w:szCs w:val="24"/>
          <w:lang w:val="sr-Cyrl-RS" w:eastAsia="ar-SA"/>
        </w:rPr>
        <w:t>Цијене – 2021. година</w:t>
      </w:r>
    </w:p>
    <w:p w14:paraId="2708465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37F6694" w14:textId="147EA63B"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 xml:space="preserve">Након дефлације у К1 2021. године, у Босни и Херцеговини од К2 је регистрован раст цијена који се нарочито интензивирао на крају године. Инфлација мјерена индексом потрошачких цијена у периоду </w:t>
      </w:r>
      <w:r w:rsidR="00AE5455">
        <w:rPr>
          <w:rFonts w:ascii="Times New Roman" w:eastAsia="Times New Roman" w:hAnsi="Times New Roman" w:cs="Times New Roman"/>
          <w:sz w:val="24"/>
          <w:szCs w:val="24"/>
          <w:lang w:eastAsia="bs-Latn-BA"/>
        </w:rPr>
        <w:t>I</w:t>
      </w:r>
      <w:r w:rsidRPr="00EA0FD7">
        <w:rPr>
          <w:rFonts w:ascii="Times New Roman" w:eastAsia="Times New Roman" w:hAnsi="Times New Roman" w:cs="Times New Roman"/>
          <w:sz w:val="24"/>
          <w:szCs w:val="24"/>
          <w:lang w:val="sr-Cyrl-RS" w:eastAsia="bs-Latn-BA"/>
        </w:rPr>
        <w:t>-X</w:t>
      </w:r>
      <w:r w:rsidR="00AE5455">
        <w:rPr>
          <w:rFonts w:ascii="Times New Roman" w:eastAsia="Times New Roman" w:hAnsi="Times New Roman" w:cs="Times New Roman"/>
          <w:sz w:val="24"/>
          <w:szCs w:val="24"/>
          <w:lang w:eastAsia="bs-Latn-BA"/>
        </w:rPr>
        <w:t>II</w:t>
      </w:r>
      <w:r w:rsidRPr="00EA0FD7">
        <w:rPr>
          <w:rFonts w:ascii="Times New Roman" w:eastAsia="Times New Roman" w:hAnsi="Times New Roman" w:cs="Times New Roman"/>
          <w:sz w:val="24"/>
          <w:szCs w:val="24"/>
          <w:lang w:val="sr-Cyrl-RS" w:eastAsia="bs-Latn-BA"/>
        </w:rPr>
        <w:t xml:space="preserve"> 2021. године је износила 2% у поређењу са истим периодом 2020. године. Раст цијена у посматраном периоду подстакнут је значајним растом енергената (првенствено сирове нафте) и хране. </w:t>
      </w:r>
      <w:r w:rsidRPr="00EA0FD7">
        <w:rPr>
          <w:rFonts w:ascii="Times New Roman" w:eastAsia="Times New Roman" w:hAnsi="Times New Roman" w:cs="Times New Roman"/>
          <w:spacing w:val="6"/>
          <w:sz w:val="24"/>
          <w:szCs w:val="24"/>
          <w:lang w:val="sr-Cyrl-RS" w:eastAsia="bs-Latn-BA"/>
        </w:rPr>
        <w:t>З</w:t>
      </w:r>
      <w:r w:rsidRPr="00EA0FD7">
        <w:rPr>
          <w:rFonts w:ascii="Times New Roman" w:eastAsia="Times New Roman" w:hAnsi="Times New Roman" w:cs="Times New Roman"/>
          <w:sz w:val="24"/>
          <w:szCs w:val="24"/>
          <w:lang w:val="sr-Cyrl-RS" w:eastAsia="bs-Latn-BA"/>
        </w:rPr>
        <w:t>бог виших цијена нафте и нафтних деривата</w:t>
      </w:r>
      <w:r w:rsidRPr="00EA0FD7">
        <w:rPr>
          <w:rFonts w:ascii="Times New Roman" w:eastAsia="Times New Roman" w:hAnsi="Times New Roman" w:cs="Times New Roman"/>
          <w:spacing w:val="6"/>
          <w:sz w:val="24"/>
          <w:szCs w:val="24"/>
          <w:shd w:val="clear" w:color="auto" w:fill="FFFFFF"/>
          <w:lang w:val="sr-Cyrl-RS" w:eastAsia="bs-Latn-BA"/>
        </w:rPr>
        <w:t xml:space="preserve"> у периоду </w:t>
      </w:r>
      <w:r w:rsidR="00AE5455">
        <w:rPr>
          <w:rFonts w:ascii="Times New Roman" w:eastAsia="Times New Roman" w:hAnsi="Times New Roman" w:cs="Times New Roman"/>
          <w:spacing w:val="6"/>
          <w:sz w:val="24"/>
          <w:szCs w:val="24"/>
          <w:shd w:val="clear" w:color="auto" w:fill="FFFFFF"/>
          <w:lang w:eastAsia="bs-Latn-BA"/>
        </w:rPr>
        <w:t>I</w:t>
      </w:r>
      <w:r w:rsidRPr="00EA0FD7">
        <w:rPr>
          <w:rFonts w:ascii="Times New Roman" w:eastAsia="Times New Roman" w:hAnsi="Times New Roman" w:cs="Times New Roman"/>
          <w:spacing w:val="6"/>
          <w:sz w:val="24"/>
          <w:szCs w:val="24"/>
          <w:shd w:val="clear" w:color="auto" w:fill="FFFFFF"/>
          <w:lang w:val="sr-Cyrl-RS" w:eastAsia="bs-Latn-BA"/>
        </w:rPr>
        <w:t>-X</w:t>
      </w:r>
      <w:r w:rsidR="00AE5455">
        <w:rPr>
          <w:rFonts w:ascii="Times New Roman" w:eastAsia="Times New Roman" w:hAnsi="Times New Roman" w:cs="Times New Roman"/>
          <w:spacing w:val="6"/>
          <w:sz w:val="24"/>
          <w:szCs w:val="24"/>
          <w:shd w:val="clear" w:color="auto" w:fill="FFFFFF"/>
          <w:lang w:eastAsia="bs-Latn-BA"/>
        </w:rPr>
        <w:t>II</w:t>
      </w:r>
      <w:r w:rsidRPr="00EA0FD7">
        <w:rPr>
          <w:rFonts w:ascii="Times New Roman" w:eastAsia="Times New Roman" w:hAnsi="Times New Roman" w:cs="Times New Roman"/>
          <w:spacing w:val="6"/>
          <w:sz w:val="24"/>
          <w:szCs w:val="24"/>
          <w:shd w:val="clear" w:color="auto" w:fill="FFFFFF"/>
          <w:lang w:val="sr-Cyrl-RS" w:eastAsia="bs-Latn-BA"/>
        </w:rPr>
        <w:t xml:space="preserve"> 2021. године у одјељку превоза цијене су биле више за 5,9% г/г. Поред тога, цијене у одјељку хране и безалкохолних пића у посматраном периоду су увећане за 3,5% г/г</w:t>
      </w:r>
      <w:r w:rsidRPr="00EA0FD7">
        <w:rPr>
          <w:rFonts w:ascii="Times New Roman" w:eastAsia="Times New Roman" w:hAnsi="Times New Roman" w:cs="Times New Roman"/>
          <w:spacing w:val="6"/>
          <w:sz w:val="24"/>
          <w:szCs w:val="24"/>
          <w:lang w:val="sr-Cyrl-RS" w:eastAsia="bs-Latn-BA"/>
        </w:rPr>
        <w:t xml:space="preserve">. </w:t>
      </w:r>
      <w:r w:rsidRPr="00EA0FD7">
        <w:rPr>
          <w:rFonts w:ascii="Times New Roman" w:eastAsia="Times New Roman" w:hAnsi="Times New Roman" w:cs="Times New Roman"/>
          <w:color w:val="000000"/>
          <w:sz w:val="24"/>
          <w:szCs w:val="24"/>
          <w:lang w:val="sr-Cyrl-RS" w:eastAsia="bs-Latn-BA"/>
        </w:rPr>
        <w:t>П</w:t>
      </w:r>
      <w:r w:rsidRPr="00EA0FD7">
        <w:rPr>
          <w:rFonts w:ascii="Times New Roman" w:eastAsia="Times New Roman" w:hAnsi="Times New Roman" w:cs="Times New Roman"/>
          <w:sz w:val="24"/>
          <w:szCs w:val="24"/>
          <w:lang w:val="sr-Cyrl-RS" w:eastAsia="bs-Latn-BA"/>
        </w:rPr>
        <w:t>овећање акциза на цигарете и дуван на почетку 2021. године</w:t>
      </w:r>
      <w:r w:rsidRPr="00EA0FD7">
        <w:rPr>
          <w:rFonts w:ascii="Times New Roman" w:eastAsia="Times New Roman" w:hAnsi="Times New Roman" w:cs="Times New Roman"/>
          <w:color w:val="000000"/>
          <w:sz w:val="24"/>
          <w:szCs w:val="24"/>
          <w:lang w:val="sr-Cyrl-RS" w:eastAsia="bs-Latn-BA"/>
        </w:rPr>
        <w:t xml:space="preserve"> утицало је на раст цијена у одјељку алкохолних пића и дувана од 1,9%</w:t>
      </w:r>
      <w:r w:rsidRPr="00EA0FD7">
        <w:rPr>
          <w:rFonts w:ascii="Times New Roman" w:eastAsia="Times New Roman" w:hAnsi="Times New Roman" w:cs="Times New Roman"/>
          <w:sz w:val="24"/>
          <w:szCs w:val="24"/>
          <w:lang w:val="sr-Cyrl-RS" w:eastAsia="bs-Latn-BA"/>
        </w:rPr>
        <w:t>.</w:t>
      </w:r>
      <w:r w:rsidRPr="00EA0FD7">
        <w:rPr>
          <w:rFonts w:ascii="Times New Roman" w:eastAsia="Times New Roman" w:hAnsi="Times New Roman" w:cs="Times New Roman"/>
          <w:spacing w:val="6"/>
          <w:sz w:val="24"/>
          <w:szCs w:val="24"/>
          <w:lang w:val="sr-Cyrl-RS" w:eastAsia="bs-Latn-BA"/>
        </w:rPr>
        <w:t xml:space="preserve"> У одјељку становања, воде, електричне енергије, плина и других енергената цијене су увећане за 1,3% г/г и имале су нешто мањи допринос расту укупне инфлације у Босни и Херцеговини у односу на храну и превоз.</w:t>
      </w:r>
      <w:r w:rsidRPr="00EA0FD7">
        <w:rPr>
          <w:rFonts w:ascii="Times New Roman" w:eastAsia="Times New Roman" w:hAnsi="Times New Roman" w:cs="Times New Roman"/>
          <w:sz w:val="24"/>
          <w:szCs w:val="24"/>
          <w:lang w:val="sr-Cyrl-RS" w:eastAsia="bs-Latn-BA"/>
        </w:rPr>
        <w:t xml:space="preserve"> </w:t>
      </w:r>
    </w:p>
    <w:p w14:paraId="498EEF9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pacing w:val="6"/>
          <w:sz w:val="24"/>
          <w:szCs w:val="24"/>
          <w:shd w:val="clear" w:color="auto" w:fill="FFFFFF"/>
          <w:lang w:val="sr-Cyrl-RS" w:eastAsia="bs-Latn-BA"/>
        </w:rPr>
        <w:t>Супротно, најзначајније смањење цијена било је у одјељку одјеће и обуће гдје су цијене биле ниже за 8,9% у посматраном периоду што је само дјелимично успорило раст укупне инфлације у Босни и Херцеговини.</w:t>
      </w:r>
    </w:p>
    <w:p w14:paraId="0B8B4E8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82BC73D" w14:textId="5815213D" w:rsidR="00EA0FD7" w:rsidRPr="00EA0FD7" w:rsidRDefault="00EA0FD7" w:rsidP="00EA0FD7">
      <w:pPr>
        <w:suppressLineNumbers/>
        <w:suppressAutoHyphens/>
        <w:spacing w:after="0" w:line="240" w:lineRule="auto"/>
        <w:jc w:val="both"/>
        <w:rPr>
          <w:rFonts w:ascii="Times New Roman" w:eastAsia="Times New Roman" w:hAnsi="Times New Roman" w:cs="Times New Roman"/>
          <w:b/>
          <w:bCs/>
          <w:sz w:val="24"/>
          <w:szCs w:val="24"/>
          <w:lang w:val="sr-Cyrl-RS" w:eastAsia="ar-SA"/>
        </w:rPr>
      </w:pPr>
      <w:r w:rsidRPr="00EA0FD7">
        <w:rPr>
          <w:rFonts w:ascii="Times New Roman" w:eastAsia="Times New Roman" w:hAnsi="Times New Roman" w:cs="Times New Roman"/>
          <w:b/>
          <w:bCs/>
          <w:sz w:val="24"/>
          <w:szCs w:val="24"/>
          <w:lang w:val="sr-Cyrl-RS" w:eastAsia="ar-SA"/>
        </w:rPr>
        <w:t>Цијене – пројекције 2022</w:t>
      </w:r>
      <w:r w:rsidR="00AE5455">
        <w:rPr>
          <w:rFonts w:ascii="Times New Roman" w:eastAsia="Times New Roman" w:hAnsi="Times New Roman" w:cs="Times New Roman"/>
          <w:b/>
          <w:bCs/>
          <w:sz w:val="24"/>
          <w:szCs w:val="24"/>
          <w:lang w:val="sr-Cyrl-RS" w:eastAsia="ar-SA"/>
        </w:rPr>
        <w:t>–</w:t>
      </w:r>
      <w:r w:rsidRPr="00EA0FD7">
        <w:rPr>
          <w:rFonts w:ascii="Times New Roman" w:eastAsia="Times New Roman" w:hAnsi="Times New Roman" w:cs="Times New Roman"/>
          <w:b/>
          <w:bCs/>
          <w:sz w:val="24"/>
          <w:szCs w:val="24"/>
          <w:lang w:val="sr-Cyrl-RS" w:eastAsia="ar-SA"/>
        </w:rPr>
        <w:t>2025. године</w:t>
      </w:r>
    </w:p>
    <w:p w14:paraId="328727C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p>
    <w:p w14:paraId="060EEFF8" w14:textId="059DB814"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bs-Latn-BA"/>
        </w:rPr>
      </w:pPr>
      <w:r w:rsidRPr="00EA0FD7">
        <w:rPr>
          <w:rFonts w:ascii="Times New Roman" w:eastAsia="Times New Roman" w:hAnsi="Times New Roman" w:cs="Times New Roman"/>
          <w:sz w:val="24"/>
          <w:szCs w:val="24"/>
          <w:lang w:val="sr-Cyrl-RS" w:eastAsia="bs-Latn-BA"/>
        </w:rPr>
        <w:t xml:space="preserve">Раст цијена енергената и хране имали су велики утицај на кретање инфлације како у Европској унији тако и у Босни и Херцеговини. Инфлација мјерена индексом потрошачких цијена у </w:t>
      </w:r>
      <w:r w:rsidRPr="00EA0FD7">
        <w:rPr>
          <w:rFonts w:ascii="Times New Roman" w:eastAsia="Times New Roman" w:hAnsi="Times New Roman" w:cs="Times New Roman"/>
          <w:sz w:val="24"/>
          <w:szCs w:val="24"/>
          <w:lang w:val="sr-Cyrl-RS" w:eastAsia="bs-Latn-BA"/>
        </w:rPr>
        <w:lastRenderedPageBreak/>
        <w:t xml:space="preserve">Босни и Херцеговини у јануару 2022. године је износила 7% г/г. Најзначајнији раст цијена био је у одјељцима хране и безалкохолних пића, превоза, </w:t>
      </w:r>
      <w:r w:rsidRPr="00EA0FD7">
        <w:rPr>
          <w:rFonts w:ascii="Times New Roman" w:eastAsia="Times New Roman" w:hAnsi="Times New Roman" w:cs="Times New Roman"/>
          <w:spacing w:val="6"/>
          <w:sz w:val="24"/>
          <w:szCs w:val="24"/>
          <w:lang w:val="sr-Cyrl-RS" w:eastAsia="bs-Latn-BA"/>
        </w:rPr>
        <w:t>становања, воде, ел. енергије, плина и других енергената.</w:t>
      </w:r>
      <w:r w:rsidRPr="00EA0FD7">
        <w:rPr>
          <w:rFonts w:ascii="Times New Roman" w:eastAsia="Times New Roman" w:hAnsi="Times New Roman" w:cs="Times New Roman"/>
          <w:sz w:val="24"/>
          <w:szCs w:val="24"/>
          <w:lang w:val="sr-Cyrl-RS" w:eastAsia="bs-Latn-BA"/>
        </w:rPr>
        <w:t xml:space="preserve"> </w:t>
      </w:r>
      <w:r w:rsidRPr="00EA0FD7">
        <w:rPr>
          <w:rFonts w:ascii="Times New Roman" w:eastAsia="Times New Roman" w:hAnsi="Times New Roman" w:cs="Times New Roman"/>
          <w:spacing w:val="6"/>
          <w:sz w:val="24"/>
          <w:szCs w:val="24"/>
          <w:lang w:val="sr-Cyrl-RS" w:eastAsia="bs-Latn-BA"/>
        </w:rPr>
        <w:t>Цијене у одјељку који заузима највећи дио укупног индекса потрошачких цијена – храна и безалкохолна пића – су увећане 11,9% г/г у јануару 2022. године. У оквиру хране евидент</w:t>
      </w:r>
      <w:r w:rsidR="00AE5455">
        <w:rPr>
          <w:rFonts w:ascii="Times New Roman" w:eastAsia="Times New Roman" w:hAnsi="Times New Roman" w:cs="Times New Roman"/>
          <w:spacing w:val="6"/>
          <w:sz w:val="24"/>
          <w:szCs w:val="24"/>
          <w:lang w:val="bs-Cyrl-BA" w:eastAsia="bs-Latn-BA"/>
        </w:rPr>
        <w:t>н</w:t>
      </w:r>
      <w:r w:rsidRPr="00EA0FD7">
        <w:rPr>
          <w:rFonts w:ascii="Times New Roman" w:eastAsia="Times New Roman" w:hAnsi="Times New Roman" w:cs="Times New Roman"/>
          <w:spacing w:val="6"/>
          <w:sz w:val="24"/>
          <w:szCs w:val="24"/>
          <w:lang w:val="sr-Cyrl-RS" w:eastAsia="bs-Latn-BA"/>
        </w:rPr>
        <w:t xml:space="preserve">о је значајно поскупљење хљеба и житарица, уља и масноћа, меса, воћа и поврћа, млијека и млијечних производа. На тај начин овај одјељак је уз превоз имао највећи утицај на инфлацију у Босни и Херцеговини. </w:t>
      </w:r>
      <w:r w:rsidRPr="00EA0FD7">
        <w:rPr>
          <w:rFonts w:ascii="Times New Roman" w:eastAsia="Times New Roman" w:hAnsi="Times New Roman" w:cs="Times New Roman"/>
          <w:sz w:val="24"/>
          <w:szCs w:val="24"/>
          <w:lang w:val="sr-Cyrl-RS" w:eastAsia="bs-Latn-BA"/>
        </w:rPr>
        <w:t xml:space="preserve">Цијена сирове нафте на свјетском тржишту енергената у јануару 2022. године према подацима Свјетске банке била је виша за 56,6% у односу на исти мјесец претходне године (30,3 $/барелу) и износила је 83,9 $/барелу. </w:t>
      </w:r>
      <w:r w:rsidRPr="00EA0FD7">
        <w:rPr>
          <w:rFonts w:ascii="Times New Roman" w:eastAsia="Times New Roman" w:hAnsi="Times New Roman" w:cs="Times New Roman"/>
          <w:spacing w:val="6"/>
          <w:sz w:val="24"/>
          <w:szCs w:val="24"/>
          <w:lang w:val="sr-Cyrl-RS" w:eastAsia="bs-Latn-BA"/>
        </w:rPr>
        <w:t xml:space="preserve">Због тога су цијене у одјељку превоза биле </w:t>
      </w:r>
      <w:r w:rsidRPr="00EA0FD7">
        <w:rPr>
          <w:rFonts w:ascii="Times New Roman" w:eastAsia="Times New Roman" w:hAnsi="Times New Roman" w:cs="Times New Roman"/>
          <w:spacing w:val="6"/>
          <w:sz w:val="24"/>
          <w:szCs w:val="24"/>
          <w:shd w:val="clear" w:color="auto" w:fill="FFFFFF"/>
          <w:lang w:val="sr-Cyrl-RS" w:eastAsia="bs-Latn-BA"/>
        </w:rPr>
        <w:t xml:space="preserve">више за 13,7% г/г. </w:t>
      </w:r>
      <w:r w:rsidRPr="00EA0FD7">
        <w:rPr>
          <w:rFonts w:ascii="Times New Roman" w:eastAsia="Times New Roman" w:hAnsi="Times New Roman" w:cs="Times New Roman"/>
          <w:spacing w:val="6"/>
          <w:sz w:val="24"/>
          <w:szCs w:val="24"/>
          <w:lang w:val="sr-Cyrl-RS" w:eastAsia="bs-Latn-BA"/>
        </w:rPr>
        <w:t>Уз поскупљење гаса, течних и чврстих горива цијене у одјељку становања, воде, електричне енергије, плина и других енергената су увећане за 6,1% г/г</w:t>
      </w:r>
      <w:r w:rsidR="00AE5455">
        <w:rPr>
          <w:rFonts w:ascii="Times New Roman" w:eastAsia="Times New Roman" w:hAnsi="Times New Roman" w:cs="Times New Roman"/>
          <w:spacing w:val="6"/>
          <w:sz w:val="24"/>
          <w:szCs w:val="24"/>
          <w:lang w:val="sr-Cyrl-RS" w:eastAsia="bs-Latn-BA"/>
        </w:rPr>
        <w:t>,</w:t>
      </w:r>
      <w:r w:rsidRPr="00EA0FD7">
        <w:rPr>
          <w:rFonts w:ascii="Times New Roman" w:eastAsia="Times New Roman" w:hAnsi="Times New Roman" w:cs="Times New Roman"/>
          <w:spacing w:val="6"/>
          <w:sz w:val="24"/>
          <w:szCs w:val="24"/>
          <w:lang w:val="sr-Cyrl-RS" w:eastAsia="bs-Latn-BA"/>
        </w:rPr>
        <w:t xml:space="preserve"> али су имале нешто мањи допринос расту укупне инфлације у Босни и Херцеговини у односу на храну и превоз.</w:t>
      </w:r>
      <w:r w:rsidRPr="00EA0FD7">
        <w:rPr>
          <w:rFonts w:ascii="Times New Roman" w:eastAsia="Times New Roman" w:hAnsi="Times New Roman" w:cs="Times New Roman"/>
          <w:color w:val="000000"/>
          <w:sz w:val="24"/>
          <w:szCs w:val="24"/>
          <w:lang w:val="sr-Cyrl-RS" w:eastAsia="bs-Latn-BA"/>
        </w:rPr>
        <w:t xml:space="preserve"> </w:t>
      </w:r>
    </w:p>
    <w:p w14:paraId="0618A050" w14:textId="77777777"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bs-Latn-BA"/>
        </w:rPr>
      </w:pPr>
    </w:p>
    <w:p w14:paraId="79CADEC5" w14:textId="38F3F51F" w:rsidR="00EA0FD7" w:rsidRPr="00EA0FD7" w:rsidRDefault="00EA0FD7" w:rsidP="00EA0FD7">
      <w:pPr>
        <w:spacing w:after="0" w:line="240" w:lineRule="auto"/>
        <w:jc w:val="both"/>
        <w:rPr>
          <w:rFonts w:ascii="Times New Roman" w:eastAsia="Times New Roman" w:hAnsi="Times New Roman" w:cs="Times New Roman"/>
          <w:color w:val="FF0000"/>
          <w:sz w:val="24"/>
          <w:szCs w:val="24"/>
          <w:lang w:val="sr-Cyrl-RS" w:eastAsia="ar-SA"/>
        </w:rPr>
      </w:pPr>
      <w:r w:rsidRPr="00EA0FD7">
        <w:rPr>
          <w:rFonts w:ascii="Times New Roman" w:eastAsia="Times New Roman" w:hAnsi="Times New Roman" w:cs="Times New Roman"/>
          <w:color w:val="000000"/>
          <w:sz w:val="24"/>
          <w:szCs w:val="24"/>
          <w:lang w:val="sr-Cyrl-RS" w:eastAsia="bs-Latn-BA"/>
        </w:rPr>
        <w:t xml:space="preserve">Кретање инфлације до краја 2022. године подлијеже неизвјесности која произилази из тренутних дешавања између Украјине и Русије. Очекује се да ће вањски притисци на цијене бити знатно већи у односу на домаће уз преношење трошковних притисака </w:t>
      </w:r>
      <w:r w:rsidRPr="00EA0FD7">
        <w:rPr>
          <w:rFonts w:ascii="Times New Roman" w:eastAsia="Times New Roman" w:hAnsi="Times New Roman" w:cs="Times New Roman"/>
          <w:sz w:val="24"/>
          <w:szCs w:val="24"/>
          <w:lang w:val="sr-Cyrl-RS" w:eastAsia="ar-SA"/>
        </w:rPr>
        <w:t xml:space="preserve">(који настају због уских грла у снабдијевању и цијена енергената) </w:t>
      </w:r>
      <w:r w:rsidRPr="00EA0FD7">
        <w:rPr>
          <w:rFonts w:ascii="Times New Roman" w:eastAsia="Times New Roman" w:hAnsi="Times New Roman" w:cs="Times New Roman"/>
          <w:color w:val="000000"/>
          <w:sz w:val="24"/>
          <w:szCs w:val="24"/>
          <w:lang w:val="sr-Cyrl-RS" w:eastAsia="bs-Latn-BA"/>
        </w:rPr>
        <w:t>са произв</w:t>
      </w:r>
      <w:r w:rsidR="00AE5455">
        <w:rPr>
          <w:rFonts w:ascii="Times New Roman" w:eastAsia="Times New Roman" w:hAnsi="Times New Roman" w:cs="Times New Roman"/>
          <w:color w:val="000000"/>
          <w:sz w:val="24"/>
          <w:szCs w:val="24"/>
          <w:lang w:val="sr-Cyrl-RS" w:eastAsia="bs-Latn-BA"/>
        </w:rPr>
        <w:t>о</w:t>
      </w:r>
      <w:r w:rsidRPr="00EA0FD7">
        <w:rPr>
          <w:rFonts w:ascii="Times New Roman" w:eastAsia="Times New Roman" w:hAnsi="Times New Roman" w:cs="Times New Roman"/>
          <w:color w:val="000000"/>
          <w:sz w:val="24"/>
          <w:szCs w:val="24"/>
          <w:lang w:val="sr-Cyrl-RS" w:eastAsia="bs-Latn-BA"/>
        </w:rPr>
        <w:t>ђачких на потрошачке цијене.</w:t>
      </w:r>
      <w:r w:rsidRPr="00AE5455">
        <w:rPr>
          <w:rFonts w:ascii="Times New Roman" w:eastAsia="Times New Roman" w:hAnsi="Times New Roman" w:cs="Times New Roman"/>
          <w:color w:val="000000"/>
          <w:sz w:val="24"/>
          <w:szCs w:val="24"/>
          <w:vertAlign w:val="superscript"/>
          <w:lang w:val="sr-Cyrl-RS" w:eastAsia="bs-Latn-BA"/>
        </w:rPr>
        <w:footnoteReference w:id="14"/>
      </w:r>
      <w:r w:rsidRPr="00EA0FD7">
        <w:rPr>
          <w:rFonts w:ascii="Times New Roman" w:eastAsia="Times New Roman" w:hAnsi="Times New Roman" w:cs="Times New Roman"/>
          <w:color w:val="000000"/>
          <w:sz w:val="24"/>
          <w:szCs w:val="24"/>
          <w:lang w:val="sr-Cyrl-RS" w:eastAsia="bs-Latn-BA"/>
        </w:rPr>
        <w:t xml:space="preserve"> Према посљедњим расположивим пројекцијама ЕЦБ (март 2022. године) инфлација у е</w:t>
      </w:r>
      <w:r w:rsidR="00AE5455">
        <w:rPr>
          <w:rFonts w:ascii="Times New Roman" w:eastAsia="Times New Roman" w:hAnsi="Times New Roman" w:cs="Times New Roman"/>
          <w:color w:val="000000"/>
          <w:sz w:val="24"/>
          <w:szCs w:val="24"/>
          <w:lang w:val="sr-Cyrl-RS" w:eastAsia="bs-Latn-BA"/>
        </w:rPr>
        <w:t>в</w:t>
      </w:r>
      <w:r w:rsidRPr="00EA0FD7">
        <w:rPr>
          <w:rFonts w:ascii="Times New Roman" w:eastAsia="Times New Roman" w:hAnsi="Times New Roman" w:cs="Times New Roman"/>
          <w:color w:val="000000"/>
          <w:sz w:val="24"/>
          <w:szCs w:val="24"/>
          <w:lang w:val="sr-Cyrl-RS" w:eastAsia="bs-Latn-BA"/>
        </w:rPr>
        <w:t>ро</w:t>
      </w:r>
      <w:r w:rsidR="00AE5455">
        <w:rPr>
          <w:rFonts w:ascii="Times New Roman" w:eastAsia="Times New Roman" w:hAnsi="Times New Roman" w:cs="Times New Roman"/>
          <w:color w:val="000000"/>
          <w:sz w:val="24"/>
          <w:szCs w:val="24"/>
          <w:lang w:val="sr-Cyrl-RS" w:eastAsia="bs-Latn-BA"/>
        </w:rPr>
        <w:t xml:space="preserve"> </w:t>
      </w:r>
      <w:r w:rsidRPr="00EA0FD7">
        <w:rPr>
          <w:rFonts w:ascii="Times New Roman" w:eastAsia="Times New Roman" w:hAnsi="Times New Roman" w:cs="Times New Roman"/>
          <w:color w:val="000000"/>
          <w:sz w:val="24"/>
          <w:szCs w:val="24"/>
          <w:lang w:val="sr-Cyrl-RS" w:eastAsia="bs-Latn-BA"/>
        </w:rPr>
        <w:t>зони ће се значајно увећати и износити 5,1% г/г у 2022. години, а ¾ ревидираних пројекција односи се на компоненте енергената и хране. Инфлација би могла бити израженија у првој половини године, те нешто умјеренија у другој половини због базних ефеката. Цијена сирове нафте би могла износити 92,6 $/барелу, што је око 30% више у односу на претходну годину. Поред тога, очекује се да ће раст цијена хране остати на високом нивоу током 2022. године због високих цијена роба односно раста цијена плина и електричне енергије који чине око 90% укупних трошкова енергије у прехрамбеној индустрији.</w:t>
      </w:r>
      <w:r w:rsidRPr="00AE5455">
        <w:rPr>
          <w:rFonts w:ascii="Times New Roman" w:eastAsia="Times New Roman" w:hAnsi="Times New Roman" w:cs="Times New Roman"/>
          <w:color w:val="000000"/>
          <w:sz w:val="24"/>
          <w:szCs w:val="24"/>
          <w:vertAlign w:val="superscript"/>
          <w:lang w:val="sr-Cyrl-RS" w:eastAsia="bs-Latn-BA"/>
        </w:rPr>
        <w:footnoteReference w:id="15"/>
      </w:r>
      <w:r w:rsidRPr="00EA0FD7">
        <w:rPr>
          <w:rFonts w:ascii="Times New Roman" w:eastAsia="Times New Roman" w:hAnsi="Times New Roman" w:cs="Times New Roman"/>
          <w:sz w:val="24"/>
          <w:szCs w:val="24"/>
          <w:lang w:val="sr-Cyrl-RS" w:eastAsia="hr-HR"/>
        </w:rPr>
        <w:t xml:space="preserve"> На основу наведених екстерних дешавања у Босни и Херцеговини у 2022. години се може очекивати инфлација око 6% г/г. Међутим, битно је узети у обзир ризике за остварење пројекција (на крају текста) који би могли значајно утицати на претпостављени раст основних индикатора на тржишту рада.</w:t>
      </w:r>
    </w:p>
    <w:p w14:paraId="76D1373B" w14:textId="77777777" w:rsidR="00EA0FD7" w:rsidRPr="00EA0FD7" w:rsidRDefault="00EA0FD7" w:rsidP="00EA0FD7">
      <w:pPr>
        <w:spacing w:after="0" w:line="240" w:lineRule="auto"/>
        <w:jc w:val="both"/>
        <w:rPr>
          <w:rFonts w:ascii="Times New Roman" w:eastAsia="Times New Roman" w:hAnsi="Times New Roman" w:cs="Times New Roman"/>
          <w:spacing w:val="6"/>
          <w:sz w:val="24"/>
          <w:szCs w:val="24"/>
          <w:lang w:val="sr-Cyrl-RS" w:eastAsia="bs-Latn-BA"/>
        </w:rPr>
      </w:pPr>
    </w:p>
    <w:p w14:paraId="5340C273" w14:textId="68A29E2B"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У 2023. години очекује се стабилнији раст укупног нивоа цијена у Босни и Херцеговини који је везан за смањење вањских притисака на цијене. Овај спорији раст инфлације одражава оштар пад цијена енергената које би од 2023. године могле имати силазни тренд све до краја пројекцијског периода. ЕЦБ у својим пројекциј</w:t>
      </w:r>
      <w:r w:rsidR="00AE5455">
        <w:rPr>
          <w:rFonts w:ascii="Times New Roman" w:eastAsia="Times New Roman" w:hAnsi="Times New Roman" w:cs="Times New Roman"/>
          <w:sz w:val="24"/>
          <w:szCs w:val="24"/>
          <w:lang w:val="sr-Cyrl-RS" w:eastAsia="bs-Latn-BA"/>
        </w:rPr>
        <w:t>а</w:t>
      </w:r>
      <w:r w:rsidRPr="00EA0FD7">
        <w:rPr>
          <w:rFonts w:ascii="Times New Roman" w:eastAsia="Times New Roman" w:hAnsi="Times New Roman" w:cs="Times New Roman"/>
          <w:sz w:val="24"/>
          <w:szCs w:val="24"/>
          <w:lang w:val="sr-Cyrl-RS" w:eastAsia="bs-Latn-BA"/>
        </w:rPr>
        <w:t>ма предвиђа да би цијена сирове нафте у 2023. години могла бити нижа за 11,7% г/г и износила би 82,3 $/барелу. Поред тога, очекује се и смањење цијена хране у посматраној години, а инфлација у е</w:t>
      </w:r>
      <w:r w:rsidR="00AE5455">
        <w:rPr>
          <w:rFonts w:ascii="Times New Roman" w:eastAsia="Times New Roman" w:hAnsi="Times New Roman" w:cs="Times New Roman"/>
          <w:sz w:val="24"/>
          <w:szCs w:val="24"/>
          <w:lang w:val="sr-Cyrl-RS" w:eastAsia="bs-Latn-BA"/>
        </w:rPr>
        <w:t>в</w:t>
      </w:r>
      <w:r w:rsidRPr="00EA0FD7">
        <w:rPr>
          <w:rFonts w:ascii="Times New Roman" w:eastAsia="Times New Roman" w:hAnsi="Times New Roman" w:cs="Times New Roman"/>
          <w:sz w:val="24"/>
          <w:szCs w:val="24"/>
          <w:lang w:val="sr-Cyrl-RS" w:eastAsia="bs-Latn-BA"/>
        </w:rPr>
        <w:t>ро</w:t>
      </w:r>
      <w:r w:rsidR="00AE5455">
        <w:rPr>
          <w:rFonts w:ascii="Times New Roman" w:eastAsia="Times New Roman" w:hAnsi="Times New Roman" w:cs="Times New Roman"/>
          <w:sz w:val="24"/>
          <w:szCs w:val="24"/>
          <w:lang w:val="sr-Cyrl-RS" w:eastAsia="bs-Latn-BA"/>
        </w:rPr>
        <w:t xml:space="preserve"> </w:t>
      </w:r>
      <w:r w:rsidRPr="00EA0FD7">
        <w:rPr>
          <w:rFonts w:ascii="Times New Roman" w:eastAsia="Times New Roman" w:hAnsi="Times New Roman" w:cs="Times New Roman"/>
          <w:sz w:val="24"/>
          <w:szCs w:val="24"/>
          <w:lang w:val="sr-Cyrl-RS" w:eastAsia="bs-Latn-BA"/>
        </w:rPr>
        <w:t>зони би могла бити износити 2,1% г/г. Слична предвиђање имала је и ЕК у својим зимским пројекцијама (фебруар 2022. године) према којим би инфлација у ЕУ могла износити 1,9% у 2022. години, а цијена сирове нафте би могла бити нижа за 8,3% г/г.</w:t>
      </w:r>
      <w:r w:rsidRPr="00EA0FD7">
        <w:rPr>
          <w:rFonts w:ascii="Times New Roman" w:eastAsia="Times New Roman" w:hAnsi="Times New Roman" w:cs="Times New Roman"/>
          <w:sz w:val="24"/>
          <w:szCs w:val="24"/>
          <w:shd w:val="clear" w:color="auto" w:fill="FFFFFF"/>
          <w:lang w:val="sr-Cyrl-RS" w:eastAsia="hr-HR"/>
        </w:rPr>
        <w:t xml:space="preserve"> Ако се поред наведених екстерних фактора узму у обзир стабилне цијене хране и комуналија </w:t>
      </w:r>
      <w:r w:rsidRPr="00EA0FD7">
        <w:rPr>
          <w:rFonts w:ascii="Times New Roman" w:eastAsia="Times New Roman" w:hAnsi="Times New Roman" w:cs="Times New Roman"/>
          <w:sz w:val="24"/>
          <w:szCs w:val="24"/>
          <w:lang w:val="sr-Cyrl-RS" w:eastAsia="hr-HR"/>
        </w:rPr>
        <w:t>у Босни и Херцеговини у 2023. години се може очекивати инфлација од 1,8% г/г.</w:t>
      </w:r>
      <w:r w:rsidRPr="00AE5455">
        <w:rPr>
          <w:rFonts w:ascii="Times New Roman" w:eastAsia="Times New Roman" w:hAnsi="Times New Roman" w:cs="Times New Roman"/>
          <w:sz w:val="24"/>
          <w:szCs w:val="24"/>
          <w:vertAlign w:val="superscript"/>
          <w:lang w:val="sr-Cyrl-RS" w:eastAsia="bs-Latn-BA"/>
        </w:rPr>
        <w:footnoteReference w:id="16"/>
      </w:r>
    </w:p>
    <w:p w14:paraId="7670A4E5"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5A72CD57" w14:textId="3AC3CE0F" w:rsidR="00EA0FD7" w:rsidRPr="00EA0FD7" w:rsidRDefault="00EA0FD7" w:rsidP="00EA0FD7">
      <w:pPr>
        <w:spacing w:after="0" w:line="240" w:lineRule="auto"/>
        <w:jc w:val="both"/>
        <w:rPr>
          <w:rFonts w:ascii="Times New Roman" w:eastAsia="Calibri" w:hAnsi="Times New Roman" w:cs="Times New Roman"/>
          <w:sz w:val="24"/>
          <w:szCs w:val="24"/>
          <w:lang w:val="sr-Cyrl-RS"/>
        </w:rPr>
      </w:pPr>
      <w:r w:rsidRPr="00EA0FD7">
        <w:rPr>
          <w:rFonts w:ascii="Times New Roman" w:eastAsia="Calibri" w:hAnsi="Times New Roman" w:cs="Times New Roman"/>
          <w:sz w:val="24"/>
          <w:szCs w:val="24"/>
          <w:lang w:val="sr-Cyrl-RS"/>
        </w:rPr>
        <w:t>Пројекције инфлације у Босни и Херцеговини у периоду 2024</w:t>
      </w:r>
      <w:r w:rsidR="00AE5455">
        <w:rPr>
          <w:rFonts w:ascii="Times New Roman" w:eastAsia="Calibri" w:hAnsi="Times New Roman" w:cs="Times New Roman"/>
          <w:sz w:val="24"/>
          <w:szCs w:val="24"/>
          <w:lang w:val="sr-Cyrl-RS"/>
        </w:rPr>
        <w:t>–</w:t>
      </w:r>
      <w:r w:rsidRPr="00EA0FD7">
        <w:rPr>
          <w:rFonts w:ascii="Times New Roman" w:eastAsia="Calibri" w:hAnsi="Times New Roman" w:cs="Times New Roman"/>
          <w:sz w:val="24"/>
          <w:szCs w:val="24"/>
          <w:lang w:val="sr-Cyrl-RS"/>
        </w:rPr>
        <w:t>2025. године су такође засноване на нижим цијенама енергената (првенствено сирове нафте) на свјетском тржишту, као и хране без значајнијих промјена цијена комуналија. ЕЦБ предвиђа да би инфлација у е</w:t>
      </w:r>
      <w:r w:rsidR="00AE5455">
        <w:rPr>
          <w:rFonts w:ascii="Times New Roman" w:eastAsia="Calibri" w:hAnsi="Times New Roman" w:cs="Times New Roman"/>
          <w:sz w:val="24"/>
          <w:szCs w:val="24"/>
          <w:lang w:val="sr-Cyrl-RS"/>
        </w:rPr>
        <w:t>в</w:t>
      </w:r>
      <w:r w:rsidRPr="00EA0FD7">
        <w:rPr>
          <w:rFonts w:ascii="Times New Roman" w:eastAsia="Calibri" w:hAnsi="Times New Roman" w:cs="Times New Roman"/>
          <w:sz w:val="24"/>
          <w:szCs w:val="24"/>
          <w:lang w:val="sr-Cyrl-RS"/>
        </w:rPr>
        <w:t>ро</w:t>
      </w:r>
      <w:r w:rsidR="00AE5455">
        <w:rPr>
          <w:rFonts w:ascii="Times New Roman" w:eastAsia="Calibri" w:hAnsi="Times New Roman" w:cs="Times New Roman"/>
          <w:sz w:val="24"/>
          <w:szCs w:val="24"/>
          <w:lang w:val="sr-Cyrl-RS"/>
        </w:rPr>
        <w:t xml:space="preserve"> </w:t>
      </w:r>
      <w:r w:rsidRPr="00EA0FD7">
        <w:rPr>
          <w:rFonts w:ascii="Times New Roman" w:eastAsia="Calibri" w:hAnsi="Times New Roman" w:cs="Times New Roman"/>
          <w:sz w:val="24"/>
          <w:szCs w:val="24"/>
          <w:lang w:val="sr-Cyrl-RS"/>
        </w:rPr>
        <w:t>зони могла износити 1,9% у 2024. години уз смањење цијена сирове нафте за 6,2% г/г. Када је у питању кретање индекса хране на свјетском тржишту, посљедње расположиве пројекције</w:t>
      </w:r>
      <w:r w:rsidRPr="00AE5455">
        <w:rPr>
          <w:rFonts w:ascii="Times New Roman" w:eastAsia="Calibri" w:hAnsi="Times New Roman" w:cs="Times New Roman"/>
          <w:sz w:val="24"/>
          <w:szCs w:val="24"/>
          <w:vertAlign w:val="superscript"/>
          <w:lang w:val="sr-Cyrl-RS"/>
        </w:rPr>
        <w:footnoteReference w:id="17"/>
      </w:r>
      <w:r w:rsidRPr="00EA0FD7">
        <w:rPr>
          <w:rFonts w:ascii="Times New Roman" w:eastAsia="Calibri" w:hAnsi="Times New Roman" w:cs="Times New Roman"/>
          <w:sz w:val="24"/>
          <w:szCs w:val="24"/>
          <w:lang w:val="sr-Cyrl-RS"/>
        </w:rPr>
        <w:t xml:space="preserve"> Свјетске банке указују да би индекс цијена хране могао бити мањи око 1% г/г у периоду </w:t>
      </w:r>
      <w:r w:rsidR="00AE5455">
        <w:rPr>
          <w:rFonts w:ascii="Times New Roman" w:eastAsia="Calibri" w:hAnsi="Times New Roman" w:cs="Times New Roman"/>
          <w:sz w:val="24"/>
          <w:szCs w:val="24"/>
          <w:lang w:val="sr-Cyrl-RS"/>
        </w:rPr>
        <w:t xml:space="preserve">             </w:t>
      </w:r>
      <w:r w:rsidRPr="00EA0FD7">
        <w:rPr>
          <w:rFonts w:ascii="Times New Roman" w:eastAsia="Calibri" w:hAnsi="Times New Roman" w:cs="Times New Roman"/>
          <w:sz w:val="24"/>
          <w:szCs w:val="24"/>
          <w:lang w:val="sr-Cyrl-RS"/>
        </w:rPr>
        <w:t>2024</w:t>
      </w:r>
      <w:r w:rsidR="00AE5455">
        <w:rPr>
          <w:rFonts w:ascii="Times New Roman" w:eastAsia="Calibri" w:hAnsi="Times New Roman" w:cs="Times New Roman"/>
          <w:sz w:val="24"/>
          <w:szCs w:val="24"/>
          <w:lang w:val="sr-Cyrl-RS"/>
        </w:rPr>
        <w:t>–</w:t>
      </w:r>
      <w:r w:rsidRPr="00EA0FD7">
        <w:rPr>
          <w:rFonts w:ascii="Times New Roman" w:eastAsia="Calibri" w:hAnsi="Times New Roman" w:cs="Times New Roman"/>
          <w:sz w:val="24"/>
          <w:szCs w:val="24"/>
          <w:lang w:val="sr-Cyrl-RS"/>
        </w:rPr>
        <w:t>2025. године. На основу наведеног у Босни и Херцеговини може</w:t>
      </w:r>
      <w:r w:rsidR="00AE5455">
        <w:rPr>
          <w:rFonts w:ascii="Times New Roman" w:eastAsia="Calibri" w:hAnsi="Times New Roman" w:cs="Times New Roman"/>
          <w:sz w:val="24"/>
          <w:szCs w:val="24"/>
          <w:lang w:val="sr-Cyrl-RS"/>
        </w:rPr>
        <w:t xml:space="preserve"> се</w:t>
      </w:r>
      <w:r w:rsidRPr="00EA0FD7">
        <w:rPr>
          <w:rFonts w:ascii="Times New Roman" w:eastAsia="Calibri" w:hAnsi="Times New Roman" w:cs="Times New Roman"/>
          <w:sz w:val="24"/>
          <w:szCs w:val="24"/>
          <w:lang w:val="sr-Cyrl-RS"/>
        </w:rPr>
        <w:t xml:space="preserve"> очекивати умјерен раст цијена у 2024. и 2025. години од 1,7% односно 1,5% респективно.</w:t>
      </w:r>
    </w:p>
    <w:p w14:paraId="013C6F0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67C3304"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5BDE144"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Ризици</w:t>
      </w:r>
    </w:p>
    <w:p w14:paraId="4077D79C" w14:textId="77777777" w:rsidR="00EA0FD7" w:rsidRPr="00EA0FD7" w:rsidRDefault="00EA0FD7" w:rsidP="00EA0FD7">
      <w:pPr>
        <w:spacing w:after="0" w:line="240" w:lineRule="auto"/>
        <w:jc w:val="center"/>
        <w:rPr>
          <w:rFonts w:ascii="Times New Roman" w:eastAsia="Times New Roman" w:hAnsi="Times New Roman" w:cs="Times New Roman"/>
          <w:b/>
          <w:bCs/>
          <w:sz w:val="24"/>
          <w:szCs w:val="24"/>
          <w:lang w:val="sr-Cyrl-RS" w:eastAsia="hr-HR"/>
        </w:rPr>
      </w:pPr>
    </w:p>
    <w:p w14:paraId="50975775" w14:textId="7D9470EB"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Основни ризици за пројекције инфлације подијељени су на екстерне и домаће факторе. Један од доминантних фактора који би могао утицати на цијене у 2022. години јесу дешавања између Украјине и Русије. С тим у вези ЕЦБ је представила два сценарија (неповољни и озбиљни) који уједно представљају ризике за основне пројекције инфлације (додатни раст инфлације за 1-2 п.</w:t>
      </w:r>
      <w:r w:rsidR="00AE5455">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п).</w:t>
      </w:r>
      <w:r w:rsidRPr="00AE5455">
        <w:rPr>
          <w:rFonts w:ascii="Times New Roman" w:eastAsia="Times New Roman" w:hAnsi="Times New Roman" w:cs="Times New Roman"/>
          <w:sz w:val="24"/>
          <w:szCs w:val="24"/>
          <w:vertAlign w:val="superscript"/>
          <w:lang w:val="sr-Cyrl-RS" w:eastAsia="hr-HR"/>
        </w:rPr>
        <w:footnoteReference w:id="18"/>
      </w:r>
      <w:r w:rsidRPr="00EA0FD7">
        <w:rPr>
          <w:rFonts w:ascii="Times New Roman" w:eastAsia="Times New Roman" w:hAnsi="Times New Roman" w:cs="Times New Roman"/>
          <w:sz w:val="24"/>
          <w:szCs w:val="24"/>
          <w:lang w:val="sr-Cyrl-RS" w:eastAsia="hr-HR"/>
        </w:rPr>
        <w:t xml:space="preserve"> Неповољни сценарио претпоставља престанак испоруке руског гаса Европи што се може само дјелимично надокнадити кориш</w:t>
      </w:r>
      <w:r w:rsidR="00AE5455">
        <w:rPr>
          <w:rFonts w:ascii="Times New Roman" w:eastAsia="Times New Roman" w:hAnsi="Times New Roman" w:cs="Times New Roman"/>
          <w:sz w:val="24"/>
          <w:szCs w:val="24"/>
          <w:lang w:val="sr-Cyrl-RS" w:eastAsia="hr-HR"/>
        </w:rPr>
        <w:t>ћ</w:t>
      </w:r>
      <w:r w:rsidRPr="00EA0FD7">
        <w:rPr>
          <w:rFonts w:ascii="Times New Roman" w:eastAsia="Times New Roman" w:hAnsi="Times New Roman" w:cs="Times New Roman"/>
          <w:sz w:val="24"/>
          <w:szCs w:val="24"/>
          <w:lang w:val="sr-Cyrl-RS" w:eastAsia="hr-HR"/>
        </w:rPr>
        <w:t>ењем других извора енергије. Таква дешавања би повећала цијене гаса, а истовремено снабдијевање нафтом из Русије би могло бити озбиљно поремећено уз додатни раст цијена овог енергента. Озбиљни сценариј</w:t>
      </w:r>
      <w:r w:rsidR="00AE5455">
        <w:rPr>
          <w:rFonts w:ascii="Times New Roman" w:eastAsia="Times New Roman" w:hAnsi="Times New Roman" w:cs="Times New Roman"/>
          <w:sz w:val="24"/>
          <w:szCs w:val="24"/>
          <w:lang w:val="sr-Cyrl-RS" w:eastAsia="hr-HR"/>
        </w:rPr>
        <w:t>ум</w:t>
      </w:r>
      <w:r w:rsidRPr="00EA0FD7">
        <w:rPr>
          <w:rFonts w:ascii="Times New Roman" w:eastAsia="Times New Roman" w:hAnsi="Times New Roman" w:cs="Times New Roman"/>
          <w:sz w:val="24"/>
          <w:szCs w:val="24"/>
          <w:lang w:val="sr-Cyrl-RS" w:eastAsia="hr-HR"/>
        </w:rPr>
        <w:t xml:space="preserve"> поред свега наведеног подразумијева трајнији раст цијена роба јер се претпоставља да руски плин није у потпуности замјењив у периоду на који се односе пројекције. Такође би дошло до значајнијег раста цијена нафте што би у коначници довело до раста инфлације. Супротно, </w:t>
      </w:r>
      <w:r w:rsidRPr="00EA0FD7">
        <w:rPr>
          <w:rFonts w:ascii="Times New Roman" w:eastAsia="Times New Roman" w:hAnsi="Times New Roman" w:cs="Times New Roman"/>
          <w:sz w:val="24"/>
          <w:szCs w:val="24"/>
          <w:lang w:val="sr-Cyrl-RS" w:eastAsia="ar-SA"/>
        </w:rPr>
        <w:t>међу домаћим факторима који би могли да утичу на ниво инфлације (према доле) у 2022. години су евентуално привремено (полугодишње) укидање акциза на горива, смањење стопе ПДВ-а на одређене животне намирнице као и повећење стопе ПДВ-а на одређене луксузне робе. Поред тога, основне пројекције нису обухватиле ризике попут</w:t>
      </w:r>
      <w:r w:rsidRPr="00EA0FD7">
        <w:rPr>
          <w:rFonts w:ascii="Times New Roman" w:eastAsia="Times New Roman" w:hAnsi="Times New Roman" w:cs="Times New Roman"/>
          <w:sz w:val="24"/>
          <w:szCs w:val="24"/>
          <w:lang w:val="sr-Cyrl-RS" w:eastAsia="hr-HR"/>
        </w:rPr>
        <w:t xml:space="preserve"> непредвиђеног раста цијене комуналија, а које би могле довести до промјене инфлације.</w:t>
      </w:r>
    </w:p>
    <w:p w14:paraId="590310E6"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5AC28E2"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8A9646F" w14:textId="77777777" w:rsidR="00EA0FD7" w:rsidRPr="00EA0FD7" w:rsidRDefault="00EA0FD7" w:rsidP="00EA0FD7">
      <w:pPr>
        <w:spacing w:after="0" w:line="240" w:lineRule="auto"/>
        <w:jc w:val="center"/>
        <w:rPr>
          <w:rFonts w:ascii="Times New Roman" w:eastAsia="Times New Roman" w:hAnsi="Times New Roman" w:cs="Times New Roman"/>
          <w:b/>
          <w:bCs/>
          <w:sz w:val="24"/>
          <w:szCs w:val="24"/>
          <w:u w:val="single"/>
          <w:lang w:val="sr-Cyrl-RS" w:eastAsia="hr-HR"/>
        </w:rPr>
      </w:pPr>
      <w:r w:rsidRPr="00EA0FD7">
        <w:rPr>
          <w:rFonts w:ascii="Times New Roman" w:eastAsia="Times New Roman" w:hAnsi="Times New Roman" w:cs="Times New Roman"/>
          <w:b/>
          <w:bCs/>
          <w:sz w:val="24"/>
          <w:szCs w:val="24"/>
          <w:u w:val="single"/>
          <w:lang w:val="sr-Cyrl-RS" w:eastAsia="hr-HR"/>
        </w:rPr>
        <w:t>Банкарски сектор</w:t>
      </w:r>
    </w:p>
    <w:p w14:paraId="357EB33E"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58AF1ED9" w14:textId="1D5358B8"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bCs/>
          <w:sz w:val="24"/>
          <w:szCs w:val="24"/>
          <w:lang w:val="sr-Cyrl-RS" w:eastAsia="hr-HR"/>
        </w:rPr>
        <w:t>Прогноза кретања раста банкарских кредита и депозита у 2022</w:t>
      </w:r>
      <w:r w:rsidR="00AE5455">
        <w:rPr>
          <w:rFonts w:ascii="Times New Roman" w:eastAsia="Times New Roman" w:hAnsi="Times New Roman" w:cs="Times New Roman"/>
          <w:b/>
          <w:bCs/>
          <w:sz w:val="24"/>
          <w:szCs w:val="24"/>
          <w:lang w:val="sr-Cyrl-RS" w:eastAsia="hr-HR"/>
        </w:rPr>
        <w:t>–</w:t>
      </w:r>
      <w:r w:rsidRPr="00EA0FD7">
        <w:rPr>
          <w:rFonts w:ascii="Times New Roman" w:eastAsia="Times New Roman" w:hAnsi="Times New Roman" w:cs="Times New Roman"/>
          <w:b/>
          <w:bCs/>
          <w:sz w:val="24"/>
          <w:szCs w:val="24"/>
          <w:lang w:val="sr-Cyrl-RS" w:eastAsia="hr-HR"/>
        </w:rPr>
        <w:t>2025. години</w:t>
      </w:r>
    </w:p>
    <w:p w14:paraId="513F560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5D52E28" w14:textId="2346DB45"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Кредитни раст т</w:t>
      </w:r>
      <w:r w:rsidR="00AE5455">
        <w:rPr>
          <w:rFonts w:ascii="Times New Roman" w:eastAsia="Times New Roman" w:hAnsi="Times New Roman" w:cs="Times New Roman"/>
          <w:sz w:val="24"/>
          <w:szCs w:val="24"/>
          <w:lang w:val="sr-Cyrl-RS" w:eastAsia="hr-HR"/>
        </w:rPr>
        <w:t>о</w:t>
      </w:r>
      <w:r w:rsidRPr="00EA0FD7">
        <w:rPr>
          <w:rFonts w:ascii="Times New Roman" w:eastAsia="Times New Roman" w:hAnsi="Times New Roman" w:cs="Times New Roman"/>
          <w:sz w:val="24"/>
          <w:szCs w:val="24"/>
          <w:lang w:val="sr-Cyrl-RS" w:eastAsia="hr-HR"/>
        </w:rPr>
        <w:t>ком 2021.</w:t>
      </w:r>
      <w:r w:rsidR="00AE5455">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године остварио је умјерену стопу раста и дјел</w:t>
      </w:r>
      <w:r w:rsidR="00AE5455">
        <w:rPr>
          <w:rFonts w:ascii="Times New Roman" w:eastAsia="Times New Roman" w:hAnsi="Times New Roman" w:cs="Times New Roman"/>
          <w:sz w:val="24"/>
          <w:szCs w:val="24"/>
          <w:lang w:val="sr-Cyrl-RS" w:eastAsia="hr-HR"/>
        </w:rPr>
        <w:t>и</w:t>
      </w:r>
      <w:r w:rsidRPr="00EA0FD7">
        <w:rPr>
          <w:rFonts w:ascii="Times New Roman" w:eastAsia="Times New Roman" w:hAnsi="Times New Roman" w:cs="Times New Roman"/>
          <w:sz w:val="24"/>
          <w:szCs w:val="24"/>
          <w:lang w:val="sr-Cyrl-RS" w:eastAsia="hr-HR"/>
        </w:rPr>
        <w:t>мични опоравак кредитне активности у сегменту становништва чија се стопа кредитног раста приближила претпандемијским стопама раста. Укупан кредитни раст на крају четвртог тромјесечја 2021. године је износио 3,6% г/г вођен прије свега растом кредита становништва чија стопа је износила 5,5% г/г. За разлику од становништва,</w:t>
      </w:r>
      <w:r w:rsidR="00AE5455">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сектор нефинан</w:t>
      </w:r>
      <w:r w:rsidR="00AE5455">
        <w:rPr>
          <w:rFonts w:ascii="Times New Roman" w:eastAsia="Times New Roman" w:hAnsi="Times New Roman" w:cs="Times New Roman"/>
          <w:sz w:val="24"/>
          <w:szCs w:val="24"/>
          <w:lang w:val="sr-Cyrl-RS" w:eastAsia="hr-HR"/>
        </w:rPr>
        <w:t>с</w:t>
      </w:r>
      <w:r w:rsidRPr="00EA0FD7">
        <w:rPr>
          <w:rFonts w:ascii="Times New Roman" w:eastAsia="Times New Roman" w:hAnsi="Times New Roman" w:cs="Times New Roman"/>
          <w:sz w:val="24"/>
          <w:szCs w:val="24"/>
          <w:lang w:val="sr-Cyrl-RS" w:eastAsia="hr-HR"/>
        </w:rPr>
        <w:t>ијских приватних п</w:t>
      </w:r>
      <w:r w:rsidR="00AE5455">
        <w:rPr>
          <w:rFonts w:ascii="Times New Roman" w:eastAsia="Times New Roman" w:hAnsi="Times New Roman" w:cs="Times New Roman"/>
          <w:sz w:val="24"/>
          <w:szCs w:val="24"/>
          <w:lang w:val="sr-Cyrl-RS" w:eastAsia="hr-HR"/>
        </w:rPr>
        <w:t>ре</w:t>
      </w:r>
      <w:r w:rsidRPr="00EA0FD7">
        <w:rPr>
          <w:rFonts w:ascii="Times New Roman" w:eastAsia="Times New Roman" w:hAnsi="Times New Roman" w:cs="Times New Roman"/>
          <w:sz w:val="24"/>
          <w:szCs w:val="24"/>
          <w:lang w:val="sr-Cyrl-RS" w:eastAsia="hr-HR"/>
        </w:rPr>
        <w:t>дузећа имао је спорији опоравак кредитне активности те је на крају четвртог тромјесечја забиљежио стопу раста од 2,2% г/г. За разлику од кредитне активности, нефинан</w:t>
      </w:r>
      <w:r w:rsidR="00AE5455">
        <w:rPr>
          <w:rFonts w:ascii="Times New Roman" w:eastAsia="Times New Roman" w:hAnsi="Times New Roman" w:cs="Times New Roman"/>
          <w:sz w:val="24"/>
          <w:szCs w:val="24"/>
          <w:lang w:val="sr-Cyrl-RS" w:eastAsia="hr-HR"/>
        </w:rPr>
        <w:t>с</w:t>
      </w:r>
      <w:r w:rsidRPr="00EA0FD7">
        <w:rPr>
          <w:rFonts w:ascii="Times New Roman" w:eastAsia="Times New Roman" w:hAnsi="Times New Roman" w:cs="Times New Roman"/>
          <w:sz w:val="24"/>
          <w:szCs w:val="24"/>
          <w:lang w:val="sr-Cyrl-RS" w:eastAsia="hr-HR"/>
        </w:rPr>
        <w:t>ијска приватна п</w:t>
      </w:r>
      <w:r w:rsidR="00AE5455">
        <w:rPr>
          <w:rFonts w:ascii="Times New Roman" w:eastAsia="Times New Roman" w:hAnsi="Times New Roman" w:cs="Times New Roman"/>
          <w:sz w:val="24"/>
          <w:szCs w:val="24"/>
          <w:lang w:val="sr-Cyrl-RS" w:eastAsia="hr-HR"/>
        </w:rPr>
        <w:t>ре</w:t>
      </w:r>
      <w:r w:rsidRPr="00EA0FD7">
        <w:rPr>
          <w:rFonts w:ascii="Times New Roman" w:eastAsia="Times New Roman" w:hAnsi="Times New Roman" w:cs="Times New Roman"/>
          <w:sz w:val="24"/>
          <w:szCs w:val="24"/>
          <w:lang w:val="sr-Cyrl-RS" w:eastAsia="hr-HR"/>
        </w:rPr>
        <w:t>дузећа биљеже континуирано веће стопе раста депозита које су т</w:t>
      </w:r>
      <w:r w:rsidR="00AE5455">
        <w:rPr>
          <w:rFonts w:ascii="Times New Roman" w:eastAsia="Times New Roman" w:hAnsi="Times New Roman" w:cs="Times New Roman"/>
          <w:sz w:val="24"/>
          <w:szCs w:val="24"/>
          <w:lang w:val="sr-Cyrl-RS" w:eastAsia="hr-HR"/>
        </w:rPr>
        <w:t>о</w:t>
      </w:r>
      <w:r w:rsidRPr="00EA0FD7">
        <w:rPr>
          <w:rFonts w:ascii="Times New Roman" w:eastAsia="Times New Roman" w:hAnsi="Times New Roman" w:cs="Times New Roman"/>
          <w:sz w:val="24"/>
          <w:szCs w:val="24"/>
          <w:lang w:val="sr-Cyrl-RS" w:eastAsia="hr-HR"/>
        </w:rPr>
        <w:t>ком цијеле 2021.</w:t>
      </w:r>
      <w:r w:rsidR="00AE5455">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године биле двознаменкасте (на крају четвртог тромјесечја 2021.године стопа раста депозита била је 17,6% г/г). За разлику од 2020. године када је сектор становништва имао значајно успоравање стопе раста депозита, у 2021.години долази до опоравка у овом сектору те је стопа раста, иако још увијек нижа него прије пандемије, износила 6,8% г/г на крају 2021. године. У 2021. години постојао је висок ст</w:t>
      </w:r>
      <w:r w:rsidR="00AE5455">
        <w:rPr>
          <w:rFonts w:ascii="Times New Roman" w:eastAsia="Times New Roman" w:hAnsi="Times New Roman" w:cs="Times New Roman"/>
          <w:sz w:val="24"/>
          <w:szCs w:val="24"/>
          <w:lang w:val="sr-Cyrl-RS" w:eastAsia="hr-HR"/>
        </w:rPr>
        <w:t>епен</w:t>
      </w:r>
      <w:r w:rsidRPr="00EA0FD7">
        <w:rPr>
          <w:rFonts w:ascii="Times New Roman" w:eastAsia="Times New Roman" w:hAnsi="Times New Roman" w:cs="Times New Roman"/>
          <w:sz w:val="24"/>
          <w:szCs w:val="24"/>
          <w:lang w:val="sr-Cyrl-RS" w:eastAsia="hr-HR"/>
        </w:rPr>
        <w:t xml:space="preserve"> пословне неизвјесности повезан са епидемиолошком ситуацијом, поремећајима у домаћој и међународној потражњи и у међународним ланцима снабдијевања и транспорта. Све то имало је одраза на смањену кредитну активност компанија и успоравање раста депозита становништва. Са побољшањем здравствене ситуације, укидањем баријера повезаних с пандемијом долази до знатно већег економског раста у 2021. години који ће се наставити и у 2022. Процјена је да ће у 2022. години доћи до бољег опоравка кредитне активности, али ће због ут</w:t>
      </w:r>
      <w:r w:rsidR="00AE5455">
        <w:rPr>
          <w:rFonts w:ascii="Times New Roman" w:eastAsia="Times New Roman" w:hAnsi="Times New Roman" w:cs="Times New Roman"/>
          <w:sz w:val="24"/>
          <w:szCs w:val="24"/>
          <w:lang w:val="sr-Cyrl-RS" w:eastAsia="hr-HR"/>
        </w:rPr>
        <w:t>и</w:t>
      </w:r>
      <w:r w:rsidRPr="00EA0FD7">
        <w:rPr>
          <w:rFonts w:ascii="Times New Roman" w:eastAsia="Times New Roman" w:hAnsi="Times New Roman" w:cs="Times New Roman"/>
          <w:sz w:val="24"/>
          <w:szCs w:val="24"/>
          <w:lang w:val="sr-Cyrl-RS" w:eastAsia="hr-HR"/>
        </w:rPr>
        <w:t>цаја растуће инфлације која се очекује у овој години та стопа раста бити умјерена и износиће   на крају 2022.</w:t>
      </w:r>
      <w:r w:rsidR="00AE5455">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 xml:space="preserve">године између 3,8-4,8% г/г. У </w:t>
      </w:r>
      <w:r w:rsidR="00AE5455">
        <w:rPr>
          <w:rFonts w:ascii="Times New Roman" w:eastAsia="Times New Roman" w:hAnsi="Times New Roman" w:cs="Times New Roman"/>
          <w:sz w:val="24"/>
          <w:szCs w:val="24"/>
          <w:lang w:val="sr-Cyrl-RS" w:eastAsia="hr-HR"/>
        </w:rPr>
        <w:t>периоду</w:t>
      </w:r>
      <w:r w:rsidRPr="00EA0FD7">
        <w:rPr>
          <w:rFonts w:ascii="Times New Roman" w:eastAsia="Times New Roman" w:hAnsi="Times New Roman" w:cs="Times New Roman"/>
          <w:sz w:val="24"/>
          <w:szCs w:val="24"/>
          <w:lang w:val="sr-Cyrl-RS" w:eastAsia="hr-HR"/>
        </w:rPr>
        <w:t xml:space="preserve"> од 2023</w:t>
      </w:r>
      <w:r w:rsid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2025. године са наставком раста економске активности, стабилизације цијена енергената и побољшања оптимизма инвеститора и потрошача доћи ће до интензивније кредитне активности те би у 2023. години стопа кредитног раста требала достићи </w:t>
      </w:r>
      <w:r w:rsidR="00AE5455">
        <w:rPr>
          <w:rFonts w:ascii="Times New Roman" w:eastAsia="Times New Roman" w:hAnsi="Times New Roman" w:cs="Times New Roman"/>
          <w:sz w:val="24"/>
          <w:szCs w:val="24"/>
          <w:lang w:val="sr-Cyrl-RS" w:eastAsia="hr-HR"/>
        </w:rPr>
        <w:t>нивое</w:t>
      </w:r>
      <w:r w:rsidRPr="00EA0FD7">
        <w:rPr>
          <w:rFonts w:ascii="Times New Roman" w:eastAsia="Times New Roman" w:hAnsi="Times New Roman" w:cs="Times New Roman"/>
          <w:sz w:val="24"/>
          <w:szCs w:val="24"/>
          <w:lang w:val="sr-Cyrl-RS" w:eastAsia="hr-HR"/>
        </w:rPr>
        <w:t xml:space="preserve"> прије пандемије са просјечном стопом раста око 5,5% г/г. За </w:t>
      </w:r>
      <w:r w:rsidR="00AE5455">
        <w:rPr>
          <w:rFonts w:ascii="Times New Roman" w:eastAsia="Times New Roman" w:hAnsi="Times New Roman" w:cs="Times New Roman"/>
          <w:sz w:val="24"/>
          <w:szCs w:val="24"/>
          <w:lang w:val="sr-Cyrl-RS" w:eastAsia="hr-HR"/>
        </w:rPr>
        <w:t>период</w:t>
      </w:r>
      <w:r w:rsidRPr="00EA0FD7">
        <w:rPr>
          <w:rFonts w:ascii="Times New Roman" w:eastAsia="Times New Roman" w:hAnsi="Times New Roman" w:cs="Times New Roman"/>
          <w:sz w:val="24"/>
          <w:szCs w:val="24"/>
          <w:lang w:val="sr-Cyrl-RS" w:eastAsia="hr-HR"/>
        </w:rPr>
        <w:t xml:space="preserve"> 2024</w:t>
      </w:r>
      <w:r w:rsid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2025. године процјена је да ће укупни кредитни раст бити доминантно под ут</w:t>
      </w:r>
      <w:r w:rsidR="00AE5455">
        <w:rPr>
          <w:rFonts w:ascii="Times New Roman" w:eastAsia="Times New Roman" w:hAnsi="Times New Roman" w:cs="Times New Roman"/>
          <w:sz w:val="24"/>
          <w:szCs w:val="24"/>
          <w:lang w:val="sr-Cyrl-RS" w:eastAsia="hr-HR"/>
        </w:rPr>
        <w:t>и</w:t>
      </w:r>
      <w:r w:rsidRPr="00EA0FD7">
        <w:rPr>
          <w:rFonts w:ascii="Times New Roman" w:eastAsia="Times New Roman" w:hAnsi="Times New Roman" w:cs="Times New Roman"/>
          <w:sz w:val="24"/>
          <w:szCs w:val="24"/>
          <w:lang w:val="sr-Cyrl-RS" w:eastAsia="hr-HR"/>
        </w:rPr>
        <w:t>цајем раста кредита нефинан</w:t>
      </w:r>
      <w:r w:rsidR="00AE5455">
        <w:rPr>
          <w:rFonts w:ascii="Times New Roman" w:eastAsia="Times New Roman" w:hAnsi="Times New Roman" w:cs="Times New Roman"/>
          <w:sz w:val="24"/>
          <w:szCs w:val="24"/>
          <w:lang w:val="sr-Cyrl-RS" w:eastAsia="hr-HR"/>
        </w:rPr>
        <w:t>с</w:t>
      </w:r>
      <w:r w:rsidRPr="00EA0FD7">
        <w:rPr>
          <w:rFonts w:ascii="Times New Roman" w:eastAsia="Times New Roman" w:hAnsi="Times New Roman" w:cs="Times New Roman"/>
          <w:sz w:val="24"/>
          <w:szCs w:val="24"/>
          <w:lang w:val="sr-Cyrl-RS" w:eastAsia="hr-HR"/>
        </w:rPr>
        <w:t>ијских п</w:t>
      </w:r>
      <w:r w:rsidR="00AE5455">
        <w:rPr>
          <w:rFonts w:ascii="Times New Roman" w:eastAsia="Times New Roman" w:hAnsi="Times New Roman" w:cs="Times New Roman"/>
          <w:sz w:val="24"/>
          <w:szCs w:val="24"/>
          <w:lang w:val="sr-Cyrl-RS" w:eastAsia="hr-HR"/>
        </w:rPr>
        <w:t>ре</w:t>
      </w:r>
      <w:r w:rsidRPr="00EA0FD7">
        <w:rPr>
          <w:rFonts w:ascii="Times New Roman" w:eastAsia="Times New Roman" w:hAnsi="Times New Roman" w:cs="Times New Roman"/>
          <w:sz w:val="24"/>
          <w:szCs w:val="24"/>
          <w:lang w:val="sr-Cyrl-RS" w:eastAsia="hr-HR"/>
        </w:rPr>
        <w:t>дузећа те ће стопа раста у просјеку бити између 5,8 – 6,5% г/г.</w:t>
      </w:r>
    </w:p>
    <w:p w14:paraId="5E586A8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0FCA201" w14:textId="76DE93A8"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lastRenderedPageBreak/>
        <w:t xml:space="preserve">У 2022. години раст укупних депозита задржаће вишу стопу раста, око 12% г/г због још присутних нестабилности у </w:t>
      </w:r>
      <w:r w:rsidR="00AE5455">
        <w:rPr>
          <w:rFonts w:ascii="Times New Roman" w:eastAsia="Times New Roman" w:hAnsi="Times New Roman" w:cs="Times New Roman"/>
          <w:sz w:val="24"/>
          <w:szCs w:val="24"/>
          <w:lang w:val="sr-Cyrl-RS" w:eastAsia="hr-HR"/>
        </w:rPr>
        <w:t>привредним</w:t>
      </w:r>
      <w:r w:rsidRPr="00EA0FD7">
        <w:rPr>
          <w:rFonts w:ascii="Times New Roman" w:eastAsia="Times New Roman" w:hAnsi="Times New Roman" w:cs="Times New Roman"/>
          <w:sz w:val="24"/>
          <w:szCs w:val="24"/>
          <w:lang w:val="sr-Cyrl-RS" w:eastAsia="hr-HR"/>
        </w:rPr>
        <w:t xml:space="preserve"> кретањима главних економских партнера што ће имати ут</w:t>
      </w:r>
      <w:r w:rsidR="00AE5455">
        <w:rPr>
          <w:rFonts w:ascii="Times New Roman" w:eastAsia="Times New Roman" w:hAnsi="Times New Roman" w:cs="Times New Roman"/>
          <w:sz w:val="24"/>
          <w:szCs w:val="24"/>
          <w:lang w:val="sr-Cyrl-RS" w:eastAsia="hr-HR"/>
        </w:rPr>
        <w:t>и</w:t>
      </w:r>
      <w:r w:rsidRPr="00EA0FD7">
        <w:rPr>
          <w:rFonts w:ascii="Times New Roman" w:eastAsia="Times New Roman" w:hAnsi="Times New Roman" w:cs="Times New Roman"/>
          <w:sz w:val="24"/>
          <w:szCs w:val="24"/>
          <w:lang w:val="sr-Cyrl-RS" w:eastAsia="hr-HR"/>
        </w:rPr>
        <w:t xml:space="preserve">цаја на пословне одлуке компанија те ће оне и у овој години у највећој мјери доприносити расту укупних депозита. За </w:t>
      </w:r>
      <w:r w:rsidR="00AE5455">
        <w:rPr>
          <w:rFonts w:ascii="Times New Roman" w:eastAsia="Times New Roman" w:hAnsi="Times New Roman" w:cs="Times New Roman"/>
          <w:sz w:val="24"/>
          <w:szCs w:val="24"/>
          <w:lang w:val="sr-Cyrl-RS" w:eastAsia="hr-HR"/>
        </w:rPr>
        <w:t>период</w:t>
      </w:r>
      <w:r w:rsidRPr="00EA0FD7">
        <w:rPr>
          <w:rFonts w:ascii="Times New Roman" w:eastAsia="Times New Roman" w:hAnsi="Times New Roman" w:cs="Times New Roman"/>
          <w:sz w:val="24"/>
          <w:szCs w:val="24"/>
          <w:lang w:val="sr-Cyrl-RS" w:eastAsia="hr-HR"/>
        </w:rPr>
        <w:t xml:space="preserve"> 2023</w:t>
      </w:r>
      <w:r w:rsid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2025. године укупни депозити ће расти по умјереним стопама раста које су биле присутне у пре</w:t>
      </w:r>
      <w:r w:rsidR="00AE5455">
        <w:rPr>
          <w:rFonts w:ascii="Times New Roman" w:eastAsia="Times New Roman" w:hAnsi="Times New Roman" w:cs="Times New Roman"/>
          <w:sz w:val="24"/>
          <w:szCs w:val="24"/>
          <w:lang w:val="sr-Cyrl-RS" w:eastAsia="hr-HR"/>
        </w:rPr>
        <w:t>т</w:t>
      </w:r>
      <w:r w:rsidRPr="00EA0FD7">
        <w:rPr>
          <w:rFonts w:ascii="Times New Roman" w:eastAsia="Times New Roman" w:hAnsi="Times New Roman" w:cs="Times New Roman"/>
          <w:sz w:val="24"/>
          <w:szCs w:val="24"/>
          <w:lang w:val="sr-Cyrl-RS" w:eastAsia="hr-HR"/>
        </w:rPr>
        <w:t xml:space="preserve">пандемијском </w:t>
      </w:r>
      <w:r w:rsidR="00AE5455">
        <w:rPr>
          <w:rFonts w:ascii="Times New Roman" w:eastAsia="Times New Roman" w:hAnsi="Times New Roman" w:cs="Times New Roman"/>
          <w:sz w:val="24"/>
          <w:szCs w:val="24"/>
          <w:lang w:val="sr-Cyrl-RS" w:eastAsia="hr-HR"/>
        </w:rPr>
        <w:t>периоду</w:t>
      </w:r>
      <w:r w:rsidRPr="00EA0FD7">
        <w:rPr>
          <w:rFonts w:ascii="Times New Roman" w:eastAsia="Times New Roman" w:hAnsi="Times New Roman" w:cs="Times New Roman"/>
          <w:sz w:val="24"/>
          <w:szCs w:val="24"/>
          <w:lang w:val="sr-Cyrl-RS" w:eastAsia="hr-HR"/>
        </w:rPr>
        <w:t xml:space="preserve"> око 8-9% г/г са већим доприносом од стране сектора становништва док ће депозити не</w:t>
      </w:r>
      <w:r w:rsidR="00AE5455">
        <w:rPr>
          <w:rFonts w:ascii="Times New Roman" w:eastAsia="Times New Roman" w:hAnsi="Times New Roman" w:cs="Times New Roman"/>
          <w:sz w:val="24"/>
          <w:szCs w:val="24"/>
          <w:lang w:val="sr-Cyrl-RS" w:eastAsia="hr-HR"/>
        </w:rPr>
        <w:t>финанс</w:t>
      </w:r>
      <w:r w:rsidRPr="00EA0FD7">
        <w:rPr>
          <w:rFonts w:ascii="Times New Roman" w:eastAsia="Times New Roman" w:hAnsi="Times New Roman" w:cs="Times New Roman"/>
          <w:sz w:val="24"/>
          <w:szCs w:val="24"/>
          <w:lang w:val="sr-Cyrl-RS" w:eastAsia="hr-HR"/>
        </w:rPr>
        <w:t>ијских п</w:t>
      </w:r>
      <w:r w:rsidR="00AE5455">
        <w:rPr>
          <w:rFonts w:ascii="Times New Roman" w:eastAsia="Times New Roman" w:hAnsi="Times New Roman" w:cs="Times New Roman"/>
          <w:sz w:val="24"/>
          <w:szCs w:val="24"/>
          <w:lang w:val="sr-Cyrl-RS" w:eastAsia="hr-HR"/>
        </w:rPr>
        <w:t>ре</w:t>
      </w:r>
      <w:r w:rsidRPr="00EA0FD7">
        <w:rPr>
          <w:rFonts w:ascii="Times New Roman" w:eastAsia="Times New Roman" w:hAnsi="Times New Roman" w:cs="Times New Roman"/>
          <w:sz w:val="24"/>
          <w:szCs w:val="24"/>
          <w:lang w:val="sr-Cyrl-RS" w:eastAsia="hr-HR"/>
        </w:rPr>
        <w:t>дузећа бити за пар постотних бодова мањи с обзиром на повећане инвестици</w:t>
      </w:r>
      <w:r w:rsidR="00AE5455">
        <w:rPr>
          <w:rFonts w:ascii="Times New Roman" w:eastAsia="Times New Roman" w:hAnsi="Times New Roman" w:cs="Times New Roman"/>
          <w:sz w:val="24"/>
          <w:szCs w:val="24"/>
          <w:lang w:val="sr-Cyrl-RS" w:eastAsia="hr-HR"/>
        </w:rPr>
        <w:t>оне</w:t>
      </w:r>
      <w:r w:rsidRPr="00EA0FD7">
        <w:rPr>
          <w:rFonts w:ascii="Times New Roman" w:eastAsia="Times New Roman" w:hAnsi="Times New Roman" w:cs="Times New Roman"/>
          <w:sz w:val="24"/>
          <w:szCs w:val="24"/>
          <w:lang w:val="sr-Cyrl-RS" w:eastAsia="hr-HR"/>
        </w:rPr>
        <w:t xml:space="preserve"> активности.</w:t>
      </w:r>
    </w:p>
    <w:p w14:paraId="76DFC0B9" w14:textId="77777777" w:rsidR="00EA0FD7" w:rsidRPr="00EA0FD7" w:rsidRDefault="00EA0FD7" w:rsidP="00EA0FD7">
      <w:pPr>
        <w:spacing w:after="0" w:line="240" w:lineRule="auto"/>
        <w:jc w:val="center"/>
        <w:rPr>
          <w:rFonts w:ascii="Times New Roman" w:eastAsia="Times New Roman" w:hAnsi="Times New Roman" w:cs="Times New Roman"/>
          <w:b/>
          <w:bCs/>
          <w:sz w:val="24"/>
          <w:szCs w:val="24"/>
          <w:lang w:val="sr-Cyrl-RS" w:eastAsia="hr-HR"/>
        </w:rPr>
      </w:pPr>
    </w:p>
    <w:p w14:paraId="00F17A8A" w14:textId="77777777" w:rsidR="00EA0FD7" w:rsidRPr="00EA0FD7" w:rsidRDefault="00EA0FD7" w:rsidP="00EA0FD7">
      <w:pPr>
        <w:spacing w:after="0" w:line="240" w:lineRule="auto"/>
        <w:jc w:val="center"/>
        <w:rPr>
          <w:rFonts w:ascii="Times New Roman" w:eastAsia="Times New Roman" w:hAnsi="Times New Roman" w:cs="Times New Roman"/>
          <w:b/>
          <w:bCs/>
          <w:sz w:val="24"/>
          <w:szCs w:val="24"/>
          <w:lang w:val="sr-Cyrl-RS" w:eastAsia="hr-HR"/>
        </w:rPr>
      </w:pPr>
    </w:p>
    <w:p w14:paraId="4AF6AC6A"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Ризици</w:t>
      </w:r>
    </w:p>
    <w:p w14:paraId="744145C2" w14:textId="77777777" w:rsidR="00EA0FD7" w:rsidRPr="00EA0FD7" w:rsidRDefault="00EA0FD7" w:rsidP="00EA0FD7">
      <w:pPr>
        <w:spacing w:after="0" w:line="240" w:lineRule="auto"/>
        <w:jc w:val="center"/>
        <w:rPr>
          <w:rFonts w:ascii="Times New Roman" w:eastAsia="Times New Roman" w:hAnsi="Times New Roman" w:cs="Times New Roman"/>
          <w:b/>
          <w:bCs/>
          <w:sz w:val="24"/>
          <w:szCs w:val="24"/>
          <w:lang w:val="sr-Cyrl-RS" w:eastAsia="hr-HR"/>
        </w:rPr>
      </w:pPr>
    </w:p>
    <w:p w14:paraId="071E1453" w14:textId="7AC81E6C"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Потенцијални ризици односе се на економске притиске ван тржишта Босне и Херцеговине, а који би се могли одразити и на домаће пословање и могли би довести до пада потражње за кредитима од стране не</w:t>
      </w:r>
      <w:r w:rsidR="00AE5455">
        <w:rPr>
          <w:rFonts w:ascii="Times New Roman" w:eastAsia="Times New Roman" w:hAnsi="Times New Roman" w:cs="Times New Roman"/>
          <w:sz w:val="24"/>
          <w:szCs w:val="24"/>
          <w:lang w:val="sr-Cyrl-RS" w:eastAsia="hr-HR"/>
        </w:rPr>
        <w:t>финанс</w:t>
      </w:r>
      <w:r w:rsidRPr="00EA0FD7">
        <w:rPr>
          <w:rFonts w:ascii="Times New Roman" w:eastAsia="Times New Roman" w:hAnsi="Times New Roman" w:cs="Times New Roman"/>
          <w:sz w:val="24"/>
          <w:szCs w:val="24"/>
          <w:lang w:val="sr-Cyrl-RS" w:eastAsia="hr-HR"/>
        </w:rPr>
        <w:t>ијских п</w:t>
      </w:r>
      <w:r w:rsidR="00AE5455">
        <w:rPr>
          <w:rFonts w:ascii="Times New Roman" w:eastAsia="Times New Roman" w:hAnsi="Times New Roman" w:cs="Times New Roman"/>
          <w:sz w:val="24"/>
          <w:szCs w:val="24"/>
          <w:lang w:val="sr-Cyrl-RS" w:eastAsia="hr-HR"/>
        </w:rPr>
        <w:t>ре</w:t>
      </w:r>
      <w:r w:rsidRPr="00EA0FD7">
        <w:rPr>
          <w:rFonts w:ascii="Times New Roman" w:eastAsia="Times New Roman" w:hAnsi="Times New Roman" w:cs="Times New Roman"/>
          <w:sz w:val="24"/>
          <w:szCs w:val="24"/>
          <w:lang w:val="sr-Cyrl-RS" w:eastAsia="hr-HR"/>
        </w:rPr>
        <w:t>дузећа, али и до смањења кредитне активности становништва усљед раста несигурности и штедње из опреза што би у коначници смањило укупни кредитни раст. Претпостављене стопе раста депозита такођер би се могле мијењати због потенцијалног раста неизвјесности у пословању што би мотиви</w:t>
      </w:r>
      <w:r w:rsidR="00AE5455">
        <w:rPr>
          <w:rFonts w:ascii="Times New Roman" w:eastAsia="Times New Roman" w:hAnsi="Times New Roman" w:cs="Times New Roman"/>
          <w:sz w:val="24"/>
          <w:szCs w:val="24"/>
          <w:lang w:val="sr-Cyrl-RS" w:eastAsia="hr-HR"/>
        </w:rPr>
        <w:t>с</w:t>
      </w:r>
      <w:r w:rsidRPr="00EA0FD7">
        <w:rPr>
          <w:rFonts w:ascii="Times New Roman" w:eastAsia="Times New Roman" w:hAnsi="Times New Roman" w:cs="Times New Roman"/>
          <w:sz w:val="24"/>
          <w:szCs w:val="24"/>
          <w:lang w:val="sr-Cyrl-RS" w:eastAsia="hr-HR"/>
        </w:rPr>
        <w:t>ало компаније на веће стопе задржавања депозита у односу на стопе раста инвестици</w:t>
      </w:r>
      <w:r w:rsidR="00AE5455">
        <w:rPr>
          <w:rFonts w:ascii="Times New Roman" w:eastAsia="Times New Roman" w:hAnsi="Times New Roman" w:cs="Times New Roman"/>
          <w:sz w:val="24"/>
          <w:szCs w:val="24"/>
          <w:lang w:val="sr-Cyrl-RS" w:eastAsia="hr-HR"/>
        </w:rPr>
        <w:t>оних</w:t>
      </w:r>
      <w:r w:rsidRPr="00EA0FD7">
        <w:rPr>
          <w:rFonts w:ascii="Times New Roman" w:eastAsia="Times New Roman" w:hAnsi="Times New Roman" w:cs="Times New Roman"/>
          <w:sz w:val="24"/>
          <w:szCs w:val="24"/>
          <w:lang w:val="sr-Cyrl-RS" w:eastAsia="hr-HR"/>
        </w:rPr>
        <w:t xml:space="preserve"> активности као и могућег поновног смањења стопе раста депозита у сектору становништва због могућег ризика измјене стања на тржиш</w:t>
      </w:r>
      <w:r w:rsidR="00AE5455">
        <w:rPr>
          <w:rFonts w:ascii="Times New Roman" w:eastAsia="Times New Roman" w:hAnsi="Times New Roman" w:cs="Times New Roman"/>
          <w:sz w:val="24"/>
          <w:szCs w:val="24"/>
          <w:lang w:val="sr-Cyrl-RS" w:eastAsia="hr-HR"/>
        </w:rPr>
        <w:t>т</w:t>
      </w:r>
      <w:r w:rsidRPr="00EA0FD7">
        <w:rPr>
          <w:rFonts w:ascii="Times New Roman" w:eastAsia="Times New Roman" w:hAnsi="Times New Roman" w:cs="Times New Roman"/>
          <w:sz w:val="24"/>
          <w:szCs w:val="24"/>
          <w:lang w:val="sr-Cyrl-RS" w:eastAsia="hr-HR"/>
        </w:rPr>
        <w:t>у рада и расположивог дохотка.</w:t>
      </w:r>
    </w:p>
    <w:p w14:paraId="27FE568C"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34AFAA5"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E7E7836" w14:textId="6E125E64" w:rsidR="00EA0FD7" w:rsidRPr="00EA0FD7" w:rsidRDefault="00AE5455" w:rsidP="00EA0FD7">
      <w:pPr>
        <w:keepNext/>
        <w:spacing w:after="0" w:line="240" w:lineRule="auto"/>
        <w:outlineLvl w:val="0"/>
        <w:rPr>
          <w:rFonts w:ascii="Times New Roman" w:eastAsia="Times New Roman" w:hAnsi="Times New Roman" w:cs="Times New Roman"/>
          <w:b/>
          <w:kern w:val="24"/>
          <w:sz w:val="24"/>
          <w:szCs w:val="24"/>
          <w:u w:val="single"/>
          <w:lang w:val="sr-Cyrl-RS" w:eastAsia="hr-HR"/>
        </w:rPr>
      </w:pPr>
      <w:r>
        <w:rPr>
          <w:rFonts w:ascii="Times New Roman" w:eastAsia="Times New Roman" w:hAnsi="Times New Roman" w:cs="Times New Roman"/>
          <w:b/>
          <w:kern w:val="24"/>
          <w:sz w:val="24"/>
          <w:szCs w:val="24"/>
          <w:u w:val="single"/>
          <w:lang w:val="sr-Cyrl-RS" w:eastAsia="hr-HR"/>
        </w:rPr>
        <w:t>Спољни</w:t>
      </w:r>
      <w:r w:rsidR="00EA0FD7" w:rsidRPr="00EA0FD7">
        <w:rPr>
          <w:rFonts w:ascii="Times New Roman" w:eastAsia="Times New Roman" w:hAnsi="Times New Roman" w:cs="Times New Roman"/>
          <w:b/>
          <w:kern w:val="24"/>
          <w:sz w:val="24"/>
          <w:szCs w:val="24"/>
          <w:u w:val="single"/>
          <w:lang w:val="sr-Cyrl-RS" w:eastAsia="hr-HR"/>
        </w:rPr>
        <w:t xml:space="preserve"> сектор</w:t>
      </w:r>
    </w:p>
    <w:p w14:paraId="64D69B83"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p>
    <w:p w14:paraId="1818E003"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p>
    <w:p w14:paraId="0D568A64"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Платни биланс Босне и Херцеговине</w:t>
      </w:r>
    </w:p>
    <w:p w14:paraId="4C07D3C0"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63535A25" w14:textId="70CB15B3"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Подаци из платног биланса Босне и Херцеговине за период К1-К3 2021. године (који су били расположиви у тренутку писања пројекција)</w:t>
      </w:r>
      <w:r w:rsidRPr="00EA0FD7">
        <w:rPr>
          <w:rFonts w:ascii="Times New Roman" w:eastAsia="Times New Roman" w:hAnsi="Times New Roman" w:cs="Times New Roman"/>
          <w:sz w:val="24"/>
          <w:szCs w:val="24"/>
          <w:vertAlign w:val="superscript"/>
          <w:lang w:val="sr-Cyrl-RS" w:eastAsia="hr-HR"/>
        </w:rPr>
        <w:footnoteReference w:id="19"/>
      </w:r>
      <w:r w:rsidRPr="00EA0FD7">
        <w:rPr>
          <w:rFonts w:ascii="Times New Roman" w:eastAsia="Times New Roman" w:hAnsi="Times New Roman" w:cs="Times New Roman"/>
          <w:sz w:val="24"/>
          <w:szCs w:val="24"/>
          <w:lang w:val="sr-Cyrl-RS" w:eastAsia="hr-HR"/>
        </w:rPr>
        <w:t xml:space="preserve"> те пројекцијама ДЕП-а за К4 2021. године указују да би дефицит текућег рачуна у оквиру платног биланса </w:t>
      </w:r>
      <w:bookmarkStart w:id="12" w:name="_Hlk98316238"/>
      <w:r w:rsidRPr="00EA0FD7">
        <w:rPr>
          <w:rFonts w:ascii="Times New Roman" w:eastAsia="Times New Roman" w:hAnsi="Times New Roman" w:cs="Times New Roman"/>
          <w:sz w:val="24"/>
          <w:szCs w:val="24"/>
          <w:lang w:val="sr-Cyrl-RS" w:eastAsia="hr-HR"/>
        </w:rPr>
        <w:t xml:space="preserve">Босне и Херцеговине за 2021. годину </w:t>
      </w:r>
      <w:bookmarkEnd w:id="12"/>
      <w:r w:rsidRPr="00EA0FD7">
        <w:rPr>
          <w:rFonts w:ascii="Times New Roman" w:eastAsia="Times New Roman" w:hAnsi="Times New Roman" w:cs="Times New Roman"/>
          <w:sz w:val="24"/>
          <w:szCs w:val="24"/>
          <w:lang w:val="sr-Cyrl-RS" w:eastAsia="hr-HR"/>
        </w:rPr>
        <w:t>износио око 1,15 милијарди КМ. Овај пораст би представљао номинално смањење од 11% (г/г). Удио дефицита текућег рачуна у БДП-у за 2020. годину износио је 3,7%</w:t>
      </w:r>
      <w:r w:rsidRPr="00EA0FD7">
        <w:rPr>
          <w:rFonts w:ascii="Times New Roman" w:eastAsia="Times New Roman" w:hAnsi="Times New Roman" w:cs="Times New Roman"/>
          <w:sz w:val="24"/>
          <w:szCs w:val="24"/>
          <w:vertAlign w:val="superscript"/>
          <w:lang w:val="sr-Cyrl-RS" w:eastAsia="hr-HR"/>
        </w:rPr>
        <w:footnoteReference w:id="20"/>
      </w:r>
      <w:r w:rsidRPr="00EA0FD7">
        <w:rPr>
          <w:rFonts w:ascii="Times New Roman" w:eastAsia="Times New Roman" w:hAnsi="Times New Roman" w:cs="Times New Roman"/>
          <w:sz w:val="24"/>
          <w:szCs w:val="24"/>
          <w:lang w:val="sr-Cyrl-RS" w:eastAsia="hr-HR"/>
        </w:rPr>
        <w:t xml:space="preserve"> док се према пројекцијама ДЕП-а за 2021. годину, усљед опоравка економских активности након проблема у претходној години изазваних појавом пандемије </w:t>
      </w:r>
      <w:r w:rsidR="00AE5455">
        <w:rPr>
          <w:rFonts w:ascii="Times New Roman" w:eastAsia="Times New Roman" w:hAnsi="Times New Roman" w:cs="Times New Roman"/>
          <w:sz w:val="24"/>
          <w:szCs w:val="24"/>
          <w:lang w:eastAsia="hr-HR"/>
        </w:rPr>
        <w:t>COVID</w:t>
      </w:r>
      <w:r w:rsidRPr="00EA0FD7">
        <w:rPr>
          <w:rFonts w:ascii="Times New Roman" w:eastAsia="Times New Roman" w:hAnsi="Times New Roman" w:cs="Times New Roman"/>
          <w:sz w:val="24"/>
          <w:szCs w:val="24"/>
          <w:lang w:val="sr-Cyrl-RS" w:eastAsia="hr-HR"/>
        </w:rPr>
        <w:t>-19, може очекивати да тај удио буде нижи (3,1% БДП-а).</w:t>
      </w:r>
    </w:p>
    <w:p w14:paraId="0FB61EC7"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58C769E5" w14:textId="0C9467EC"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периоду К1-К3 2021. године дефицит текућег рачуна износио је око 724 милиона КМ, што представља смањење од 26% у односу на исти период претходне године. Овом смањењу дефицита текућег рачуна добрим дијелом је допри</w:t>
      </w:r>
      <w:r w:rsidR="00AE5455">
        <w:rPr>
          <w:rFonts w:ascii="Times New Roman" w:eastAsia="Times New Roman" w:hAnsi="Times New Roman" w:cs="Times New Roman"/>
          <w:sz w:val="24"/>
          <w:szCs w:val="24"/>
          <w:lang w:val="sr-Cyrl-RS" w:eastAsia="hr-HR"/>
        </w:rPr>
        <w:t>ниј</w:t>
      </w:r>
      <w:r w:rsidRPr="00EA0FD7">
        <w:rPr>
          <w:rFonts w:ascii="Times New Roman" w:eastAsia="Times New Roman" w:hAnsi="Times New Roman" w:cs="Times New Roman"/>
          <w:sz w:val="24"/>
          <w:szCs w:val="24"/>
          <w:lang w:val="sr-Cyrl-RS" w:eastAsia="hr-HR"/>
        </w:rPr>
        <w:t xml:space="preserve">ело кретање дефицита </w:t>
      </w:r>
      <w:r w:rsidR="00AE5455">
        <w:rPr>
          <w:rFonts w:ascii="Times New Roman" w:eastAsia="Times New Roman" w:hAnsi="Times New Roman" w:cs="Times New Roman"/>
          <w:sz w:val="24"/>
          <w:szCs w:val="24"/>
          <w:lang w:val="sr-Cyrl-RS" w:eastAsia="hr-HR"/>
        </w:rPr>
        <w:t>спољне</w:t>
      </w:r>
      <w:r w:rsidRPr="00EA0FD7">
        <w:rPr>
          <w:rFonts w:ascii="Times New Roman" w:eastAsia="Times New Roman" w:hAnsi="Times New Roman" w:cs="Times New Roman"/>
          <w:sz w:val="24"/>
          <w:szCs w:val="24"/>
          <w:lang w:val="sr-Cyrl-RS" w:eastAsia="hr-HR"/>
        </w:rPr>
        <w:t xml:space="preserve"> трговине (роба и услуга), односно пораст увоза за 23,7%  и пораст извоза за 34,9% (г/г). Нижем дефициту текућег рачуна допри</w:t>
      </w:r>
      <w:r w:rsidR="00AE5455">
        <w:rPr>
          <w:rFonts w:ascii="Times New Roman" w:eastAsia="Times New Roman" w:hAnsi="Times New Roman" w:cs="Times New Roman"/>
          <w:sz w:val="24"/>
          <w:szCs w:val="24"/>
          <w:lang w:val="sr-Cyrl-RS" w:eastAsia="hr-HR"/>
        </w:rPr>
        <w:t>ниј</w:t>
      </w:r>
      <w:r w:rsidRPr="00EA0FD7">
        <w:rPr>
          <w:rFonts w:ascii="Times New Roman" w:eastAsia="Times New Roman" w:hAnsi="Times New Roman" w:cs="Times New Roman"/>
          <w:sz w:val="24"/>
          <w:szCs w:val="24"/>
          <w:lang w:val="sr-Cyrl-RS" w:eastAsia="hr-HR"/>
        </w:rPr>
        <w:t>ели су и текући приливи новца из иностранства који су у периоду К1-К3 2021. године забиљежили раст од 9%. У оквиру ових прилива се истичу дознаке грађана из иностранства које су у споменутом периоду порасле за 19,2 % (односно за 360 милиона КМ).</w:t>
      </w:r>
    </w:p>
    <w:p w14:paraId="7536597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1134449"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B2F6962"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4EA854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738540F9" w14:textId="77777777" w:rsidR="00AE5455" w:rsidRDefault="00AE5455" w:rsidP="00EA0FD7">
      <w:pPr>
        <w:spacing w:after="0" w:line="240" w:lineRule="auto"/>
        <w:jc w:val="center"/>
        <w:rPr>
          <w:rFonts w:ascii="Times New Roman" w:eastAsia="Calibri" w:hAnsi="Times New Roman" w:cs="Times New Roman"/>
          <w:b/>
          <w:color w:val="000000"/>
          <w:sz w:val="24"/>
          <w:szCs w:val="24"/>
          <w:lang w:val="sr-Cyrl-RS"/>
        </w:rPr>
      </w:pPr>
    </w:p>
    <w:p w14:paraId="473DDFCD" w14:textId="77777777" w:rsidR="00AE5455" w:rsidRDefault="00AE5455" w:rsidP="00EA0FD7">
      <w:pPr>
        <w:spacing w:after="0" w:line="240" w:lineRule="auto"/>
        <w:jc w:val="center"/>
        <w:rPr>
          <w:rFonts w:ascii="Times New Roman" w:eastAsia="Calibri" w:hAnsi="Times New Roman" w:cs="Times New Roman"/>
          <w:b/>
          <w:color w:val="000000"/>
          <w:sz w:val="24"/>
          <w:szCs w:val="24"/>
          <w:lang w:val="sr-Cyrl-RS"/>
        </w:rPr>
      </w:pPr>
    </w:p>
    <w:p w14:paraId="6F431612" w14:textId="77777777" w:rsidR="00AE5455" w:rsidRDefault="00AE5455" w:rsidP="00EA0FD7">
      <w:pPr>
        <w:spacing w:after="0" w:line="240" w:lineRule="auto"/>
        <w:jc w:val="center"/>
        <w:rPr>
          <w:rFonts w:ascii="Times New Roman" w:eastAsia="Calibri" w:hAnsi="Times New Roman" w:cs="Times New Roman"/>
          <w:b/>
          <w:color w:val="000000"/>
          <w:sz w:val="24"/>
          <w:szCs w:val="24"/>
          <w:lang w:val="sr-Cyrl-RS"/>
        </w:rPr>
      </w:pPr>
    </w:p>
    <w:p w14:paraId="0CE64C3B" w14:textId="77777777" w:rsidR="00AE5455" w:rsidRDefault="00AE5455" w:rsidP="00EA0FD7">
      <w:pPr>
        <w:spacing w:after="0" w:line="240" w:lineRule="auto"/>
        <w:jc w:val="center"/>
        <w:rPr>
          <w:rFonts w:ascii="Times New Roman" w:eastAsia="Calibri" w:hAnsi="Times New Roman" w:cs="Times New Roman"/>
          <w:b/>
          <w:color w:val="000000"/>
          <w:sz w:val="24"/>
          <w:szCs w:val="24"/>
          <w:lang w:val="sr-Cyrl-RS"/>
        </w:rPr>
      </w:pPr>
    </w:p>
    <w:p w14:paraId="00300187" w14:textId="77777777" w:rsidR="00AE5455" w:rsidRDefault="00AE5455" w:rsidP="00EA0FD7">
      <w:pPr>
        <w:spacing w:after="0" w:line="240" w:lineRule="auto"/>
        <w:jc w:val="center"/>
        <w:rPr>
          <w:rFonts w:ascii="Times New Roman" w:eastAsia="Calibri" w:hAnsi="Times New Roman" w:cs="Times New Roman"/>
          <w:b/>
          <w:color w:val="000000"/>
          <w:sz w:val="24"/>
          <w:szCs w:val="24"/>
          <w:lang w:val="sr-Cyrl-RS"/>
        </w:rPr>
      </w:pPr>
    </w:p>
    <w:p w14:paraId="2D0D13AF" w14:textId="77777777" w:rsidR="00AE5455" w:rsidRDefault="00AE5455" w:rsidP="00EA0FD7">
      <w:pPr>
        <w:spacing w:after="0" w:line="240" w:lineRule="auto"/>
        <w:jc w:val="center"/>
        <w:rPr>
          <w:rFonts w:ascii="Times New Roman" w:eastAsia="Calibri" w:hAnsi="Times New Roman" w:cs="Times New Roman"/>
          <w:b/>
          <w:color w:val="000000"/>
          <w:sz w:val="24"/>
          <w:szCs w:val="24"/>
          <w:lang w:val="sr-Cyrl-RS"/>
        </w:rPr>
      </w:pPr>
    </w:p>
    <w:p w14:paraId="3408DDB9" w14:textId="4CB73F88"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rPr>
      </w:pPr>
      <w:r w:rsidRPr="00EA0FD7">
        <w:rPr>
          <w:rFonts w:ascii="Times New Roman" w:eastAsia="Calibri" w:hAnsi="Times New Roman" w:cs="Times New Roman"/>
          <w:b/>
          <w:color w:val="000000"/>
          <w:sz w:val="24"/>
          <w:szCs w:val="24"/>
          <w:lang w:val="sr-Cyrl-RS"/>
        </w:rPr>
        <w:t xml:space="preserve">Графикон 2 </w:t>
      </w:r>
      <w:r w:rsidRPr="00EA0FD7">
        <w:rPr>
          <w:rFonts w:ascii="Times New Roman" w:eastAsia="Calibri" w:hAnsi="Times New Roman" w:cs="Times New Roman"/>
          <w:b/>
          <w:color w:val="000000"/>
          <w:lang w:val="sr-Cyrl-RS"/>
        </w:rPr>
        <w:fldChar w:fldCharType="begin"/>
      </w:r>
      <w:r w:rsidRPr="00EA0FD7">
        <w:rPr>
          <w:rFonts w:ascii="Times New Roman" w:eastAsia="Calibri" w:hAnsi="Times New Roman" w:cs="Times New Roman"/>
          <w:b/>
          <w:color w:val="000000"/>
          <w:sz w:val="24"/>
          <w:szCs w:val="24"/>
          <w:lang w:val="sr-Cyrl-RS"/>
        </w:rPr>
        <w:instrText xml:space="preserve"> SEQ Grafikon \* ARABIC </w:instrText>
      </w:r>
      <w:r w:rsidRPr="00EA0FD7">
        <w:rPr>
          <w:rFonts w:ascii="Times New Roman" w:eastAsia="Calibri" w:hAnsi="Times New Roman" w:cs="Times New Roman"/>
          <w:b/>
          <w:color w:val="000000"/>
          <w:lang w:val="sr-Cyrl-RS"/>
        </w:rPr>
        <w:fldChar w:fldCharType="separate"/>
      </w:r>
      <w:r w:rsidRPr="00EA0FD7">
        <w:rPr>
          <w:rFonts w:ascii="Times New Roman" w:eastAsia="Calibri" w:hAnsi="Times New Roman" w:cs="Times New Roman"/>
          <w:b/>
          <w:color w:val="000000"/>
          <w:sz w:val="24"/>
          <w:szCs w:val="24"/>
          <w:lang w:val="sr-Cyrl-RS"/>
        </w:rPr>
        <w:t>2</w:t>
      </w:r>
      <w:r w:rsidRPr="00EA0FD7">
        <w:rPr>
          <w:rFonts w:ascii="Times New Roman" w:eastAsia="Calibri" w:hAnsi="Times New Roman" w:cs="Times New Roman"/>
          <w:b/>
          <w:color w:val="000000"/>
          <w:lang w:val="sr-Cyrl-RS"/>
        </w:rPr>
        <w:fldChar w:fldCharType="end"/>
      </w:r>
      <w:r w:rsidRPr="00EA0FD7">
        <w:rPr>
          <w:rFonts w:ascii="Times New Roman" w:eastAsia="Calibri" w:hAnsi="Times New Roman" w:cs="Times New Roman"/>
          <w:b/>
          <w:color w:val="000000"/>
          <w:sz w:val="24"/>
          <w:szCs w:val="24"/>
          <w:lang w:val="sr-Cyrl-RS"/>
        </w:rPr>
        <w:t xml:space="preserve">: </w:t>
      </w:r>
      <w:r w:rsidRPr="00EA0FD7">
        <w:rPr>
          <w:rFonts w:ascii="Times New Roman" w:eastAsia="Calibri" w:hAnsi="Times New Roman" w:cs="Times New Roman"/>
          <w:color w:val="000000"/>
          <w:sz w:val="24"/>
          <w:szCs w:val="24"/>
          <w:lang w:val="sr-Cyrl-RS"/>
        </w:rPr>
        <w:t xml:space="preserve">Кретање дефицита текућег рачуна Босне и Херцеговине </w:t>
      </w:r>
      <w:r w:rsidRPr="00EA0FD7">
        <w:rPr>
          <w:rFonts w:ascii="Times New Roman" w:eastAsia="Calibri" w:hAnsi="Times New Roman" w:cs="Times New Roman"/>
          <w:b/>
          <w:color w:val="000000"/>
          <w:vertAlign w:val="superscript"/>
          <w:lang w:val="sr-Cyrl-RS"/>
        </w:rPr>
        <w:footnoteReference w:id="21"/>
      </w:r>
    </w:p>
    <w:p w14:paraId="532EDA9F" w14:textId="77777777" w:rsidR="00EA0FD7" w:rsidRPr="00EA0FD7" w:rsidRDefault="00EA0FD7" w:rsidP="00EA0FD7">
      <w:pPr>
        <w:spacing w:after="0" w:line="240" w:lineRule="auto"/>
        <w:jc w:val="center"/>
        <w:rPr>
          <w:rFonts w:ascii="Times New Roman" w:eastAsia="Times New Roman" w:hAnsi="Times New Roman" w:cs="Times New Roman"/>
          <w:i/>
          <w:iCs/>
          <w:sz w:val="24"/>
          <w:szCs w:val="24"/>
          <w:highlight w:val="yellow"/>
          <w:lang w:val="sr-Cyrl-RS" w:eastAsia="hr-HR"/>
        </w:rPr>
      </w:pPr>
      <w:r w:rsidRPr="00EA0FD7">
        <w:rPr>
          <w:rFonts w:ascii="Times New Roman" w:eastAsia="Times New Roman" w:hAnsi="Times New Roman" w:cs="Times New Roman"/>
          <w:noProof/>
          <w:sz w:val="24"/>
          <w:szCs w:val="24"/>
          <w:highlight w:val="yellow"/>
          <w:lang w:val="sr-Cyrl-RS" w:eastAsia="hr-HR"/>
        </w:rPr>
        <w:drawing>
          <wp:inline distT="0" distB="0" distL="0" distR="0" wp14:anchorId="3D8754EC" wp14:editId="0BD1C53E">
            <wp:extent cx="5438775" cy="3437890"/>
            <wp:effectExtent l="0" t="0" r="9525" b="0"/>
            <wp:docPr id="3"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9">
                      <a:extLst>
                        <a:ext uri="{28A0092B-C50C-407E-A947-70E740481C1C}">
                          <a14:useLocalDpi xmlns:a14="http://schemas.microsoft.com/office/drawing/2010/main" val="0"/>
                        </a:ext>
                      </a:extLst>
                    </a:blip>
                    <a:srcRect b="-73"/>
                    <a:stretch>
                      <a:fillRect/>
                    </a:stretch>
                  </pic:blipFill>
                  <pic:spPr bwMode="auto">
                    <a:xfrm>
                      <a:off x="0" y="0"/>
                      <a:ext cx="5438775" cy="3437890"/>
                    </a:xfrm>
                    <a:prstGeom prst="rect">
                      <a:avLst/>
                    </a:prstGeom>
                    <a:noFill/>
                    <a:ln>
                      <a:noFill/>
                    </a:ln>
                  </pic:spPr>
                </pic:pic>
              </a:graphicData>
            </a:graphic>
          </wp:inline>
        </w:drawing>
      </w:r>
    </w:p>
    <w:p w14:paraId="4785EC7D"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Извор: ЦББХ и пројекције ДЕП-а</w:t>
      </w:r>
    </w:p>
    <w:p w14:paraId="77CE525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13AF3FB" w14:textId="60EEE928"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Претпоставке за платни биланс 2022</w:t>
      </w:r>
      <w:r w:rsidR="00AE5455">
        <w:rPr>
          <w:rFonts w:ascii="Times New Roman" w:eastAsia="Times New Roman" w:hAnsi="Times New Roman" w:cs="Times New Roman"/>
          <w:b/>
          <w:bCs/>
          <w:sz w:val="24"/>
          <w:szCs w:val="24"/>
          <w:lang w:val="sr-Cyrl-RS" w:eastAsia="hr-HR"/>
        </w:rPr>
        <w:t>–</w:t>
      </w:r>
      <w:r w:rsidRPr="00EA0FD7">
        <w:rPr>
          <w:rFonts w:ascii="Times New Roman" w:eastAsia="Times New Roman" w:hAnsi="Times New Roman" w:cs="Times New Roman"/>
          <w:b/>
          <w:bCs/>
          <w:sz w:val="24"/>
          <w:szCs w:val="24"/>
          <w:lang w:val="sr-Cyrl-RS" w:eastAsia="hr-HR"/>
        </w:rPr>
        <w:t>2025. године</w:t>
      </w:r>
    </w:p>
    <w:p w14:paraId="0DAECC90"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5EA64C4" w14:textId="1811BCD4"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Према пројекцијама ДЕП-а удио дефицита текућег рачуна за 2022. годину износио би 3,9% БДП-а, док би у наредној 2023. години удио дефицита био нешто нижи и износио би око 3,6 % БДП-а. У периоду 2024</w:t>
      </w:r>
      <w:r w:rsid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2025. година могло би се очекивати да се дефицит текућег рачуна креће у оквиру 2,9%-3,1% БДП-а.</w:t>
      </w:r>
    </w:p>
    <w:p w14:paraId="0C286C60"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5D2690F" w14:textId="6C73E4DB"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На бази пројекција ДЕП-а обим спољнотрговинске размјене у периоду 2022</w:t>
      </w:r>
      <w:r w:rsid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2025. година наставио би са номинал</w:t>
      </w:r>
      <w:r w:rsidR="00AE5455">
        <w:rPr>
          <w:rFonts w:ascii="Times New Roman" w:eastAsia="Times New Roman" w:hAnsi="Times New Roman" w:cs="Times New Roman"/>
          <w:sz w:val="24"/>
          <w:szCs w:val="24"/>
          <w:lang w:val="sr-Cyrl-RS" w:eastAsia="hr-HR"/>
        </w:rPr>
        <w:t>н</w:t>
      </w:r>
      <w:r w:rsidRPr="00EA0FD7">
        <w:rPr>
          <w:rFonts w:ascii="Times New Roman" w:eastAsia="Times New Roman" w:hAnsi="Times New Roman" w:cs="Times New Roman"/>
          <w:sz w:val="24"/>
          <w:szCs w:val="24"/>
          <w:lang w:val="sr-Cyrl-RS" w:eastAsia="hr-HR"/>
        </w:rPr>
        <w:t xml:space="preserve">им растом. Тако би у 2022. и 2023. години </w:t>
      </w:r>
      <w:r w:rsidR="00AE5455">
        <w:rPr>
          <w:rFonts w:ascii="Times New Roman" w:eastAsia="Times New Roman" w:hAnsi="Times New Roman" w:cs="Times New Roman"/>
          <w:sz w:val="24"/>
          <w:szCs w:val="24"/>
          <w:lang w:val="sr-Cyrl-RS" w:eastAsia="hr-HR"/>
        </w:rPr>
        <w:t>спољно</w:t>
      </w:r>
      <w:r w:rsidRPr="00EA0FD7">
        <w:rPr>
          <w:rFonts w:ascii="Times New Roman" w:eastAsia="Times New Roman" w:hAnsi="Times New Roman" w:cs="Times New Roman"/>
          <w:sz w:val="24"/>
          <w:szCs w:val="24"/>
          <w:lang w:val="sr-Cyrl-RS" w:eastAsia="hr-HR"/>
        </w:rPr>
        <w:t xml:space="preserve">трговински дефицит биљежио номинални раст од 12,6% (г/г) односно 0,1% (г/г). У наредној 2024. години </w:t>
      </w:r>
      <w:r w:rsidR="00AE5455">
        <w:rPr>
          <w:rFonts w:ascii="Times New Roman" w:eastAsia="Times New Roman" w:hAnsi="Times New Roman" w:cs="Times New Roman"/>
          <w:sz w:val="24"/>
          <w:szCs w:val="24"/>
          <w:lang w:val="sr-Cyrl-RS" w:eastAsia="hr-HR"/>
        </w:rPr>
        <w:t>спољно</w:t>
      </w:r>
      <w:r w:rsidRPr="00EA0FD7">
        <w:rPr>
          <w:rFonts w:ascii="Times New Roman" w:eastAsia="Times New Roman" w:hAnsi="Times New Roman" w:cs="Times New Roman"/>
          <w:sz w:val="24"/>
          <w:szCs w:val="24"/>
          <w:lang w:val="sr-Cyrl-RS" w:eastAsia="hr-HR"/>
        </w:rPr>
        <w:t xml:space="preserve">трговински дефицит би био нижи 2,6% (г/г),  док би у 2025. години поново дошло до раста за 0,9% (г/г).  Двоцифрена стопа номиналног раста </w:t>
      </w:r>
      <w:r w:rsidR="00AE5455">
        <w:rPr>
          <w:rFonts w:ascii="Times New Roman" w:eastAsia="Times New Roman" w:hAnsi="Times New Roman" w:cs="Times New Roman"/>
          <w:sz w:val="24"/>
          <w:szCs w:val="24"/>
          <w:lang w:val="sr-Cyrl-RS" w:eastAsia="hr-HR"/>
        </w:rPr>
        <w:t>спољно</w:t>
      </w:r>
      <w:r w:rsidRPr="00EA0FD7">
        <w:rPr>
          <w:rFonts w:ascii="Times New Roman" w:eastAsia="Times New Roman" w:hAnsi="Times New Roman" w:cs="Times New Roman"/>
          <w:sz w:val="24"/>
          <w:szCs w:val="24"/>
          <w:lang w:val="sr-Cyrl-RS" w:eastAsia="hr-HR"/>
        </w:rPr>
        <w:t xml:space="preserve">трговинског дефицита у 2022. години била би одређена порастом увоза роба и услуга за 19,3% (г/г) као и растом извоза роба и услуга за 21,3% (г/г). </w:t>
      </w:r>
    </w:p>
    <w:p w14:paraId="7415112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740FC68" w14:textId="175FCAB6"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Све наведена кретања у </w:t>
      </w:r>
      <w:r w:rsidR="00AE5455">
        <w:rPr>
          <w:rFonts w:ascii="Times New Roman" w:eastAsia="Times New Roman" w:hAnsi="Times New Roman" w:cs="Times New Roman"/>
          <w:sz w:val="24"/>
          <w:szCs w:val="24"/>
          <w:lang w:val="sr-Cyrl-RS" w:eastAsia="hr-HR"/>
        </w:rPr>
        <w:t>спољно</w:t>
      </w:r>
      <w:r w:rsidRPr="00EA0FD7">
        <w:rPr>
          <w:rFonts w:ascii="Times New Roman" w:eastAsia="Times New Roman" w:hAnsi="Times New Roman" w:cs="Times New Roman"/>
          <w:sz w:val="24"/>
          <w:szCs w:val="24"/>
          <w:lang w:val="sr-Cyrl-RS" w:eastAsia="hr-HR"/>
        </w:rPr>
        <w:t>трговинском дефициту, у периоду 2023</w:t>
      </w:r>
      <w:r w:rsid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2025. година, би представљала резултат пораста номиналних стопа увоза роба и услуга (6-7,1%) и пораста извоза роба и услуга (8,2-9,1%). </w:t>
      </w:r>
    </w:p>
    <w:p w14:paraId="432014CC" w14:textId="77777777" w:rsidR="00EA0FD7" w:rsidRPr="00EA0FD7" w:rsidRDefault="00EA0FD7" w:rsidP="00EA0FD7">
      <w:pPr>
        <w:spacing w:after="0" w:line="240" w:lineRule="auto"/>
        <w:jc w:val="both"/>
        <w:rPr>
          <w:rFonts w:ascii="Times New Roman" w:eastAsia="Times New Roman" w:hAnsi="Times New Roman" w:cs="Times New Roman"/>
          <w:sz w:val="24"/>
          <w:szCs w:val="24"/>
          <w:highlight w:val="yellow"/>
          <w:lang w:val="sr-Cyrl-RS" w:eastAsia="hr-HR"/>
        </w:rPr>
      </w:pPr>
    </w:p>
    <w:p w14:paraId="40CAA8FB" w14:textId="77777777" w:rsidR="00EA0FD7" w:rsidRPr="00EA0FD7" w:rsidRDefault="00EA0FD7" w:rsidP="00EA0FD7">
      <w:pPr>
        <w:spacing w:after="0" w:line="240" w:lineRule="auto"/>
        <w:jc w:val="both"/>
        <w:rPr>
          <w:rFonts w:ascii="Times New Roman" w:eastAsia="Times New Roman" w:hAnsi="Times New Roman" w:cs="Times New Roman"/>
          <w:sz w:val="24"/>
          <w:szCs w:val="24"/>
          <w:highlight w:val="yellow"/>
          <w:lang w:val="sr-Cyrl-RS" w:eastAsia="hr-HR"/>
        </w:rPr>
      </w:pPr>
    </w:p>
    <w:p w14:paraId="39C17AFA" w14:textId="77777777" w:rsidR="00EA0FD7" w:rsidRPr="00EA0FD7" w:rsidRDefault="00EA0FD7" w:rsidP="00EA0FD7">
      <w:pPr>
        <w:spacing w:after="0" w:line="240" w:lineRule="auto"/>
        <w:jc w:val="both"/>
        <w:rPr>
          <w:rFonts w:ascii="Times New Roman" w:eastAsia="Times New Roman" w:hAnsi="Times New Roman" w:cs="Times New Roman"/>
          <w:sz w:val="24"/>
          <w:szCs w:val="24"/>
          <w:highlight w:val="yellow"/>
          <w:lang w:val="sr-Cyrl-RS" w:eastAsia="hr-HR"/>
        </w:rPr>
      </w:pPr>
    </w:p>
    <w:p w14:paraId="4E97A1D6" w14:textId="77777777" w:rsidR="00EA0FD7" w:rsidRPr="00EA0FD7" w:rsidRDefault="00EA0FD7" w:rsidP="00EA0FD7">
      <w:pPr>
        <w:spacing w:after="0" w:line="240" w:lineRule="auto"/>
        <w:jc w:val="center"/>
        <w:rPr>
          <w:rFonts w:ascii="Times New Roman" w:eastAsia="Calibri" w:hAnsi="Times New Roman" w:cs="Times New Roman"/>
          <w:b/>
          <w:color w:val="000000"/>
          <w:highlight w:val="yellow"/>
          <w:lang w:val="sr-Cyrl-RS"/>
        </w:rPr>
      </w:pPr>
    </w:p>
    <w:p w14:paraId="2A28607E" w14:textId="77777777" w:rsidR="00EA0FD7" w:rsidRPr="00EA0FD7" w:rsidRDefault="00EA0FD7" w:rsidP="00EA0FD7">
      <w:pPr>
        <w:spacing w:after="0" w:line="240" w:lineRule="auto"/>
        <w:jc w:val="center"/>
        <w:rPr>
          <w:rFonts w:ascii="Times New Roman" w:eastAsia="Calibri" w:hAnsi="Times New Roman" w:cs="Times New Roman"/>
          <w:b/>
          <w:color w:val="000000"/>
          <w:highlight w:val="yellow"/>
          <w:lang w:val="sr-Cyrl-RS"/>
        </w:rPr>
      </w:pPr>
    </w:p>
    <w:p w14:paraId="6A0A7BC4" w14:textId="77777777" w:rsidR="00EA0FD7" w:rsidRPr="00EA0FD7" w:rsidRDefault="00EA0FD7" w:rsidP="00EA0FD7">
      <w:pPr>
        <w:spacing w:after="0" w:line="240" w:lineRule="auto"/>
        <w:jc w:val="center"/>
        <w:rPr>
          <w:rFonts w:ascii="Times New Roman" w:eastAsia="Calibri" w:hAnsi="Times New Roman" w:cs="Times New Roman"/>
          <w:b/>
          <w:color w:val="000000"/>
          <w:highlight w:val="yellow"/>
          <w:lang w:val="sr-Cyrl-RS"/>
        </w:rPr>
      </w:pPr>
    </w:p>
    <w:p w14:paraId="2F3AFEAC" w14:textId="77777777" w:rsidR="00EA0FD7" w:rsidRPr="00EA0FD7" w:rsidRDefault="00EA0FD7" w:rsidP="00EA0FD7">
      <w:pPr>
        <w:spacing w:after="0" w:line="240" w:lineRule="auto"/>
        <w:jc w:val="center"/>
        <w:rPr>
          <w:rFonts w:ascii="Times New Roman" w:eastAsia="Calibri" w:hAnsi="Times New Roman" w:cs="Times New Roman"/>
          <w:b/>
          <w:color w:val="000000"/>
          <w:highlight w:val="yellow"/>
          <w:lang w:val="sr-Cyrl-RS"/>
        </w:rPr>
      </w:pPr>
    </w:p>
    <w:p w14:paraId="0548D89E" w14:textId="77777777" w:rsidR="00EA0FD7" w:rsidRPr="00EA0FD7" w:rsidRDefault="00EA0FD7" w:rsidP="00EA0FD7">
      <w:pPr>
        <w:spacing w:after="0" w:line="240" w:lineRule="auto"/>
        <w:jc w:val="center"/>
        <w:rPr>
          <w:rFonts w:ascii="Times New Roman" w:eastAsia="Calibri" w:hAnsi="Times New Roman" w:cs="Times New Roman"/>
          <w:b/>
          <w:color w:val="000000"/>
          <w:sz w:val="24"/>
          <w:szCs w:val="24"/>
          <w:lang w:val="sr-Cyrl-RS"/>
        </w:rPr>
      </w:pPr>
    </w:p>
    <w:p w14:paraId="32694BB3" w14:textId="77777777" w:rsidR="00AE5455" w:rsidRDefault="00AE5455" w:rsidP="00EA0FD7">
      <w:pPr>
        <w:spacing w:after="0" w:line="240" w:lineRule="auto"/>
        <w:jc w:val="center"/>
        <w:rPr>
          <w:rFonts w:ascii="Times New Roman" w:eastAsia="Calibri" w:hAnsi="Times New Roman" w:cs="Times New Roman"/>
          <w:b/>
          <w:color w:val="000000"/>
          <w:sz w:val="24"/>
          <w:szCs w:val="24"/>
          <w:lang w:val="sr-Cyrl-RS"/>
        </w:rPr>
      </w:pPr>
    </w:p>
    <w:p w14:paraId="1FB211C6" w14:textId="77777777" w:rsidR="00AE5455" w:rsidRDefault="00AE5455" w:rsidP="00EA0FD7">
      <w:pPr>
        <w:spacing w:after="0" w:line="240" w:lineRule="auto"/>
        <w:jc w:val="center"/>
        <w:rPr>
          <w:rFonts w:ascii="Times New Roman" w:eastAsia="Calibri" w:hAnsi="Times New Roman" w:cs="Times New Roman"/>
          <w:b/>
          <w:color w:val="000000"/>
          <w:sz w:val="24"/>
          <w:szCs w:val="24"/>
          <w:lang w:val="sr-Cyrl-RS"/>
        </w:rPr>
      </w:pPr>
    </w:p>
    <w:p w14:paraId="4F895A54" w14:textId="77777777" w:rsidR="00AE5455" w:rsidRDefault="00AE5455" w:rsidP="00EA0FD7">
      <w:pPr>
        <w:spacing w:after="0" w:line="240" w:lineRule="auto"/>
        <w:jc w:val="center"/>
        <w:rPr>
          <w:rFonts w:ascii="Times New Roman" w:eastAsia="Calibri" w:hAnsi="Times New Roman" w:cs="Times New Roman"/>
          <w:b/>
          <w:color w:val="000000"/>
          <w:sz w:val="24"/>
          <w:szCs w:val="24"/>
          <w:lang w:val="sr-Cyrl-RS"/>
        </w:rPr>
      </w:pPr>
    </w:p>
    <w:p w14:paraId="3944DA1D" w14:textId="77777777" w:rsidR="00AE5455" w:rsidRDefault="00AE5455" w:rsidP="00EA0FD7">
      <w:pPr>
        <w:spacing w:after="0" w:line="240" w:lineRule="auto"/>
        <w:jc w:val="center"/>
        <w:rPr>
          <w:rFonts w:ascii="Times New Roman" w:eastAsia="Calibri" w:hAnsi="Times New Roman" w:cs="Times New Roman"/>
          <w:b/>
          <w:color w:val="000000"/>
          <w:sz w:val="24"/>
          <w:szCs w:val="24"/>
          <w:lang w:val="sr-Cyrl-RS"/>
        </w:rPr>
      </w:pPr>
    </w:p>
    <w:p w14:paraId="6C916D88" w14:textId="77777777" w:rsidR="00AE5455" w:rsidRDefault="00AE5455" w:rsidP="00EA0FD7">
      <w:pPr>
        <w:spacing w:after="0" w:line="240" w:lineRule="auto"/>
        <w:jc w:val="center"/>
        <w:rPr>
          <w:rFonts w:ascii="Times New Roman" w:eastAsia="Calibri" w:hAnsi="Times New Roman" w:cs="Times New Roman"/>
          <w:b/>
          <w:color w:val="000000"/>
          <w:sz w:val="24"/>
          <w:szCs w:val="24"/>
          <w:lang w:val="sr-Cyrl-RS"/>
        </w:rPr>
      </w:pPr>
    </w:p>
    <w:p w14:paraId="56AAC77D" w14:textId="21704EF2"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rPr>
      </w:pPr>
      <w:r w:rsidRPr="00EA0FD7">
        <w:rPr>
          <w:rFonts w:ascii="Times New Roman" w:eastAsia="Calibri" w:hAnsi="Times New Roman" w:cs="Times New Roman"/>
          <w:b/>
          <w:color w:val="000000"/>
          <w:sz w:val="24"/>
          <w:szCs w:val="24"/>
          <w:lang w:val="sr-Cyrl-RS"/>
        </w:rPr>
        <w:t>Графикон 2.</w:t>
      </w:r>
      <w:r w:rsidRPr="00EA0FD7">
        <w:rPr>
          <w:rFonts w:ascii="Times New Roman" w:eastAsia="Calibri" w:hAnsi="Times New Roman" w:cs="Times New Roman"/>
          <w:b/>
          <w:color w:val="000000"/>
          <w:lang w:val="sr-Cyrl-RS"/>
        </w:rPr>
        <w:fldChar w:fldCharType="begin"/>
      </w:r>
      <w:r w:rsidRPr="00EA0FD7">
        <w:rPr>
          <w:rFonts w:ascii="Times New Roman" w:eastAsia="Calibri" w:hAnsi="Times New Roman" w:cs="Times New Roman"/>
          <w:b/>
          <w:color w:val="000000"/>
          <w:sz w:val="24"/>
          <w:szCs w:val="24"/>
          <w:lang w:val="sr-Cyrl-RS"/>
        </w:rPr>
        <w:instrText xml:space="preserve"> SEQ Grafikon \* ARABIC </w:instrText>
      </w:r>
      <w:r w:rsidRPr="00EA0FD7">
        <w:rPr>
          <w:rFonts w:ascii="Times New Roman" w:eastAsia="Calibri" w:hAnsi="Times New Roman" w:cs="Times New Roman"/>
          <w:b/>
          <w:color w:val="000000"/>
          <w:lang w:val="sr-Cyrl-RS"/>
        </w:rPr>
        <w:fldChar w:fldCharType="separate"/>
      </w:r>
      <w:r w:rsidRPr="00EA0FD7">
        <w:rPr>
          <w:rFonts w:ascii="Times New Roman" w:eastAsia="Calibri" w:hAnsi="Times New Roman" w:cs="Times New Roman"/>
          <w:b/>
          <w:color w:val="000000"/>
          <w:sz w:val="24"/>
          <w:szCs w:val="24"/>
          <w:lang w:val="sr-Cyrl-RS"/>
        </w:rPr>
        <w:t>3</w:t>
      </w:r>
      <w:r w:rsidRPr="00EA0FD7">
        <w:rPr>
          <w:rFonts w:ascii="Times New Roman" w:eastAsia="Calibri" w:hAnsi="Times New Roman" w:cs="Times New Roman"/>
          <w:b/>
          <w:color w:val="000000"/>
          <w:lang w:val="sr-Cyrl-RS"/>
        </w:rPr>
        <w:fldChar w:fldCharType="end"/>
      </w:r>
      <w:r w:rsidRPr="00EA0FD7">
        <w:rPr>
          <w:rFonts w:ascii="Times New Roman" w:eastAsia="Calibri" w:hAnsi="Times New Roman" w:cs="Times New Roman"/>
          <w:b/>
          <w:color w:val="000000"/>
          <w:sz w:val="24"/>
          <w:szCs w:val="24"/>
          <w:lang w:val="sr-Cyrl-RS"/>
        </w:rPr>
        <w:t xml:space="preserve">: </w:t>
      </w:r>
      <w:r w:rsidRPr="00EA0FD7">
        <w:rPr>
          <w:rFonts w:ascii="Times New Roman" w:eastAsia="Calibri" w:hAnsi="Times New Roman" w:cs="Times New Roman"/>
          <w:color w:val="000000"/>
          <w:sz w:val="24"/>
          <w:szCs w:val="24"/>
          <w:lang w:val="sr-Cyrl-RS"/>
        </w:rPr>
        <w:t>Текући приливи из иностранства и одливи новца у иностранство</w:t>
      </w:r>
      <w:r w:rsidRPr="00EA0FD7">
        <w:rPr>
          <w:rFonts w:ascii="Times New Roman" w:eastAsia="Calibri" w:hAnsi="Times New Roman" w:cs="Times New Roman"/>
          <w:b/>
          <w:color w:val="000000"/>
          <w:vertAlign w:val="superscript"/>
          <w:lang w:val="sr-Cyrl-RS"/>
        </w:rPr>
        <w:footnoteReference w:id="22"/>
      </w:r>
    </w:p>
    <w:p w14:paraId="70B3F90C" w14:textId="77777777" w:rsidR="00EA0FD7" w:rsidRPr="00EA0FD7" w:rsidRDefault="00EA0FD7" w:rsidP="00EA0FD7">
      <w:pPr>
        <w:spacing w:after="0" w:line="240" w:lineRule="auto"/>
        <w:jc w:val="center"/>
        <w:rPr>
          <w:rFonts w:ascii="Times New Roman" w:eastAsia="Times New Roman" w:hAnsi="Times New Roman" w:cs="Times New Roman"/>
          <w:sz w:val="24"/>
          <w:szCs w:val="24"/>
          <w:highlight w:val="yellow"/>
          <w:lang w:val="sr-Cyrl-RS" w:eastAsia="hr-HR"/>
        </w:rPr>
      </w:pPr>
      <w:r w:rsidRPr="00EA0FD7">
        <w:rPr>
          <w:rFonts w:ascii="Times New Roman" w:eastAsia="Times New Roman" w:hAnsi="Times New Roman" w:cs="Times New Roman"/>
          <w:noProof/>
          <w:sz w:val="24"/>
          <w:szCs w:val="24"/>
          <w:highlight w:val="yellow"/>
          <w:lang w:val="sr-Cyrl-RS" w:eastAsia="hr-HR"/>
        </w:rPr>
        <w:drawing>
          <wp:inline distT="0" distB="0" distL="0" distR="0" wp14:anchorId="09889765" wp14:editId="5824B630">
            <wp:extent cx="5783580" cy="2315845"/>
            <wp:effectExtent l="0" t="0" r="7620" b="8255"/>
            <wp:docPr id="4"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0">
                      <a:extLst>
                        <a:ext uri="{28A0092B-C50C-407E-A947-70E740481C1C}">
                          <a14:useLocalDpi xmlns:a14="http://schemas.microsoft.com/office/drawing/2010/main" val="0"/>
                        </a:ext>
                      </a:extLst>
                    </a:blip>
                    <a:srcRect b="-55"/>
                    <a:stretch>
                      <a:fillRect/>
                    </a:stretch>
                  </pic:blipFill>
                  <pic:spPr bwMode="auto">
                    <a:xfrm>
                      <a:off x="0" y="0"/>
                      <a:ext cx="5783580" cy="2315845"/>
                    </a:xfrm>
                    <a:prstGeom prst="rect">
                      <a:avLst/>
                    </a:prstGeom>
                    <a:noFill/>
                    <a:ln>
                      <a:noFill/>
                    </a:ln>
                  </pic:spPr>
                </pic:pic>
              </a:graphicData>
            </a:graphic>
          </wp:inline>
        </w:drawing>
      </w:r>
    </w:p>
    <w:p w14:paraId="43663E1D" w14:textId="77777777" w:rsidR="00EA0FD7" w:rsidRPr="00EA0FD7" w:rsidRDefault="00EA0FD7" w:rsidP="00EA0FD7">
      <w:pPr>
        <w:spacing w:after="0" w:line="240" w:lineRule="auto"/>
        <w:jc w:val="center"/>
        <w:rPr>
          <w:rFonts w:ascii="Times New Roman" w:eastAsia="Calibri" w:hAnsi="Times New Roman" w:cs="Times New Roman"/>
          <w:color w:val="000000"/>
          <w:sz w:val="20"/>
          <w:szCs w:val="20"/>
          <w:lang w:val="sr-Cyrl-RS"/>
        </w:rPr>
      </w:pPr>
      <w:r w:rsidRPr="00EA0FD7">
        <w:rPr>
          <w:rFonts w:ascii="Times New Roman" w:eastAsia="Calibri" w:hAnsi="Times New Roman" w:cs="Times New Roman"/>
          <w:color w:val="000000"/>
          <w:sz w:val="20"/>
          <w:szCs w:val="20"/>
          <w:lang w:val="sr-Cyrl-RS"/>
        </w:rPr>
        <w:t>Извор: ЦББХ и пројекције ДЕП-а</w:t>
      </w:r>
    </w:p>
    <w:p w14:paraId="4469C902" w14:textId="77777777" w:rsidR="00EA0FD7" w:rsidRPr="00EA0FD7" w:rsidRDefault="00EA0FD7" w:rsidP="00EA0FD7">
      <w:pPr>
        <w:spacing w:after="0" w:line="240" w:lineRule="auto"/>
        <w:jc w:val="both"/>
        <w:rPr>
          <w:rFonts w:ascii="Times New Roman" w:eastAsia="Times New Roman" w:hAnsi="Times New Roman" w:cs="Times New Roman"/>
          <w:sz w:val="24"/>
          <w:szCs w:val="24"/>
          <w:highlight w:val="yellow"/>
          <w:lang w:val="sr-Cyrl-RS" w:eastAsia="hr-HR"/>
        </w:rPr>
      </w:pPr>
    </w:p>
    <w:p w14:paraId="29512FD7" w14:textId="2642C428"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Једна од битних ставки у финансирању дефицита текућег рачуна су текући нето приливи новца из иностранства. Очекује се да ће се ови приливи из иностранства, у периоду 2022</w:t>
      </w:r>
      <w:r w:rsid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2025. година, кретати у интервалу од 9,2% до 10,3% БДП-а (детаљнија пројекција прилива и одлива новца у иностранство налази се на графикону изнад).</w:t>
      </w:r>
    </w:p>
    <w:p w14:paraId="2AA503FA"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796627E" w14:textId="77777777"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sz w:val="24"/>
          <w:szCs w:val="24"/>
          <w:lang w:val="sr-Cyrl-RS" w:eastAsia="hr-HR"/>
        </w:rPr>
        <w:t>Обзиром да је јако тешко процијенити изворе финансирања дефицита текућег рачуна може се очекивати да ће се, као и до сада, дефицит текућег рачуна и даље финансирати приливима финансијских средства из иностранства</w:t>
      </w:r>
      <w:r w:rsidRPr="00EA0FD7">
        <w:rPr>
          <w:rFonts w:ascii="Times New Roman" w:eastAsia="Times New Roman" w:hAnsi="Times New Roman" w:cs="Times New Roman"/>
          <w:color w:val="000000"/>
          <w:sz w:val="24"/>
          <w:szCs w:val="24"/>
          <w:lang w:val="sr-Cyrl-RS" w:eastAsia="hr-HR"/>
        </w:rPr>
        <w:t xml:space="preserve"> (кроз трговинске кредите, директне стране инвестиције </w:t>
      </w:r>
      <w:r w:rsidRPr="00EA0FD7">
        <w:rPr>
          <w:rFonts w:ascii="Times New Roman" w:eastAsia="Times New Roman" w:hAnsi="Times New Roman" w:cs="Times New Roman"/>
          <w:sz w:val="24"/>
          <w:szCs w:val="24"/>
          <w:lang w:val="sr-Cyrl-RS" w:eastAsia="hr-HR"/>
        </w:rPr>
        <w:t>те кроз евентуална нова задуживања на међународном финансијском тржишту</w:t>
      </w:r>
      <w:r w:rsidRPr="00EA0FD7">
        <w:rPr>
          <w:rFonts w:ascii="Times New Roman" w:eastAsia="Times New Roman" w:hAnsi="Times New Roman" w:cs="Times New Roman"/>
          <w:color w:val="000000"/>
          <w:sz w:val="24"/>
          <w:szCs w:val="24"/>
          <w:lang w:val="sr-Cyrl-RS" w:eastAsia="hr-HR"/>
        </w:rPr>
        <w:t xml:space="preserve">). </w:t>
      </w:r>
    </w:p>
    <w:p w14:paraId="7F4D38FC"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p>
    <w:p w14:paraId="50902B1C"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p>
    <w:p w14:paraId="45D2ABE9"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bCs/>
          <w:sz w:val="24"/>
          <w:szCs w:val="24"/>
          <w:lang w:val="sr-Cyrl-RS" w:eastAsia="hr-HR"/>
        </w:rPr>
        <w:t>Ризици</w:t>
      </w:r>
    </w:p>
    <w:p w14:paraId="3E19E236"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0207FFEC" w14:textId="30DFBE86"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bookmarkStart w:id="14" w:name="_Hlk87604208"/>
      <w:r w:rsidRPr="00EA0FD7">
        <w:rPr>
          <w:rFonts w:ascii="Times New Roman" w:eastAsia="Times New Roman" w:hAnsi="Times New Roman" w:cs="Times New Roman"/>
          <w:sz w:val="24"/>
          <w:szCs w:val="24"/>
          <w:lang w:val="sr-Cyrl-RS" w:eastAsia="hr-HR"/>
        </w:rPr>
        <w:t xml:space="preserve">Код промјена у платном билансу Босне и Херцеговине углавном долази усљед промјена у </w:t>
      </w:r>
      <w:r w:rsidR="00AE5455">
        <w:rPr>
          <w:rFonts w:ascii="Times New Roman" w:eastAsia="Times New Roman" w:hAnsi="Times New Roman" w:cs="Times New Roman"/>
          <w:sz w:val="24"/>
          <w:szCs w:val="24"/>
          <w:lang w:val="sr-Cyrl-RS" w:eastAsia="hr-HR"/>
        </w:rPr>
        <w:t>спољно</w:t>
      </w:r>
      <w:r w:rsidRPr="00EA0FD7">
        <w:rPr>
          <w:rFonts w:ascii="Times New Roman" w:eastAsia="Times New Roman" w:hAnsi="Times New Roman" w:cs="Times New Roman"/>
          <w:sz w:val="24"/>
          <w:szCs w:val="24"/>
          <w:lang w:val="sr-Cyrl-RS" w:eastAsia="hr-HR"/>
        </w:rPr>
        <w:t>трговинском дефициту роба и услуга као и у токовима прилива односно одлива новца из иностранства. Ова кретања највећим дијелом уједно представљају и највеће ризике за повећање потреба за финансирањем дефицита текућег рачуна.</w:t>
      </w:r>
    </w:p>
    <w:p w14:paraId="07F1AD1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5D8A3993" w14:textId="473D96DA"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Поред н</w:t>
      </w:r>
      <w:r w:rsidR="00AE5455">
        <w:rPr>
          <w:rFonts w:ascii="Times New Roman" w:eastAsia="Times New Roman" w:hAnsi="Times New Roman" w:cs="Times New Roman"/>
          <w:sz w:val="24"/>
          <w:szCs w:val="24"/>
          <w:lang w:val="sr-Cyrl-RS" w:eastAsia="hr-HR"/>
        </w:rPr>
        <w:t>а</w:t>
      </w:r>
      <w:r w:rsidRPr="00EA0FD7">
        <w:rPr>
          <w:rFonts w:ascii="Times New Roman" w:eastAsia="Times New Roman" w:hAnsi="Times New Roman" w:cs="Times New Roman"/>
          <w:sz w:val="24"/>
          <w:szCs w:val="24"/>
          <w:lang w:val="sr-Cyrl-RS" w:eastAsia="hr-HR"/>
        </w:rPr>
        <w:t xml:space="preserve">ведених ризика и даље су присутни проблеми у међународним ланцима снабдијевања изазваних појавом пандемије </w:t>
      </w:r>
      <w:r w:rsidR="00AE5455" w:rsidRPr="00AE5455">
        <w:rPr>
          <w:rFonts w:ascii="Times New Roman" w:eastAsia="Times New Roman" w:hAnsi="Times New Roman" w:cs="Times New Roman"/>
          <w:i/>
          <w:sz w:val="24"/>
          <w:szCs w:val="24"/>
          <w:lang w:eastAsia="hr-HR"/>
        </w:rPr>
        <w:t>COVID</w:t>
      </w:r>
      <w:r w:rsidRPr="00EA0FD7">
        <w:rPr>
          <w:rFonts w:ascii="Times New Roman" w:eastAsia="Times New Roman" w:hAnsi="Times New Roman" w:cs="Times New Roman"/>
          <w:i/>
          <w:sz w:val="24"/>
          <w:szCs w:val="24"/>
          <w:lang w:val="sr-Cyrl-RS" w:eastAsia="hr-HR"/>
        </w:rPr>
        <w:t>-19</w:t>
      </w:r>
      <w:r w:rsidRPr="00EA0FD7">
        <w:rPr>
          <w:rFonts w:ascii="Times New Roman" w:eastAsia="Times New Roman" w:hAnsi="Times New Roman" w:cs="Times New Roman"/>
          <w:sz w:val="24"/>
          <w:szCs w:val="24"/>
          <w:lang w:val="sr-Cyrl-RS" w:eastAsia="hr-HR"/>
        </w:rPr>
        <w:t xml:space="preserve"> као и новонастали економски, финансијски и безбједоносни изазови на европском тлу. Битно је напоменути и још увијек постојећу политичку несигурност и неизвјесност у самој Босни и Херцеговини. </w:t>
      </w:r>
    </w:p>
    <w:p w14:paraId="1ACFB4A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D5249A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Као битне ризике у финансирању дефицита текућег рачуна могу се споменути и смањење прилива директних страних инвестиција, отежан приступ трговинским кредитима, као и отежано задуживање на међународном финансијском тржишту. </w:t>
      </w:r>
    </w:p>
    <w:p w14:paraId="48E157FA"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7F8DB67"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Оно што би се могло идентификовати као потенцијални ризици код вањског задуживања Босне и Херцеговине у средњем року јесу: негативан економски раст, негативан буџетски биланс (дефицит), повећање укупног нивоа јавног дуга, повећање удјела директног дуга ентитета у укупном вањском дугу, повећање сервиса јавног дуга (нарочито унутрашњег), каматно оптерећење, каматне стопе, ризици девизног курса, ризик рефинансирања, али и сами кредитни рејтинг.</w:t>
      </w:r>
      <w:bookmarkEnd w:id="14"/>
      <w:r w:rsidRPr="00EA0FD7">
        <w:rPr>
          <w:rFonts w:ascii="Times New Roman" w:eastAsia="Times New Roman" w:hAnsi="Times New Roman" w:cs="Times New Roman"/>
          <w:sz w:val="24"/>
          <w:szCs w:val="24"/>
          <w:lang w:val="sr-Cyrl-RS" w:eastAsia="hr-HR"/>
        </w:rPr>
        <w:t xml:space="preserve"> </w:t>
      </w:r>
    </w:p>
    <w:p w14:paraId="7105C021" w14:textId="77777777" w:rsidR="00EA0FD7" w:rsidRPr="00EA0FD7" w:rsidRDefault="00EA0FD7" w:rsidP="00EA0FD7">
      <w:pPr>
        <w:spacing w:after="0" w:line="240" w:lineRule="auto"/>
        <w:jc w:val="center"/>
        <w:rPr>
          <w:rFonts w:ascii="Times New Roman" w:eastAsia="Times New Roman" w:hAnsi="Times New Roman" w:cs="Times New Roman"/>
          <w:b/>
          <w:bCs/>
          <w:sz w:val="24"/>
          <w:szCs w:val="24"/>
          <w:u w:val="single"/>
          <w:lang w:val="sr-Cyrl-RS" w:eastAsia="hr-HR"/>
        </w:rPr>
      </w:pPr>
    </w:p>
    <w:p w14:paraId="04A8974C" w14:textId="77777777" w:rsidR="00EA0FD7" w:rsidRPr="00EA0FD7" w:rsidRDefault="00EA0FD7" w:rsidP="00EA0FD7">
      <w:pPr>
        <w:spacing w:after="0" w:line="240" w:lineRule="auto"/>
        <w:jc w:val="center"/>
        <w:rPr>
          <w:rFonts w:ascii="Times New Roman" w:eastAsia="Times New Roman" w:hAnsi="Times New Roman" w:cs="Times New Roman"/>
          <w:b/>
          <w:bCs/>
          <w:sz w:val="24"/>
          <w:szCs w:val="24"/>
          <w:u w:val="single"/>
          <w:lang w:val="sr-Cyrl-RS" w:eastAsia="hr-HR"/>
        </w:rPr>
      </w:pPr>
    </w:p>
    <w:p w14:paraId="58F53732" w14:textId="77777777" w:rsidR="00AE5455" w:rsidRDefault="00AE5455" w:rsidP="0078010E">
      <w:pPr>
        <w:spacing w:after="0" w:line="240" w:lineRule="auto"/>
        <w:rPr>
          <w:rFonts w:ascii="Times New Roman" w:eastAsia="Times New Roman" w:hAnsi="Times New Roman" w:cs="Times New Roman"/>
          <w:b/>
          <w:bCs/>
          <w:sz w:val="24"/>
          <w:szCs w:val="24"/>
          <w:u w:val="single"/>
          <w:lang w:val="sr-Cyrl-RS" w:eastAsia="hr-HR"/>
        </w:rPr>
      </w:pPr>
    </w:p>
    <w:p w14:paraId="52C0E1E6" w14:textId="5A58FED8" w:rsidR="00EA0FD7" w:rsidRPr="00EA0FD7" w:rsidRDefault="00AE5455" w:rsidP="00EA0FD7">
      <w:pPr>
        <w:spacing w:after="0" w:line="240" w:lineRule="auto"/>
        <w:jc w:val="center"/>
        <w:rPr>
          <w:rFonts w:ascii="Times New Roman" w:eastAsia="Times New Roman" w:hAnsi="Times New Roman" w:cs="Times New Roman"/>
          <w:b/>
          <w:bCs/>
          <w:sz w:val="24"/>
          <w:szCs w:val="24"/>
          <w:u w:val="single"/>
          <w:lang w:val="sr-Cyrl-RS" w:eastAsia="hr-HR"/>
        </w:rPr>
      </w:pPr>
      <w:r>
        <w:rPr>
          <w:rFonts w:ascii="Times New Roman" w:eastAsia="Times New Roman" w:hAnsi="Times New Roman" w:cs="Times New Roman"/>
          <w:b/>
          <w:bCs/>
          <w:sz w:val="24"/>
          <w:szCs w:val="24"/>
          <w:u w:val="single"/>
          <w:lang w:val="bs-Cyrl-BA" w:eastAsia="hr-HR"/>
        </w:rPr>
        <w:lastRenderedPageBreak/>
        <w:t>Спољно</w:t>
      </w:r>
      <w:r w:rsidR="00EA0FD7" w:rsidRPr="00EA0FD7">
        <w:rPr>
          <w:rFonts w:ascii="Times New Roman" w:eastAsia="Times New Roman" w:hAnsi="Times New Roman" w:cs="Times New Roman"/>
          <w:b/>
          <w:bCs/>
          <w:sz w:val="24"/>
          <w:szCs w:val="24"/>
          <w:u w:val="single"/>
          <w:lang w:val="sr-Cyrl-RS" w:eastAsia="hr-HR"/>
        </w:rPr>
        <w:t>трговинска размјена</w:t>
      </w:r>
    </w:p>
    <w:p w14:paraId="4CA72399"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p>
    <w:p w14:paraId="430D85C4"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p>
    <w:p w14:paraId="78D17A3B" w14:textId="0E4DFAE9"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 xml:space="preserve"> Кретања </w:t>
      </w:r>
      <w:r w:rsidR="00AE5455">
        <w:rPr>
          <w:rFonts w:ascii="Times New Roman" w:eastAsia="Times New Roman" w:hAnsi="Times New Roman" w:cs="Times New Roman"/>
          <w:b/>
          <w:bCs/>
          <w:sz w:val="24"/>
          <w:szCs w:val="24"/>
          <w:lang w:val="sr-Cyrl-RS" w:eastAsia="hr-HR"/>
        </w:rPr>
        <w:t>спољно</w:t>
      </w:r>
      <w:r w:rsidRPr="00EA0FD7">
        <w:rPr>
          <w:rFonts w:ascii="Times New Roman" w:eastAsia="Times New Roman" w:hAnsi="Times New Roman" w:cs="Times New Roman"/>
          <w:b/>
          <w:bCs/>
          <w:sz w:val="24"/>
          <w:szCs w:val="24"/>
          <w:lang w:val="sr-Cyrl-RS" w:eastAsia="hr-HR"/>
        </w:rPr>
        <w:t xml:space="preserve">трговинске размјене у 2021. години </w:t>
      </w:r>
    </w:p>
    <w:p w14:paraId="174B14F5"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66FC7A8" w14:textId="3B15FB2F"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Побољшање епидемиолошких прилика и јачање привредне активности у свијету у 2021. години резултирало је снажним опоравком </w:t>
      </w:r>
      <w:r w:rsidR="00AE5455">
        <w:rPr>
          <w:rFonts w:ascii="Times New Roman" w:eastAsia="Times New Roman" w:hAnsi="Times New Roman" w:cs="Times New Roman"/>
          <w:sz w:val="24"/>
          <w:szCs w:val="24"/>
          <w:lang w:val="sr-Cyrl-RS" w:eastAsia="hr-HR"/>
        </w:rPr>
        <w:t>спољно</w:t>
      </w:r>
      <w:r w:rsidRPr="00EA0FD7">
        <w:rPr>
          <w:rFonts w:ascii="Times New Roman" w:eastAsia="Times New Roman" w:hAnsi="Times New Roman" w:cs="Times New Roman"/>
          <w:sz w:val="24"/>
          <w:szCs w:val="24"/>
          <w:lang w:val="sr-Cyrl-RS" w:eastAsia="hr-HR"/>
        </w:rPr>
        <w:t xml:space="preserve">трговинске робне размјене у Босни и Херцеговини. Тако је Босна и Херцеговина према подацима БХАС-а за 2021. годину забиљежила раст свих </w:t>
      </w:r>
      <w:r w:rsidR="00AE5455">
        <w:rPr>
          <w:rFonts w:ascii="Times New Roman" w:eastAsia="Times New Roman" w:hAnsi="Times New Roman" w:cs="Times New Roman"/>
          <w:sz w:val="24"/>
          <w:szCs w:val="24"/>
          <w:lang w:val="sr-Cyrl-RS" w:eastAsia="hr-HR"/>
        </w:rPr>
        <w:t>спољно</w:t>
      </w:r>
      <w:r w:rsidRPr="00EA0FD7">
        <w:rPr>
          <w:rFonts w:ascii="Times New Roman" w:eastAsia="Times New Roman" w:hAnsi="Times New Roman" w:cs="Times New Roman"/>
          <w:sz w:val="24"/>
          <w:szCs w:val="24"/>
          <w:lang w:val="sr-Cyrl-RS" w:eastAsia="hr-HR"/>
        </w:rPr>
        <w:t xml:space="preserve">трговинских показатеља. Вриједносно посматрано, укупна </w:t>
      </w:r>
      <w:r w:rsidR="00AE5455">
        <w:rPr>
          <w:rFonts w:ascii="Times New Roman" w:eastAsia="Times New Roman" w:hAnsi="Times New Roman" w:cs="Times New Roman"/>
          <w:sz w:val="24"/>
          <w:szCs w:val="24"/>
          <w:lang w:val="sr-Cyrl-RS" w:eastAsia="hr-HR"/>
        </w:rPr>
        <w:t>спољно</w:t>
      </w:r>
      <w:r w:rsidRPr="00EA0FD7">
        <w:rPr>
          <w:rFonts w:ascii="Times New Roman" w:eastAsia="Times New Roman" w:hAnsi="Times New Roman" w:cs="Times New Roman"/>
          <w:sz w:val="24"/>
          <w:szCs w:val="24"/>
          <w:lang w:val="sr-Cyrl-RS" w:eastAsia="hr-HR"/>
        </w:rPr>
        <w:t xml:space="preserve">трговинска робна размјена у Босни и Херцеговини у 2021. години износила је скоро 36 милијарди КМ, што представља повећање од 8,5 милијарди КМ односно 30,9% у односу на претходну годину. Извоз роба из Босне и Херцеговине у 2021. години износио је 14,3 милијарде КМ што је представљало повећање од скоро 3,8 милијарди КМ односно скоро 36%. Увоз роба је износио 21,6 милијарди КМ и увећан је за скоро 28% у односу на претходну годину. На основу ових показатеља може се констатовати да се </w:t>
      </w:r>
      <w:r w:rsidR="00AE5455">
        <w:rPr>
          <w:rFonts w:ascii="Times New Roman" w:eastAsia="Times New Roman" w:hAnsi="Times New Roman" w:cs="Times New Roman"/>
          <w:sz w:val="24"/>
          <w:szCs w:val="24"/>
          <w:lang w:val="sr-Cyrl-RS" w:eastAsia="hr-HR"/>
        </w:rPr>
        <w:t>спољно</w:t>
      </w:r>
      <w:r w:rsidRPr="00EA0FD7">
        <w:rPr>
          <w:rFonts w:ascii="Times New Roman" w:eastAsia="Times New Roman" w:hAnsi="Times New Roman" w:cs="Times New Roman"/>
          <w:sz w:val="24"/>
          <w:szCs w:val="24"/>
          <w:lang w:val="sr-Cyrl-RS" w:eastAsia="hr-HR"/>
        </w:rPr>
        <w:t xml:space="preserve">трговинска робна размјена у Босни и Херцеговини прилично добро опоравила након пандемије што је и наговјештавано у оквиру ранијих извјештаја. Наиме, Босна и Херцеговина је бар у оквиру </w:t>
      </w:r>
      <w:r w:rsidR="00AE5455">
        <w:rPr>
          <w:rFonts w:ascii="Times New Roman" w:eastAsia="Times New Roman" w:hAnsi="Times New Roman" w:cs="Times New Roman"/>
          <w:sz w:val="24"/>
          <w:szCs w:val="24"/>
          <w:lang w:val="sr-Cyrl-RS" w:eastAsia="hr-HR"/>
        </w:rPr>
        <w:t>спољно</w:t>
      </w:r>
      <w:r w:rsidRPr="00EA0FD7">
        <w:rPr>
          <w:rFonts w:ascii="Times New Roman" w:eastAsia="Times New Roman" w:hAnsi="Times New Roman" w:cs="Times New Roman"/>
          <w:sz w:val="24"/>
          <w:szCs w:val="24"/>
          <w:lang w:val="sr-Cyrl-RS" w:eastAsia="hr-HR"/>
        </w:rPr>
        <w:t xml:space="preserve">трговинске робне размјене успјела у потпуности надокнадити губитке из претходне године, па чак и надмашити резултате </w:t>
      </w:r>
      <w:r w:rsidR="00AE5455">
        <w:rPr>
          <w:rFonts w:ascii="Times New Roman" w:eastAsia="Times New Roman" w:hAnsi="Times New Roman" w:cs="Times New Roman"/>
          <w:sz w:val="24"/>
          <w:szCs w:val="24"/>
          <w:lang w:val="sr-Cyrl-RS" w:eastAsia="hr-HR"/>
        </w:rPr>
        <w:t>спољно</w:t>
      </w:r>
      <w:r w:rsidRPr="00EA0FD7">
        <w:rPr>
          <w:rFonts w:ascii="Times New Roman" w:eastAsia="Times New Roman" w:hAnsi="Times New Roman" w:cs="Times New Roman"/>
          <w:sz w:val="24"/>
          <w:szCs w:val="24"/>
          <w:lang w:val="sr-Cyrl-RS" w:eastAsia="hr-HR"/>
        </w:rPr>
        <w:t>трговинске робне размјене из 2018</w:t>
      </w:r>
      <w:r w:rsid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и 2019. године које су биле релативно успјешне. Међутим, приликом интерпретације ових показатеља вриједи истаћи исто тако да приказане стопе раста представљају номинална повећања и да су под ут</w:t>
      </w:r>
      <w:r w:rsidR="00AE5455">
        <w:rPr>
          <w:rFonts w:ascii="Times New Roman" w:eastAsia="Times New Roman" w:hAnsi="Times New Roman" w:cs="Times New Roman"/>
          <w:sz w:val="24"/>
          <w:szCs w:val="24"/>
          <w:lang w:val="sr-Cyrl-RS" w:eastAsia="hr-HR"/>
        </w:rPr>
        <w:t>и</w:t>
      </w:r>
      <w:r w:rsidRPr="00EA0FD7">
        <w:rPr>
          <w:rFonts w:ascii="Times New Roman" w:eastAsia="Times New Roman" w:hAnsi="Times New Roman" w:cs="Times New Roman"/>
          <w:sz w:val="24"/>
          <w:szCs w:val="24"/>
          <w:lang w:val="sr-Cyrl-RS" w:eastAsia="hr-HR"/>
        </w:rPr>
        <w:t>цајем како базног тако и цјеновног ефекта. Наиме, према расположивим подацима БХАС-а за  2021. годину у Босни и Херцеговини је забиљежен раст извозних и увозних цијена од око 15% у односу на исти период претходне године, тако да су реална повећања знатно нижа у односу на номинална.</w:t>
      </w:r>
      <w:r w:rsidRPr="00EA0FD7">
        <w:rPr>
          <w:rFonts w:ascii="Times New Roman" w:eastAsia="Times New Roman" w:hAnsi="Times New Roman" w:cs="Times New Roman"/>
          <w:sz w:val="24"/>
          <w:szCs w:val="24"/>
          <w:vertAlign w:val="superscript"/>
          <w:lang w:val="sr-Cyrl-RS" w:eastAsia="hr-HR"/>
        </w:rPr>
        <w:footnoteReference w:id="23"/>
      </w:r>
      <w:r w:rsidRPr="00EA0FD7">
        <w:rPr>
          <w:rFonts w:ascii="Times New Roman" w:eastAsia="Times New Roman" w:hAnsi="Times New Roman" w:cs="Times New Roman"/>
          <w:sz w:val="24"/>
          <w:szCs w:val="24"/>
          <w:lang w:val="sr-Cyrl-RS" w:eastAsia="hr-HR"/>
        </w:rPr>
        <w:t xml:space="preserve"> С друге стране, поред повећања роба побољшање епидемиолошке ситуације резултирало је повећањем у оквиру извоза услуга (туризам) што је додатно оснажило раст </w:t>
      </w:r>
      <w:r w:rsidR="00AE5455">
        <w:rPr>
          <w:rFonts w:ascii="Times New Roman" w:eastAsia="Times New Roman" w:hAnsi="Times New Roman" w:cs="Times New Roman"/>
          <w:sz w:val="24"/>
          <w:szCs w:val="24"/>
          <w:lang w:val="sr-Cyrl-RS" w:eastAsia="hr-HR"/>
        </w:rPr>
        <w:t>спољно</w:t>
      </w:r>
      <w:r w:rsidRPr="00EA0FD7">
        <w:rPr>
          <w:rFonts w:ascii="Times New Roman" w:eastAsia="Times New Roman" w:hAnsi="Times New Roman" w:cs="Times New Roman"/>
          <w:sz w:val="24"/>
          <w:szCs w:val="24"/>
          <w:lang w:val="sr-Cyrl-RS" w:eastAsia="hr-HR"/>
        </w:rPr>
        <w:t xml:space="preserve">трговинске размјене у Босни и Херцеговини у 2021. години. </w:t>
      </w:r>
    </w:p>
    <w:p w14:paraId="794B4AE6"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588555B6"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8B2C9F8" w14:textId="5E3A0F32"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 xml:space="preserve">Пројекција  кретања </w:t>
      </w:r>
      <w:r w:rsidR="00AE5455">
        <w:rPr>
          <w:rFonts w:ascii="Times New Roman" w:eastAsia="Times New Roman" w:hAnsi="Times New Roman" w:cs="Times New Roman"/>
          <w:b/>
          <w:bCs/>
          <w:sz w:val="24"/>
          <w:szCs w:val="24"/>
          <w:lang w:val="sr-Cyrl-RS" w:eastAsia="hr-HR"/>
        </w:rPr>
        <w:t>спољно</w:t>
      </w:r>
      <w:r w:rsidRPr="00EA0FD7">
        <w:rPr>
          <w:rFonts w:ascii="Times New Roman" w:eastAsia="Times New Roman" w:hAnsi="Times New Roman" w:cs="Times New Roman"/>
          <w:b/>
          <w:bCs/>
          <w:sz w:val="24"/>
          <w:szCs w:val="24"/>
          <w:lang w:val="sr-Cyrl-RS" w:eastAsia="hr-HR"/>
        </w:rPr>
        <w:t>трговинске размјене за период 2022</w:t>
      </w:r>
      <w:r w:rsidR="00AE5455">
        <w:rPr>
          <w:rFonts w:ascii="Times New Roman" w:eastAsia="Times New Roman" w:hAnsi="Times New Roman" w:cs="Times New Roman"/>
          <w:b/>
          <w:bCs/>
          <w:sz w:val="24"/>
          <w:szCs w:val="24"/>
          <w:lang w:val="sr-Cyrl-RS" w:eastAsia="hr-HR"/>
        </w:rPr>
        <w:t>–</w:t>
      </w:r>
      <w:r w:rsidRPr="00EA0FD7">
        <w:rPr>
          <w:rFonts w:ascii="Times New Roman" w:eastAsia="Times New Roman" w:hAnsi="Times New Roman" w:cs="Times New Roman"/>
          <w:b/>
          <w:bCs/>
          <w:sz w:val="24"/>
          <w:szCs w:val="24"/>
          <w:lang w:val="sr-Cyrl-RS" w:eastAsia="hr-HR"/>
        </w:rPr>
        <w:t>2025. године</w:t>
      </w:r>
    </w:p>
    <w:p w14:paraId="0DFB0B55" w14:textId="77777777"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p>
    <w:p w14:paraId="72EE865B" w14:textId="4E94786C"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С друге стране, тренутно расположиви подаци о </w:t>
      </w:r>
      <w:r w:rsidR="00AE5455">
        <w:rPr>
          <w:rFonts w:ascii="Times New Roman" w:eastAsia="Times New Roman" w:hAnsi="Times New Roman" w:cs="Times New Roman"/>
          <w:sz w:val="24"/>
          <w:szCs w:val="24"/>
          <w:lang w:val="sr-Cyrl-RS" w:eastAsia="hr-HR"/>
        </w:rPr>
        <w:t>спољно</w:t>
      </w:r>
      <w:r w:rsidRPr="00EA0FD7">
        <w:rPr>
          <w:rFonts w:ascii="Times New Roman" w:eastAsia="Times New Roman" w:hAnsi="Times New Roman" w:cs="Times New Roman"/>
          <w:sz w:val="24"/>
          <w:szCs w:val="24"/>
          <w:lang w:val="sr-Cyrl-RS" w:eastAsia="hr-HR"/>
        </w:rPr>
        <w:t xml:space="preserve">трговинској робној размјени у јануару </w:t>
      </w:r>
      <w:r w:rsidRPr="00EA0FD7">
        <w:rPr>
          <w:rFonts w:ascii="Times New Roman" w:eastAsia="Times New Roman" w:hAnsi="Times New Roman" w:cs="Times New Roman"/>
          <w:b/>
          <w:bCs/>
          <w:sz w:val="24"/>
          <w:szCs w:val="24"/>
          <w:lang w:val="sr-Cyrl-RS" w:eastAsia="hr-HR"/>
        </w:rPr>
        <w:t>2022. године</w:t>
      </w:r>
      <w:r w:rsidRPr="00EA0FD7">
        <w:rPr>
          <w:rFonts w:ascii="Times New Roman" w:eastAsia="Times New Roman" w:hAnsi="Times New Roman" w:cs="Times New Roman"/>
          <w:sz w:val="24"/>
          <w:szCs w:val="24"/>
          <w:lang w:val="sr-Cyrl-RS" w:eastAsia="hr-HR"/>
        </w:rPr>
        <w:t xml:space="preserve"> указују на то да је тренд раста из претходне године настављен. Тако је Босна и Херцеговина према подацима БХАС-а за јануар 2022. године остварила извоз роба у вриједности од 1,3 милијарде КМ што представља повећање од 437 милиона КМ, односно 49,4% у односу на исти мјесец претходне године.</w:t>
      </w:r>
      <w:r w:rsidRPr="00EA0FD7">
        <w:rPr>
          <w:rFonts w:ascii="Times New Roman" w:eastAsia="Times New Roman" w:hAnsi="Times New Roman" w:cs="Times New Roman"/>
          <w:sz w:val="24"/>
          <w:szCs w:val="24"/>
          <w:vertAlign w:val="superscript"/>
          <w:lang w:val="sr-Cyrl-RS" w:eastAsia="hr-HR"/>
        </w:rPr>
        <w:t xml:space="preserve"> </w:t>
      </w:r>
      <w:r w:rsidRPr="00EA0FD7">
        <w:rPr>
          <w:rFonts w:ascii="Times New Roman" w:eastAsia="Times New Roman" w:hAnsi="Times New Roman" w:cs="Times New Roman"/>
          <w:sz w:val="24"/>
          <w:szCs w:val="24"/>
          <w:lang w:val="sr-Cyrl-RS" w:eastAsia="hr-HR"/>
        </w:rPr>
        <w:footnoteReference w:id="24"/>
      </w:r>
      <w:r w:rsidRPr="00EA0FD7">
        <w:rPr>
          <w:rFonts w:ascii="Times New Roman" w:eastAsia="Times New Roman" w:hAnsi="Times New Roman" w:cs="Times New Roman"/>
          <w:sz w:val="24"/>
          <w:szCs w:val="24"/>
          <w:lang w:val="sr-Cyrl-RS" w:eastAsia="hr-HR"/>
        </w:rPr>
        <w:t xml:space="preserve">  Међутим, приликом интерпретације ових прилично високих стопа раста потребно је имати на уму цјеновни ефекат који је највјероватније довео до овако високих повећања. Иако подаци о кретањима извозних цијена за јануар 2022. године нису били доступни, подаци ММФ указују да је укупни индекс свјетских цијена увећан за преко 30%, при чему су највећа повећања забиљежена у оквиру категорије нафта и енергенти. </w:t>
      </w:r>
    </w:p>
    <w:p w14:paraId="43A54007"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59626D5" w14:textId="56B5CFF0"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sz w:val="24"/>
          <w:szCs w:val="24"/>
          <w:lang w:val="sr-Cyrl-RS" w:eastAsia="hr-HR"/>
        </w:rPr>
        <w:t xml:space="preserve">С друге стране, </w:t>
      </w:r>
      <w:r w:rsidRPr="00EA0FD7">
        <w:rPr>
          <w:rFonts w:ascii="Times New Roman" w:eastAsia="Times New Roman" w:hAnsi="Times New Roman" w:cs="Times New Roman"/>
          <w:color w:val="000000"/>
          <w:sz w:val="24"/>
          <w:szCs w:val="24"/>
          <w:lang w:val="sr-Cyrl-RS" w:eastAsia="hr-HR"/>
        </w:rPr>
        <w:t xml:space="preserve">према тренутно расположивим пројекцијама у земљама ЕУ се у 2022. години наставак тренда економског раста  пројицираном стопом од око 4% што би требало довести до повећања укупне </w:t>
      </w:r>
      <w:r w:rsidR="00AE5455">
        <w:rPr>
          <w:rFonts w:ascii="Times New Roman" w:eastAsia="Times New Roman" w:hAnsi="Times New Roman" w:cs="Times New Roman"/>
          <w:color w:val="000000"/>
          <w:sz w:val="24"/>
          <w:szCs w:val="24"/>
          <w:lang w:val="sr-Cyrl-RS" w:eastAsia="hr-HR"/>
        </w:rPr>
        <w:t>спољно</w:t>
      </w:r>
      <w:r w:rsidRPr="00EA0FD7">
        <w:rPr>
          <w:rFonts w:ascii="Times New Roman" w:eastAsia="Times New Roman" w:hAnsi="Times New Roman" w:cs="Times New Roman"/>
          <w:color w:val="000000"/>
          <w:sz w:val="24"/>
          <w:szCs w:val="24"/>
          <w:lang w:val="sr-Cyrl-RS" w:eastAsia="hr-HR"/>
        </w:rPr>
        <w:t>трговинске робне размјене.</w:t>
      </w:r>
      <w:r w:rsidRPr="00AE5455">
        <w:rPr>
          <w:rFonts w:ascii="Times New Roman" w:eastAsia="Times New Roman" w:hAnsi="Times New Roman" w:cs="Times New Roman"/>
          <w:color w:val="000000"/>
          <w:sz w:val="24"/>
          <w:szCs w:val="24"/>
          <w:vertAlign w:val="superscript"/>
          <w:lang w:val="sr-Cyrl-RS" w:eastAsia="hr-HR"/>
        </w:rPr>
        <w:footnoteReference w:id="25"/>
      </w:r>
      <w:r w:rsidRPr="00EA0FD7">
        <w:rPr>
          <w:rFonts w:ascii="Times New Roman" w:eastAsia="Times New Roman" w:hAnsi="Times New Roman" w:cs="Times New Roman"/>
          <w:color w:val="000000"/>
          <w:sz w:val="24"/>
          <w:szCs w:val="24"/>
          <w:lang w:val="sr-Cyrl-RS" w:eastAsia="hr-HR"/>
        </w:rPr>
        <w:t xml:space="preserve"> У складу са овим кретањима и претпоставкама ДЕП-а из основног сценарија за 2022. годину је да се у  Босни и Херцеговини може очекивати релативно добар опоравак у оквиру </w:t>
      </w:r>
      <w:r w:rsidR="00AE5455">
        <w:rPr>
          <w:rFonts w:ascii="Times New Roman" w:eastAsia="Times New Roman" w:hAnsi="Times New Roman" w:cs="Times New Roman"/>
          <w:color w:val="000000"/>
          <w:sz w:val="24"/>
          <w:szCs w:val="24"/>
          <w:lang w:val="sr-Cyrl-RS" w:eastAsia="hr-HR"/>
        </w:rPr>
        <w:t>спољно</w:t>
      </w:r>
      <w:r w:rsidRPr="00EA0FD7">
        <w:rPr>
          <w:rFonts w:ascii="Times New Roman" w:eastAsia="Times New Roman" w:hAnsi="Times New Roman" w:cs="Times New Roman"/>
          <w:color w:val="000000"/>
          <w:sz w:val="24"/>
          <w:szCs w:val="24"/>
          <w:lang w:val="sr-Cyrl-RS" w:eastAsia="hr-HR"/>
        </w:rPr>
        <w:t>трговинске робне размјене са свијетом посебно у домену трговине ро</w:t>
      </w:r>
      <w:r w:rsidR="00A10E7A">
        <w:rPr>
          <w:rFonts w:ascii="Times New Roman" w:eastAsia="Times New Roman" w:hAnsi="Times New Roman" w:cs="Times New Roman"/>
          <w:color w:val="000000"/>
          <w:sz w:val="24"/>
          <w:szCs w:val="24"/>
          <w:lang w:val="sr-Cyrl-RS" w:eastAsia="hr-HR"/>
        </w:rPr>
        <w:t>бам</w:t>
      </w:r>
      <w:r w:rsidRPr="00EA0FD7">
        <w:rPr>
          <w:rFonts w:ascii="Times New Roman" w:eastAsia="Times New Roman" w:hAnsi="Times New Roman" w:cs="Times New Roman"/>
          <w:color w:val="000000"/>
          <w:sz w:val="24"/>
          <w:szCs w:val="24"/>
          <w:lang w:val="sr-Cyrl-RS" w:eastAsia="hr-HR"/>
        </w:rPr>
        <w:t xml:space="preserve">а. Наиме, према пројекцијама ДЕП-а у 2022. години у Босни и Херцеговини се очекује раст укупног извоза од 10,6% у реалном смислу ношен растом извоза роба са очекиваном стопом раста од 12,3%, док је очекивани раст извоза услуга </w:t>
      </w:r>
      <w:r w:rsidRPr="00EA0FD7">
        <w:rPr>
          <w:rFonts w:ascii="Times New Roman" w:eastAsia="Times New Roman" w:hAnsi="Times New Roman" w:cs="Times New Roman"/>
          <w:color w:val="000000"/>
          <w:sz w:val="24"/>
          <w:szCs w:val="24"/>
          <w:lang w:val="sr-Cyrl-RS" w:eastAsia="hr-HR"/>
        </w:rPr>
        <w:lastRenderedPageBreak/>
        <w:t xml:space="preserve">око 5%. Међутим, тренд раста свјетских цијена засигурно ће током 2022. године имати </w:t>
      </w:r>
      <w:r w:rsidR="00AE5455">
        <w:rPr>
          <w:rFonts w:ascii="Times New Roman" w:eastAsia="Times New Roman" w:hAnsi="Times New Roman" w:cs="Times New Roman"/>
          <w:color w:val="000000"/>
          <w:sz w:val="24"/>
          <w:szCs w:val="24"/>
          <w:lang w:val="sr-Cyrl-RS" w:eastAsia="hr-HR"/>
        </w:rPr>
        <w:t>утицај</w:t>
      </w:r>
      <w:r w:rsidRPr="00EA0FD7">
        <w:rPr>
          <w:rFonts w:ascii="Times New Roman" w:eastAsia="Times New Roman" w:hAnsi="Times New Roman" w:cs="Times New Roman"/>
          <w:color w:val="000000"/>
          <w:sz w:val="24"/>
          <w:szCs w:val="24"/>
          <w:lang w:val="sr-Cyrl-RS" w:eastAsia="hr-HR"/>
        </w:rPr>
        <w:t xml:space="preserve"> на  кретање босанскохерцеговачког извоза. Стога су очекиване номиналне стопе раста знатно више од реалних па се у складу с тим на крају 2022. године може очекивати номинални раст укупног извоза од преко 20%. С друге стране, обзиром да је Босна и Херцеговина прилично увоз</w:t>
      </w:r>
      <w:r w:rsidR="00AE5455">
        <w:rPr>
          <w:rFonts w:ascii="Times New Roman" w:eastAsia="Times New Roman" w:hAnsi="Times New Roman" w:cs="Times New Roman"/>
          <w:color w:val="000000"/>
          <w:sz w:val="24"/>
          <w:szCs w:val="24"/>
          <w:lang w:val="sr-Cyrl-RS" w:eastAsia="hr-HR"/>
        </w:rPr>
        <w:t>н</w:t>
      </w:r>
      <w:r w:rsidRPr="00EA0FD7">
        <w:rPr>
          <w:rFonts w:ascii="Times New Roman" w:eastAsia="Times New Roman" w:hAnsi="Times New Roman" w:cs="Times New Roman"/>
          <w:color w:val="000000"/>
          <w:sz w:val="24"/>
          <w:szCs w:val="24"/>
          <w:lang w:val="sr-Cyrl-RS" w:eastAsia="hr-HR"/>
        </w:rPr>
        <w:t xml:space="preserve">о зависна економија  у 2022. години се може очекивати и реални раст укупног увоза од око 6% са уједначеним стопама раста увоза роба и услуга. Као што је то случај са кретањем извоза, очекивани раст увозних цијена би резултирао знатно вишом стопом раста увоза у номиналном смислу од 19,3% на крају 2022. године. Оваква кретања извоза и увоза у коначници би на крају 2022. године требали резултирати смањењем </w:t>
      </w:r>
      <w:r w:rsidR="00AE5455">
        <w:rPr>
          <w:rFonts w:ascii="Times New Roman" w:eastAsia="Times New Roman" w:hAnsi="Times New Roman" w:cs="Times New Roman"/>
          <w:color w:val="000000"/>
          <w:sz w:val="24"/>
          <w:szCs w:val="24"/>
          <w:lang w:val="sr-Cyrl-RS" w:eastAsia="hr-HR"/>
        </w:rPr>
        <w:t>спољно</w:t>
      </w:r>
      <w:r w:rsidRPr="00EA0FD7">
        <w:rPr>
          <w:rFonts w:ascii="Times New Roman" w:eastAsia="Times New Roman" w:hAnsi="Times New Roman" w:cs="Times New Roman"/>
          <w:color w:val="000000"/>
          <w:sz w:val="24"/>
          <w:szCs w:val="24"/>
          <w:lang w:val="sr-Cyrl-RS" w:eastAsia="hr-HR"/>
        </w:rPr>
        <w:t xml:space="preserve">трговинског дефицита за око 8,5%, тако да би трговински биланс имао позитиван </w:t>
      </w:r>
      <w:r w:rsidR="00AE5455">
        <w:rPr>
          <w:rFonts w:ascii="Times New Roman" w:eastAsia="Times New Roman" w:hAnsi="Times New Roman" w:cs="Times New Roman"/>
          <w:color w:val="000000"/>
          <w:sz w:val="24"/>
          <w:szCs w:val="24"/>
          <w:lang w:val="sr-Cyrl-RS" w:eastAsia="hr-HR"/>
        </w:rPr>
        <w:t>утицај</w:t>
      </w:r>
      <w:r w:rsidRPr="00EA0FD7">
        <w:rPr>
          <w:rFonts w:ascii="Times New Roman" w:eastAsia="Times New Roman" w:hAnsi="Times New Roman" w:cs="Times New Roman"/>
          <w:color w:val="000000"/>
          <w:sz w:val="24"/>
          <w:szCs w:val="24"/>
          <w:lang w:val="sr-Cyrl-RS" w:eastAsia="hr-HR"/>
        </w:rPr>
        <w:t xml:space="preserve"> на пројицирани економски раст у 2022. години од преко 1 п.</w:t>
      </w:r>
      <w:r w:rsidR="00AE5455">
        <w:rPr>
          <w:rFonts w:ascii="Times New Roman" w:eastAsia="Times New Roman" w:hAnsi="Times New Roman" w:cs="Times New Roman"/>
          <w:color w:val="000000"/>
          <w:sz w:val="24"/>
          <w:szCs w:val="24"/>
          <w:lang w:val="sr-Cyrl-RS" w:eastAsia="hr-HR"/>
        </w:rPr>
        <w:t xml:space="preserve"> </w:t>
      </w:r>
      <w:r w:rsidRPr="00EA0FD7">
        <w:rPr>
          <w:rFonts w:ascii="Times New Roman" w:eastAsia="Times New Roman" w:hAnsi="Times New Roman" w:cs="Times New Roman"/>
          <w:color w:val="000000"/>
          <w:sz w:val="24"/>
          <w:szCs w:val="24"/>
          <w:lang w:val="sr-Cyrl-RS" w:eastAsia="hr-HR"/>
        </w:rPr>
        <w:t>п.</w:t>
      </w:r>
    </w:p>
    <w:p w14:paraId="5C5C8E7F"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p>
    <w:p w14:paraId="65D38529" w14:textId="60C50367"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 xml:space="preserve">Кретање привредне активности и епидемиолошка ситуација у земљи и екстерном окружењу  у средњорочном периоду засигурно ће представљати главну детерминанту кретања </w:t>
      </w:r>
      <w:r w:rsidR="00AE5455">
        <w:rPr>
          <w:rFonts w:ascii="Times New Roman" w:eastAsia="Times New Roman" w:hAnsi="Times New Roman" w:cs="Times New Roman"/>
          <w:color w:val="000000"/>
          <w:sz w:val="24"/>
          <w:szCs w:val="24"/>
          <w:lang w:val="sr-Cyrl-RS" w:eastAsia="hr-HR"/>
        </w:rPr>
        <w:t>спољно</w:t>
      </w:r>
      <w:r w:rsidRPr="00EA0FD7">
        <w:rPr>
          <w:rFonts w:ascii="Times New Roman" w:eastAsia="Times New Roman" w:hAnsi="Times New Roman" w:cs="Times New Roman"/>
          <w:color w:val="000000"/>
          <w:sz w:val="24"/>
          <w:szCs w:val="24"/>
          <w:lang w:val="sr-Cyrl-RS" w:eastAsia="hr-HR"/>
        </w:rPr>
        <w:t xml:space="preserve">трговинске робне размјене у Босни и Херцеговини. Само под претпоставком побољшања привредне активности и санирања новонасталих глобалних економских изазова са којима се суочава свјетска економија могуће је очекивати и побољшање </w:t>
      </w:r>
      <w:r w:rsidR="00AE5455">
        <w:rPr>
          <w:rFonts w:ascii="Times New Roman" w:eastAsia="Times New Roman" w:hAnsi="Times New Roman" w:cs="Times New Roman"/>
          <w:color w:val="000000"/>
          <w:sz w:val="24"/>
          <w:szCs w:val="24"/>
          <w:lang w:val="sr-Cyrl-RS" w:eastAsia="hr-HR"/>
        </w:rPr>
        <w:t>спољно</w:t>
      </w:r>
      <w:r w:rsidRPr="00EA0FD7">
        <w:rPr>
          <w:rFonts w:ascii="Times New Roman" w:eastAsia="Times New Roman" w:hAnsi="Times New Roman" w:cs="Times New Roman"/>
          <w:color w:val="000000"/>
          <w:sz w:val="24"/>
          <w:szCs w:val="24"/>
          <w:lang w:val="sr-Cyrl-RS" w:eastAsia="hr-HR"/>
        </w:rPr>
        <w:t>трговинске размјене у Босни и Херцеговини. Дакле, у случају да наведене околности буду превазиђене, пројекција ДЕП-а је да би се у Босни и Херцеговини  у периоду 2023</w:t>
      </w:r>
      <w:r w:rsidR="00AE5455">
        <w:rPr>
          <w:rFonts w:ascii="Times New Roman" w:eastAsia="Times New Roman" w:hAnsi="Times New Roman" w:cs="Times New Roman"/>
          <w:color w:val="000000"/>
          <w:sz w:val="24"/>
          <w:szCs w:val="24"/>
          <w:lang w:val="sr-Cyrl-RS" w:eastAsia="hr-HR"/>
        </w:rPr>
        <w:t>–</w:t>
      </w:r>
      <w:r w:rsidRPr="00EA0FD7">
        <w:rPr>
          <w:rFonts w:ascii="Times New Roman" w:eastAsia="Times New Roman" w:hAnsi="Times New Roman" w:cs="Times New Roman"/>
          <w:color w:val="000000"/>
          <w:sz w:val="24"/>
          <w:szCs w:val="24"/>
          <w:lang w:val="sr-Cyrl-RS" w:eastAsia="hr-HR"/>
        </w:rPr>
        <w:t>2025. година могло очекивати реално  повећање укупног  извоза са годишњим стопама раста од 6,9% у 2023, 6,2% у 2024. и 6,1% у 2025. години у реалном смислу респективно.</w:t>
      </w:r>
      <w:r w:rsidRPr="00EA0FD7">
        <w:rPr>
          <w:rFonts w:ascii="Times New Roman" w:eastAsia="Times New Roman" w:hAnsi="Times New Roman" w:cs="Times New Roman"/>
          <w:sz w:val="24"/>
          <w:szCs w:val="24"/>
          <w:vertAlign w:val="superscript"/>
          <w:lang w:val="sr-Cyrl-RS" w:eastAsia="hr-HR"/>
        </w:rPr>
        <w:footnoteReference w:id="26"/>
      </w:r>
      <w:r w:rsidRPr="00EA0FD7">
        <w:rPr>
          <w:rFonts w:ascii="Times New Roman" w:eastAsia="Times New Roman" w:hAnsi="Times New Roman" w:cs="Times New Roman"/>
          <w:color w:val="000000"/>
          <w:sz w:val="24"/>
          <w:szCs w:val="24"/>
          <w:lang w:val="sr-Cyrl-RS" w:eastAsia="hr-HR"/>
        </w:rPr>
        <w:t xml:space="preserve"> Ово повећање извоза у</w:t>
      </w:r>
      <w:r w:rsidR="00AE5455">
        <w:rPr>
          <w:rFonts w:ascii="Times New Roman" w:eastAsia="Times New Roman" w:hAnsi="Times New Roman" w:cs="Times New Roman"/>
          <w:color w:val="000000"/>
          <w:sz w:val="24"/>
          <w:szCs w:val="24"/>
          <w:lang w:val="sr-Cyrl-RS" w:eastAsia="hr-HR"/>
        </w:rPr>
        <w:t>словљено</w:t>
      </w:r>
      <w:r w:rsidRPr="00EA0FD7">
        <w:rPr>
          <w:rFonts w:ascii="Times New Roman" w:eastAsia="Times New Roman" w:hAnsi="Times New Roman" w:cs="Times New Roman"/>
          <w:color w:val="000000"/>
          <w:sz w:val="24"/>
          <w:szCs w:val="24"/>
          <w:lang w:val="sr-Cyrl-RS" w:eastAsia="hr-HR"/>
        </w:rPr>
        <w:t xml:space="preserve"> је стабилном извозном тражњом, проширењем производне базе и подизањем конкурентности у земљи. У прилог овим очекивањима иду и пројекције повећања увоза у ЕУ током наведеног периода. С друге стране, повећање економске активности у земљи, односно раст домаће тражње у оквиру сектора становништва и корпоративног сектора кроз нешто бржи раст потрошње и инвестиција требали би резултирати и повећањем увоза у Босну и Херцеговину. Према пројекцијама ДЕП-а очекује се да стопе раста увоза буду нешто ниже у односу на извозне и требале би се кретати од 4,1% у 2023. години, 4,0% у 2024. години и 4,6% у 2025. години.</w:t>
      </w:r>
      <w:r w:rsidRPr="00EA0FD7">
        <w:rPr>
          <w:rFonts w:ascii="Times New Roman" w:eastAsia="Times New Roman" w:hAnsi="Times New Roman" w:cs="Times New Roman"/>
          <w:sz w:val="24"/>
          <w:szCs w:val="24"/>
          <w:vertAlign w:val="superscript"/>
          <w:lang w:val="sr-Cyrl-RS" w:eastAsia="hr-HR"/>
        </w:rPr>
        <w:footnoteReference w:id="27"/>
      </w:r>
      <w:r w:rsidRPr="00EA0FD7">
        <w:rPr>
          <w:rFonts w:ascii="Times New Roman" w:eastAsia="Times New Roman" w:hAnsi="Times New Roman" w:cs="Times New Roman"/>
          <w:color w:val="000000"/>
          <w:sz w:val="24"/>
          <w:szCs w:val="24"/>
          <w:lang w:val="sr-Cyrl-RS" w:eastAsia="hr-HR"/>
        </w:rPr>
        <w:t xml:space="preserve"> Више стопе раста извоза од увозних у средњем року би требале резултирати повећањем заступљености извоза у  БДП-у на око 55%, док би укупни извоз (робе + услуге) износио око 67% закључно са 2025. годином. Резултат оваквих трендова кретања извоза и увоза било би постепена стабилизација укупног </w:t>
      </w:r>
      <w:r w:rsidR="00AE5455">
        <w:rPr>
          <w:rFonts w:ascii="Times New Roman" w:eastAsia="Times New Roman" w:hAnsi="Times New Roman" w:cs="Times New Roman"/>
          <w:color w:val="000000"/>
          <w:sz w:val="24"/>
          <w:szCs w:val="24"/>
          <w:lang w:val="sr-Cyrl-RS" w:eastAsia="hr-HR"/>
        </w:rPr>
        <w:t>спољно</w:t>
      </w:r>
      <w:r w:rsidRPr="00EA0FD7">
        <w:rPr>
          <w:rFonts w:ascii="Times New Roman" w:eastAsia="Times New Roman" w:hAnsi="Times New Roman" w:cs="Times New Roman"/>
          <w:color w:val="000000"/>
          <w:sz w:val="24"/>
          <w:szCs w:val="24"/>
          <w:lang w:val="sr-Cyrl-RS" w:eastAsia="hr-HR"/>
        </w:rPr>
        <w:t>трговинског дефицита на око 12% БДП-а, уз благо позитиван  допринос еко</w:t>
      </w:r>
      <w:r w:rsidR="00AE5455">
        <w:rPr>
          <w:rFonts w:ascii="Times New Roman" w:eastAsia="Times New Roman" w:hAnsi="Times New Roman" w:cs="Times New Roman"/>
          <w:color w:val="000000"/>
          <w:sz w:val="24"/>
          <w:szCs w:val="24"/>
          <w:lang w:val="sr-Cyrl-RS" w:eastAsia="hr-HR"/>
        </w:rPr>
        <w:t>но</w:t>
      </w:r>
      <w:r w:rsidRPr="00EA0FD7">
        <w:rPr>
          <w:rFonts w:ascii="Times New Roman" w:eastAsia="Times New Roman" w:hAnsi="Times New Roman" w:cs="Times New Roman"/>
          <w:color w:val="000000"/>
          <w:sz w:val="24"/>
          <w:szCs w:val="24"/>
          <w:lang w:val="sr-Cyrl-RS" w:eastAsia="hr-HR"/>
        </w:rPr>
        <w:t>мском расту од 0,5 п.</w:t>
      </w:r>
      <w:r w:rsidR="00AE5455">
        <w:rPr>
          <w:rFonts w:ascii="Times New Roman" w:eastAsia="Times New Roman" w:hAnsi="Times New Roman" w:cs="Times New Roman"/>
          <w:color w:val="000000"/>
          <w:sz w:val="24"/>
          <w:szCs w:val="24"/>
          <w:lang w:val="sr-Cyrl-RS" w:eastAsia="hr-HR"/>
        </w:rPr>
        <w:t xml:space="preserve"> </w:t>
      </w:r>
      <w:r w:rsidRPr="00EA0FD7">
        <w:rPr>
          <w:rFonts w:ascii="Times New Roman" w:eastAsia="Times New Roman" w:hAnsi="Times New Roman" w:cs="Times New Roman"/>
          <w:color w:val="000000"/>
          <w:sz w:val="24"/>
          <w:szCs w:val="24"/>
          <w:lang w:val="sr-Cyrl-RS" w:eastAsia="hr-HR"/>
        </w:rPr>
        <w:t>п. на годишњем нивоу и побољшане покривености увоза извозом на скоро 80% закључно са 2025. годином.</w:t>
      </w:r>
    </w:p>
    <w:p w14:paraId="7EA86CBA" w14:textId="77777777"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p>
    <w:p w14:paraId="1E601EEC"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Ризици</w:t>
      </w:r>
    </w:p>
    <w:p w14:paraId="688F073E" w14:textId="77777777" w:rsidR="00EA0FD7" w:rsidRPr="00EA0FD7" w:rsidRDefault="00EA0FD7" w:rsidP="00EA0FD7">
      <w:pPr>
        <w:spacing w:after="0" w:line="240" w:lineRule="auto"/>
        <w:jc w:val="center"/>
        <w:rPr>
          <w:rFonts w:ascii="Times New Roman" w:eastAsia="Times New Roman" w:hAnsi="Times New Roman" w:cs="Times New Roman"/>
          <w:b/>
          <w:bCs/>
          <w:sz w:val="24"/>
          <w:szCs w:val="24"/>
          <w:lang w:val="sr-Cyrl-RS" w:eastAsia="hr-HR"/>
        </w:rPr>
      </w:pPr>
    </w:p>
    <w:p w14:paraId="5215C89D" w14:textId="02E57287" w:rsidR="00EA0FD7" w:rsidRPr="00EA0FD7" w:rsidRDefault="00AE5455" w:rsidP="00EA0FD7">
      <w:pPr>
        <w:spacing w:after="0" w:line="240" w:lineRule="auto"/>
        <w:jc w:val="both"/>
        <w:rPr>
          <w:rFonts w:ascii="Times New Roman" w:eastAsia="Times New Roman" w:hAnsi="Times New Roman" w:cs="Times New Roman"/>
          <w:sz w:val="24"/>
          <w:szCs w:val="24"/>
          <w:lang w:val="sr-Cyrl-RS" w:eastAsia="hr-HR"/>
        </w:rPr>
      </w:pPr>
      <w:r>
        <w:rPr>
          <w:rFonts w:ascii="Times New Roman" w:eastAsia="Times New Roman" w:hAnsi="Times New Roman" w:cs="Times New Roman"/>
          <w:sz w:val="24"/>
          <w:szCs w:val="24"/>
          <w:lang w:val="sr-Cyrl-RS" w:eastAsia="hr-HR"/>
        </w:rPr>
        <w:t>Спољни</w:t>
      </w:r>
      <w:r w:rsidR="00EA0FD7" w:rsidRPr="00EA0FD7">
        <w:rPr>
          <w:rFonts w:ascii="Times New Roman" w:eastAsia="Times New Roman" w:hAnsi="Times New Roman" w:cs="Times New Roman"/>
          <w:sz w:val="24"/>
          <w:szCs w:val="24"/>
          <w:lang w:val="sr-Cyrl-RS" w:eastAsia="hr-HR"/>
        </w:rPr>
        <w:t xml:space="preserve"> ризици по питању </w:t>
      </w:r>
      <w:r>
        <w:rPr>
          <w:rFonts w:ascii="Times New Roman" w:eastAsia="Times New Roman" w:hAnsi="Times New Roman" w:cs="Times New Roman"/>
          <w:sz w:val="24"/>
          <w:szCs w:val="24"/>
          <w:lang w:val="sr-Cyrl-RS" w:eastAsia="hr-HR"/>
        </w:rPr>
        <w:t>спољно</w:t>
      </w:r>
      <w:r w:rsidR="00EA0FD7" w:rsidRPr="00EA0FD7">
        <w:rPr>
          <w:rFonts w:ascii="Times New Roman" w:eastAsia="Times New Roman" w:hAnsi="Times New Roman" w:cs="Times New Roman"/>
          <w:sz w:val="24"/>
          <w:szCs w:val="24"/>
          <w:lang w:val="sr-Cyrl-RS" w:eastAsia="hr-HR"/>
        </w:rPr>
        <w:t xml:space="preserve">трговинске робне размјене у Босни и Херцеговини су везани за економска кретања у главним трговинским партнерима (ЕУ 27 и земље региона). Евентуална ескалација украјинско-руског сукоба, раст свјетских цијена енергената и хране, негативно би се одразио на извозну тражњу а самим тим и на  </w:t>
      </w:r>
      <w:r>
        <w:rPr>
          <w:rFonts w:ascii="Times New Roman" w:eastAsia="Times New Roman" w:hAnsi="Times New Roman" w:cs="Times New Roman"/>
          <w:sz w:val="24"/>
          <w:szCs w:val="24"/>
          <w:lang w:val="sr-Cyrl-RS" w:eastAsia="hr-HR"/>
        </w:rPr>
        <w:t>спољно</w:t>
      </w:r>
      <w:r w:rsidR="00EA0FD7" w:rsidRPr="00EA0FD7">
        <w:rPr>
          <w:rFonts w:ascii="Times New Roman" w:eastAsia="Times New Roman" w:hAnsi="Times New Roman" w:cs="Times New Roman"/>
          <w:sz w:val="24"/>
          <w:szCs w:val="24"/>
          <w:lang w:val="sr-Cyrl-RS" w:eastAsia="hr-HR"/>
        </w:rPr>
        <w:t>трговинску размјену у Босни и Херцеговини у периоду 2022</w:t>
      </w:r>
      <w:r>
        <w:rPr>
          <w:rFonts w:ascii="Times New Roman" w:eastAsia="Times New Roman" w:hAnsi="Times New Roman" w:cs="Times New Roman"/>
          <w:sz w:val="24"/>
          <w:szCs w:val="24"/>
          <w:lang w:val="sr-Cyrl-RS" w:eastAsia="hr-HR"/>
        </w:rPr>
        <w:t>–</w:t>
      </w:r>
      <w:r w:rsidR="00EA0FD7" w:rsidRPr="00EA0FD7">
        <w:rPr>
          <w:rFonts w:ascii="Times New Roman" w:eastAsia="Times New Roman" w:hAnsi="Times New Roman" w:cs="Times New Roman"/>
          <w:sz w:val="24"/>
          <w:szCs w:val="24"/>
          <w:lang w:val="sr-Cyrl-RS" w:eastAsia="hr-HR"/>
        </w:rPr>
        <w:t xml:space="preserve">2025. година. Поред екстерних ризика, потенцијални ризик за пројекције </w:t>
      </w:r>
      <w:r>
        <w:rPr>
          <w:rFonts w:ascii="Times New Roman" w:eastAsia="Times New Roman" w:hAnsi="Times New Roman" w:cs="Times New Roman"/>
          <w:sz w:val="24"/>
          <w:szCs w:val="24"/>
          <w:lang w:val="sr-Cyrl-RS" w:eastAsia="hr-HR"/>
        </w:rPr>
        <w:t>спољне</w:t>
      </w:r>
      <w:r w:rsidR="00EA0FD7" w:rsidRPr="00EA0FD7">
        <w:rPr>
          <w:rFonts w:ascii="Times New Roman" w:eastAsia="Times New Roman" w:hAnsi="Times New Roman" w:cs="Times New Roman"/>
          <w:sz w:val="24"/>
          <w:szCs w:val="24"/>
          <w:lang w:val="sr-Cyrl-RS" w:eastAsia="hr-HR"/>
        </w:rPr>
        <w:t xml:space="preserve"> трговине у основном сценарију за период 2022</w:t>
      </w:r>
      <w:r>
        <w:rPr>
          <w:rFonts w:ascii="Times New Roman" w:eastAsia="Times New Roman" w:hAnsi="Times New Roman" w:cs="Times New Roman"/>
          <w:sz w:val="24"/>
          <w:szCs w:val="24"/>
          <w:lang w:val="sr-Cyrl-RS" w:eastAsia="hr-HR"/>
        </w:rPr>
        <w:t>–</w:t>
      </w:r>
      <w:r w:rsidR="00EA0FD7" w:rsidRPr="00EA0FD7">
        <w:rPr>
          <w:rFonts w:ascii="Times New Roman" w:eastAsia="Times New Roman" w:hAnsi="Times New Roman" w:cs="Times New Roman"/>
          <w:sz w:val="24"/>
          <w:szCs w:val="24"/>
          <w:lang w:val="sr-Cyrl-RS" w:eastAsia="hr-HR"/>
        </w:rPr>
        <w:t>2025. година представљају и интерни ризици.</w:t>
      </w:r>
      <w:r>
        <w:rPr>
          <w:rFonts w:ascii="Times New Roman" w:eastAsia="Times New Roman" w:hAnsi="Times New Roman" w:cs="Times New Roman"/>
          <w:sz w:val="24"/>
          <w:szCs w:val="24"/>
          <w:lang w:val="sr-Cyrl-RS" w:eastAsia="hr-HR"/>
        </w:rPr>
        <w:t xml:space="preserve"> </w:t>
      </w:r>
      <w:r w:rsidR="00EA0FD7" w:rsidRPr="00EA0FD7">
        <w:rPr>
          <w:rFonts w:ascii="Times New Roman" w:eastAsia="Times New Roman" w:hAnsi="Times New Roman" w:cs="Times New Roman"/>
          <w:sz w:val="24"/>
          <w:szCs w:val="24"/>
          <w:lang w:val="sr-Cyrl-RS" w:eastAsia="hr-HR"/>
        </w:rPr>
        <w:t xml:space="preserve">Наиме, додатно усложњавање политичке кризе усљед </w:t>
      </w:r>
      <w:r w:rsidR="00A10E7A">
        <w:rPr>
          <w:rFonts w:ascii="Times New Roman" w:eastAsia="Times New Roman" w:hAnsi="Times New Roman" w:cs="Times New Roman"/>
          <w:sz w:val="24"/>
          <w:szCs w:val="24"/>
          <w:lang w:val="sr-Cyrl-RS" w:eastAsia="hr-HR"/>
        </w:rPr>
        <w:t>О</w:t>
      </w:r>
      <w:r w:rsidR="00EA0FD7" w:rsidRPr="00EA0FD7">
        <w:rPr>
          <w:rFonts w:ascii="Times New Roman" w:eastAsia="Times New Roman" w:hAnsi="Times New Roman" w:cs="Times New Roman"/>
          <w:sz w:val="24"/>
          <w:szCs w:val="24"/>
          <w:lang w:val="sr-Cyrl-RS" w:eastAsia="hr-HR"/>
        </w:rPr>
        <w:t xml:space="preserve">пштих избора 2022. године могло би резултирати додатним потешкоћама у процесима економског управљања у земљи што би се посебно негативно одразило како на економску активност тако и на институције које су надлежне за </w:t>
      </w:r>
      <w:r>
        <w:rPr>
          <w:rFonts w:ascii="Times New Roman" w:eastAsia="Times New Roman" w:hAnsi="Times New Roman" w:cs="Times New Roman"/>
          <w:sz w:val="24"/>
          <w:szCs w:val="24"/>
          <w:lang w:val="sr-Cyrl-RS" w:eastAsia="hr-HR"/>
        </w:rPr>
        <w:t>спољно</w:t>
      </w:r>
      <w:r w:rsidR="00EA0FD7" w:rsidRPr="00EA0FD7">
        <w:rPr>
          <w:rFonts w:ascii="Times New Roman" w:eastAsia="Times New Roman" w:hAnsi="Times New Roman" w:cs="Times New Roman"/>
          <w:sz w:val="24"/>
          <w:szCs w:val="24"/>
          <w:lang w:val="sr-Cyrl-RS" w:eastAsia="hr-HR"/>
        </w:rPr>
        <w:t>трговинско пословање у Босни и Херцеговин</w:t>
      </w:r>
      <w:r>
        <w:rPr>
          <w:rFonts w:ascii="Times New Roman" w:eastAsia="Times New Roman" w:hAnsi="Times New Roman" w:cs="Times New Roman"/>
          <w:sz w:val="24"/>
          <w:szCs w:val="24"/>
          <w:lang w:val="sr-Cyrl-RS" w:eastAsia="hr-HR"/>
        </w:rPr>
        <w:t>и</w:t>
      </w:r>
      <w:r w:rsidR="00EA0FD7" w:rsidRPr="00EA0FD7">
        <w:rPr>
          <w:rFonts w:ascii="Times New Roman" w:eastAsia="Times New Roman" w:hAnsi="Times New Roman" w:cs="Times New Roman"/>
          <w:sz w:val="24"/>
          <w:szCs w:val="24"/>
          <w:lang w:val="sr-Cyrl-RS" w:eastAsia="hr-HR"/>
        </w:rPr>
        <w:t>. Евентуална материјализација ових унутрашњих ризика би додатно отежала и угрозила пословање компанија које су извозно ор</w:t>
      </w:r>
      <w:r>
        <w:rPr>
          <w:rFonts w:ascii="Times New Roman" w:eastAsia="Times New Roman" w:hAnsi="Times New Roman" w:cs="Times New Roman"/>
          <w:sz w:val="24"/>
          <w:szCs w:val="24"/>
          <w:lang w:val="sr-Cyrl-RS" w:eastAsia="hr-HR"/>
        </w:rPr>
        <w:t>и</w:t>
      </w:r>
      <w:r w:rsidR="00EA0FD7" w:rsidRPr="00EA0FD7">
        <w:rPr>
          <w:rFonts w:ascii="Times New Roman" w:eastAsia="Times New Roman" w:hAnsi="Times New Roman" w:cs="Times New Roman"/>
          <w:sz w:val="24"/>
          <w:szCs w:val="24"/>
          <w:lang w:val="sr-Cyrl-RS" w:eastAsia="hr-HR"/>
        </w:rPr>
        <w:t>јенти</w:t>
      </w:r>
      <w:r>
        <w:rPr>
          <w:rFonts w:ascii="Times New Roman" w:eastAsia="Times New Roman" w:hAnsi="Times New Roman" w:cs="Times New Roman"/>
          <w:sz w:val="24"/>
          <w:szCs w:val="24"/>
          <w:lang w:val="sr-Cyrl-RS" w:eastAsia="hr-HR"/>
        </w:rPr>
        <w:t>с</w:t>
      </w:r>
      <w:r w:rsidR="00EA0FD7" w:rsidRPr="00EA0FD7">
        <w:rPr>
          <w:rFonts w:ascii="Times New Roman" w:eastAsia="Times New Roman" w:hAnsi="Times New Roman" w:cs="Times New Roman"/>
          <w:sz w:val="24"/>
          <w:szCs w:val="24"/>
          <w:lang w:val="sr-Cyrl-RS" w:eastAsia="hr-HR"/>
        </w:rPr>
        <w:t>ане, те додатно ослабило ионако недовољно диверзифи</w:t>
      </w:r>
      <w:r>
        <w:rPr>
          <w:rFonts w:ascii="Times New Roman" w:eastAsia="Times New Roman" w:hAnsi="Times New Roman" w:cs="Times New Roman"/>
          <w:sz w:val="24"/>
          <w:szCs w:val="24"/>
          <w:lang w:val="sr-Cyrl-RS" w:eastAsia="hr-HR"/>
        </w:rPr>
        <w:t>ковану</w:t>
      </w:r>
      <w:r w:rsidR="00EA0FD7" w:rsidRPr="00EA0FD7">
        <w:rPr>
          <w:rFonts w:ascii="Times New Roman" w:eastAsia="Times New Roman" w:hAnsi="Times New Roman" w:cs="Times New Roman"/>
          <w:sz w:val="24"/>
          <w:szCs w:val="24"/>
          <w:lang w:val="sr-Cyrl-RS" w:eastAsia="hr-HR"/>
        </w:rPr>
        <w:t xml:space="preserve"> извозну понуду Босне и Херцеговине. Индиректне штетне посљедице евентуалне материјализације унутрашњих ризика би се огледале кроз смањење </w:t>
      </w:r>
      <w:r w:rsidR="00EA0FD7" w:rsidRPr="00EA0FD7">
        <w:rPr>
          <w:rFonts w:ascii="Times New Roman" w:eastAsia="Times New Roman" w:hAnsi="Times New Roman" w:cs="Times New Roman"/>
          <w:sz w:val="24"/>
          <w:szCs w:val="24"/>
          <w:lang w:val="sr-Cyrl-RS" w:eastAsia="hr-HR"/>
        </w:rPr>
        <w:lastRenderedPageBreak/>
        <w:t>тржишног удјела босанскохерцегов</w:t>
      </w:r>
      <w:r>
        <w:rPr>
          <w:rFonts w:ascii="Times New Roman" w:eastAsia="Times New Roman" w:hAnsi="Times New Roman" w:cs="Times New Roman"/>
          <w:sz w:val="24"/>
          <w:szCs w:val="24"/>
          <w:lang w:val="sr-Cyrl-RS" w:eastAsia="hr-HR"/>
        </w:rPr>
        <w:t>а</w:t>
      </w:r>
      <w:r w:rsidR="00EA0FD7" w:rsidRPr="00EA0FD7">
        <w:rPr>
          <w:rFonts w:ascii="Times New Roman" w:eastAsia="Times New Roman" w:hAnsi="Times New Roman" w:cs="Times New Roman"/>
          <w:sz w:val="24"/>
          <w:szCs w:val="24"/>
          <w:lang w:val="sr-Cyrl-RS" w:eastAsia="hr-HR"/>
        </w:rPr>
        <w:t>чких компанија на свјетским тржиштима и губитак конкурентности како компанија које послују на извозним тржиш</w:t>
      </w:r>
      <w:r>
        <w:rPr>
          <w:rFonts w:ascii="Times New Roman" w:eastAsia="Times New Roman" w:hAnsi="Times New Roman" w:cs="Times New Roman"/>
          <w:sz w:val="24"/>
          <w:szCs w:val="24"/>
          <w:lang w:val="sr-Cyrl-RS" w:eastAsia="hr-HR"/>
        </w:rPr>
        <w:t>т</w:t>
      </w:r>
      <w:r w:rsidR="00EA0FD7" w:rsidRPr="00EA0FD7">
        <w:rPr>
          <w:rFonts w:ascii="Times New Roman" w:eastAsia="Times New Roman" w:hAnsi="Times New Roman" w:cs="Times New Roman"/>
          <w:sz w:val="24"/>
          <w:szCs w:val="24"/>
          <w:lang w:val="sr-Cyrl-RS" w:eastAsia="hr-HR"/>
        </w:rPr>
        <w:t>има тако и цјелокупне економије.</w:t>
      </w:r>
    </w:p>
    <w:p w14:paraId="28BE08E0"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D674B0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EB6E4C0" w14:textId="47AF8246"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Страна директна улагања за период 2022</w:t>
      </w:r>
      <w:r w:rsidR="00AE5455">
        <w:rPr>
          <w:rFonts w:ascii="Times New Roman" w:eastAsia="Times New Roman" w:hAnsi="Times New Roman" w:cs="Times New Roman"/>
          <w:b/>
          <w:bCs/>
          <w:sz w:val="24"/>
          <w:szCs w:val="24"/>
          <w:lang w:val="sr-Cyrl-RS" w:eastAsia="hr-HR"/>
        </w:rPr>
        <w:t>–</w:t>
      </w:r>
      <w:r w:rsidRPr="00EA0FD7">
        <w:rPr>
          <w:rFonts w:ascii="Times New Roman" w:eastAsia="Times New Roman" w:hAnsi="Times New Roman" w:cs="Times New Roman"/>
          <w:b/>
          <w:bCs/>
          <w:sz w:val="24"/>
          <w:szCs w:val="24"/>
          <w:lang w:val="sr-Cyrl-RS" w:eastAsia="hr-HR"/>
        </w:rPr>
        <w:t>2025. године</w:t>
      </w:r>
    </w:p>
    <w:p w14:paraId="697267F9"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650BAD92" w14:textId="77777777" w:rsidR="00EA0FD7" w:rsidRPr="00EA0FD7" w:rsidRDefault="00EA0FD7" w:rsidP="00EA0FD7">
      <w:pPr>
        <w:spacing w:after="0" w:line="240" w:lineRule="auto"/>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Cs/>
          <w:sz w:val="24"/>
          <w:szCs w:val="24"/>
          <w:lang w:val="sr-Cyrl-RS" w:eastAsia="hr-HR"/>
        </w:rPr>
        <w:t>Најновија економска кретања и страна директна улагања у 2021. години</w:t>
      </w:r>
    </w:p>
    <w:p w14:paraId="0C0EAC62"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9F7E61F" w14:textId="52FAE02B"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Након попуштања рестриктивних мјера на крају првог квартала 2021. године долази до значајнијег привредног раста већине водећих економија у Европи и свијету. Као потврда претходно наведеног не изненађује чињеница да су вриједности водећих свјетских индекса </w:t>
      </w:r>
      <w:r w:rsidR="00AE5455" w:rsidRPr="00AE5455">
        <w:rPr>
          <w:rFonts w:ascii="Times New Roman" w:eastAsia="Times New Roman" w:hAnsi="Times New Roman" w:cs="Times New Roman"/>
          <w:i/>
          <w:sz w:val="24"/>
          <w:szCs w:val="24"/>
          <w:lang w:val="sr-Cyrl-RS" w:eastAsia="hr-HR"/>
        </w:rPr>
        <w:t>DJIA</w:t>
      </w:r>
      <w:r w:rsidRPr="00EA0FD7">
        <w:rPr>
          <w:rFonts w:ascii="Times New Roman" w:eastAsia="Times New Roman" w:hAnsi="Times New Roman" w:cs="Times New Roman"/>
          <w:i/>
          <w:sz w:val="24"/>
          <w:szCs w:val="24"/>
          <w:lang w:val="sr-Cyrl-RS" w:eastAsia="hr-HR"/>
        </w:rPr>
        <w:t xml:space="preserve">, </w:t>
      </w:r>
      <w:r w:rsidR="00AE5455" w:rsidRPr="00AE5455">
        <w:rPr>
          <w:rFonts w:ascii="Times New Roman" w:eastAsia="Times New Roman" w:hAnsi="Times New Roman" w:cs="Times New Roman"/>
          <w:i/>
          <w:sz w:val="24"/>
          <w:szCs w:val="24"/>
          <w:lang w:val="sr-Cyrl-RS" w:eastAsia="hr-HR"/>
        </w:rPr>
        <w:t>Nasda</w:t>
      </w:r>
      <w:r w:rsidRPr="00EA0FD7">
        <w:rPr>
          <w:rFonts w:ascii="Times New Roman" w:eastAsia="Times New Roman" w:hAnsi="Times New Roman" w:cs="Times New Roman"/>
          <w:i/>
          <w:sz w:val="24"/>
          <w:szCs w:val="24"/>
          <w:lang w:val="sr-Cyrl-RS" w:eastAsia="hr-HR"/>
        </w:rPr>
        <w:t xml:space="preserve">q, </w:t>
      </w:r>
      <w:r w:rsidR="00AE5455" w:rsidRPr="00AE5455">
        <w:rPr>
          <w:rFonts w:ascii="Times New Roman" w:eastAsia="Times New Roman" w:hAnsi="Times New Roman" w:cs="Times New Roman"/>
          <w:i/>
          <w:sz w:val="24"/>
          <w:szCs w:val="24"/>
          <w:lang w:val="sr-Cyrl-RS" w:eastAsia="hr-HR"/>
        </w:rPr>
        <w:t>Sto</w:t>
      </w:r>
      <w:r w:rsidRPr="00EA0FD7">
        <w:rPr>
          <w:rFonts w:ascii="Times New Roman" w:eastAsia="Times New Roman" w:hAnsi="Times New Roman" w:cs="Times New Roman"/>
          <w:i/>
          <w:sz w:val="24"/>
          <w:szCs w:val="24"/>
          <w:lang w:val="sr-Cyrl-RS" w:eastAsia="hr-HR"/>
        </w:rPr>
        <w:t>xx</w:t>
      </w:r>
      <w:r w:rsidR="00AE5455" w:rsidRPr="00AE5455">
        <w:rPr>
          <w:rFonts w:ascii="Times New Roman" w:eastAsia="Times New Roman" w:hAnsi="Times New Roman" w:cs="Times New Roman"/>
          <w:i/>
          <w:sz w:val="24"/>
          <w:szCs w:val="24"/>
          <w:lang w:val="sr-Cyrl-RS" w:eastAsia="hr-HR"/>
        </w:rPr>
        <w:t>Europe</w:t>
      </w:r>
      <w:r w:rsidRPr="00EA0FD7">
        <w:rPr>
          <w:rFonts w:ascii="Times New Roman" w:eastAsia="Times New Roman" w:hAnsi="Times New Roman" w:cs="Times New Roman"/>
          <w:i/>
          <w:sz w:val="24"/>
          <w:szCs w:val="24"/>
          <w:lang w:val="sr-Cyrl-RS" w:eastAsia="hr-HR"/>
        </w:rPr>
        <w:t>600</w:t>
      </w:r>
      <w:r w:rsidRPr="00EA0FD7">
        <w:rPr>
          <w:rFonts w:ascii="Times New Roman" w:eastAsia="Times New Roman" w:hAnsi="Times New Roman" w:cs="Times New Roman"/>
          <w:sz w:val="24"/>
          <w:szCs w:val="24"/>
          <w:lang w:val="sr-Cyrl-RS" w:eastAsia="hr-HR"/>
        </w:rPr>
        <w:t xml:space="preserve"> забиљежиле двоцифрене стопе раста до краја 2021. године.  Овакво кретање се одразило на токове страних директних улагања (у даљем тексту СДУ) гдје према последњем извјештају </w:t>
      </w:r>
      <w:r w:rsidR="00AE5455">
        <w:rPr>
          <w:rFonts w:ascii="Times New Roman" w:eastAsia="Times New Roman" w:hAnsi="Times New Roman" w:cs="Times New Roman"/>
          <w:i/>
          <w:iCs/>
          <w:sz w:val="24"/>
          <w:szCs w:val="24"/>
          <w:lang w:val="sr-Cyrl-RS" w:eastAsia="hr-HR"/>
        </w:rPr>
        <w:t>G</w:t>
      </w:r>
      <w:r w:rsidRPr="00EA0FD7">
        <w:rPr>
          <w:rFonts w:ascii="Times New Roman" w:eastAsia="Times New Roman" w:hAnsi="Times New Roman" w:cs="Times New Roman"/>
          <w:i/>
          <w:iCs/>
          <w:sz w:val="24"/>
          <w:szCs w:val="24"/>
          <w:lang w:val="sr-Cyrl-RS" w:eastAsia="hr-HR"/>
        </w:rPr>
        <w:t>.</w:t>
      </w:r>
      <w:r w:rsidR="00AE5455">
        <w:rPr>
          <w:rFonts w:ascii="Times New Roman" w:eastAsia="Times New Roman" w:hAnsi="Times New Roman" w:cs="Times New Roman"/>
          <w:i/>
          <w:iCs/>
          <w:sz w:val="24"/>
          <w:szCs w:val="24"/>
          <w:lang w:val="sr-Cyrl-RS" w:eastAsia="hr-HR"/>
        </w:rPr>
        <w:t>I</w:t>
      </w:r>
      <w:r w:rsidRPr="00EA0FD7">
        <w:rPr>
          <w:rFonts w:ascii="Times New Roman" w:eastAsia="Times New Roman" w:hAnsi="Times New Roman" w:cs="Times New Roman"/>
          <w:i/>
          <w:iCs/>
          <w:sz w:val="24"/>
          <w:szCs w:val="24"/>
          <w:lang w:val="sr-Cyrl-RS" w:eastAsia="hr-HR"/>
        </w:rPr>
        <w:t>.</w:t>
      </w:r>
      <w:r w:rsidR="00AE5455">
        <w:rPr>
          <w:rFonts w:ascii="Times New Roman" w:eastAsia="Times New Roman" w:hAnsi="Times New Roman" w:cs="Times New Roman"/>
          <w:i/>
          <w:iCs/>
          <w:sz w:val="24"/>
          <w:szCs w:val="24"/>
          <w:lang w:val="sr-Cyrl-RS" w:eastAsia="hr-HR"/>
        </w:rPr>
        <w:t>T</w:t>
      </w:r>
      <w:r w:rsidRPr="00EA0FD7">
        <w:rPr>
          <w:rFonts w:ascii="Times New Roman" w:eastAsia="Times New Roman" w:hAnsi="Times New Roman" w:cs="Times New Roman"/>
          <w:i/>
          <w:iCs/>
          <w:sz w:val="24"/>
          <w:szCs w:val="24"/>
          <w:lang w:val="sr-Cyrl-RS" w:eastAsia="hr-HR"/>
        </w:rPr>
        <w:t xml:space="preserve">. </w:t>
      </w:r>
      <w:r w:rsidR="00AE5455">
        <w:rPr>
          <w:rFonts w:ascii="Times New Roman" w:eastAsia="Times New Roman" w:hAnsi="Times New Roman" w:cs="Times New Roman"/>
          <w:i/>
          <w:iCs/>
          <w:sz w:val="24"/>
          <w:szCs w:val="24"/>
          <w:lang w:val="sr-Cyrl-RS" w:eastAsia="hr-HR"/>
        </w:rPr>
        <w:t>Monitor</w:t>
      </w:r>
      <w:r w:rsidRPr="00EA0FD7">
        <w:rPr>
          <w:rFonts w:ascii="Times New Roman" w:eastAsia="Times New Roman" w:hAnsi="Times New Roman" w:cs="Times New Roman"/>
          <w:i/>
          <w:iCs/>
          <w:sz w:val="24"/>
          <w:szCs w:val="24"/>
          <w:lang w:val="sr-Cyrl-RS" w:eastAsia="hr-HR"/>
        </w:rPr>
        <w:t xml:space="preserve">, </w:t>
      </w:r>
      <w:r w:rsidRPr="00EA0FD7">
        <w:rPr>
          <w:rFonts w:ascii="Times New Roman" w:eastAsia="Times New Roman" w:hAnsi="Times New Roman" w:cs="Times New Roman"/>
          <w:sz w:val="24"/>
          <w:szCs w:val="24"/>
          <w:lang w:val="sr-Cyrl-RS" w:eastAsia="hr-HR"/>
        </w:rPr>
        <w:t>укупна СДУ у 2021. години биљеже раст од 77% г/г. Највећи дио токова је био усмјерен према развијеним земљама са стопом раста од чак 193% г/г. док земље у развоју биљеже нешто умјеренији раст од 28% г/г.</w:t>
      </w:r>
    </w:p>
    <w:p w14:paraId="264407C8" w14:textId="77777777" w:rsidR="00EA0FD7" w:rsidRPr="00EA0FD7" w:rsidRDefault="00EA0FD7" w:rsidP="00EA0FD7">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sr-Cyrl-RS" w:eastAsia="hr-HR"/>
        </w:rPr>
      </w:pPr>
    </w:p>
    <w:p w14:paraId="1AEB594D" w14:textId="183EF199" w:rsidR="00EA0FD7" w:rsidRPr="00EA0FD7" w:rsidRDefault="00EA0FD7" w:rsidP="00EA0FD7">
      <w:pPr>
        <w:autoSpaceDE w:val="0"/>
        <w:autoSpaceDN w:val="0"/>
        <w:adjustRightInd w:val="0"/>
        <w:spacing w:after="0" w:line="240" w:lineRule="auto"/>
        <w:jc w:val="center"/>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bCs/>
          <w:color w:val="000000"/>
          <w:sz w:val="24"/>
          <w:szCs w:val="24"/>
          <w:lang w:val="sr-Cyrl-RS" w:eastAsia="hr-HR"/>
        </w:rPr>
        <w:t xml:space="preserve">Графикон 2. </w:t>
      </w:r>
      <w:r w:rsidRPr="00EA0FD7">
        <w:rPr>
          <w:rFonts w:ascii="Times New Roman" w:eastAsia="Times New Roman" w:hAnsi="Times New Roman" w:cs="Times New Roman"/>
          <w:sz w:val="24"/>
          <w:szCs w:val="24"/>
          <w:lang w:val="sr-Cyrl-RS" w:eastAsia="hr-HR"/>
        </w:rPr>
        <w:fldChar w:fldCharType="begin"/>
      </w:r>
      <w:r w:rsidRPr="00EA0FD7">
        <w:rPr>
          <w:rFonts w:ascii="Times New Roman" w:eastAsia="Times New Roman" w:hAnsi="Times New Roman" w:cs="Times New Roman"/>
          <w:b/>
          <w:bCs/>
          <w:color w:val="000000"/>
          <w:sz w:val="24"/>
          <w:szCs w:val="24"/>
          <w:lang w:val="sr-Cyrl-RS" w:eastAsia="hr-HR"/>
        </w:rPr>
        <w:instrText xml:space="preserve"> SEQ Grafikon \* ARABIC </w:instrText>
      </w:r>
      <w:r w:rsidRPr="00EA0FD7">
        <w:rPr>
          <w:rFonts w:ascii="Times New Roman" w:eastAsia="Times New Roman" w:hAnsi="Times New Roman" w:cs="Times New Roman"/>
          <w:sz w:val="24"/>
          <w:szCs w:val="24"/>
          <w:lang w:val="sr-Cyrl-RS" w:eastAsia="hr-HR"/>
        </w:rPr>
        <w:fldChar w:fldCharType="separate"/>
      </w:r>
      <w:r w:rsidRPr="00EA0FD7">
        <w:rPr>
          <w:rFonts w:ascii="Times New Roman" w:eastAsia="Times New Roman" w:hAnsi="Times New Roman" w:cs="Times New Roman"/>
          <w:b/>
          <w:bCs/>
          <w:color w:val="000000"/>
          <w:sz w:val="24"/>
          <w:szCs w:val="24"/>
          <w:lang w:val="sr-Cyrl-RS" w:eastAsia="hr-HR"/>
        </w:rPr>
        <w:t>4</w:t>
      </w:r>
      <w:r w:rsidRPr="00EA0FD7">
        <w:rPr>
          <w:rFonts w:ascii="Times New Roman" w:eastAsia="Times New Roman" w:hAnsi="Times New Roman" w:cs="Times New Roman"/>
          <w:sz w:val="24"/>
          <w:szCs w:val="24"/>
          <w:lang w:val="sr-Cyrl-RS" w:eastAsia="hr-HR"/>
        </w:rPr>
        <w:fldChar w:fldCharType="end"/>
      </w:r>
      <w:r w:rsidRPr="00EA0FD7">
        <w:rPr>
          <w:rFonts w:ascii="Times New Roman" w:eastAsia="Times New Roman" w:hAnsi="Times New Roman" w:cs="Times New Roman"/>
          <w:b/>
          <w:bCs/>
          <w:color w:val="000000"/>
          <w:sz w:val="24"/>
          <w:szCs w:val="24"/>
          <w:lang w:val="sr-Cyrl-RS" w:eastAsia="hr-HR"/>
        </w:rPr>
        <w:t xml:space="preserve">: </w:t>
      </w:r>
      <w:r w:rsidRPr="00EA0FD7">
        <w:rPr>
          <w:rFonts w:ascii="Times New Roman" w:eastAsia="Times New Roman" w:hAnsi="Times New Roman" w:cs="Times New Roman"/>
          <w:bCs/>
          <w:color w:val="000000"/>
          <w:sz w:val="24"/>
          <w:szCs w:val="24"/>
          <w:lang w:val="sr-Cyrl-RS" w:eastAsia="hr-HR"/>
        </w:rPr>
        <w:t xml:space="preserve">Укупно </w:t>
      </w:r>
      <w:r w:rsidR="00AE5455">
        <w:rPr>
          <w:rFonts w:ascii="Times New Roman" w:eastAsia="Times New Roman" w:hAnsi="Times New Roman" w:cs="Times New Roman"/>
          <w:bCs/>
          <w:color w:val="000000"/>
          <w:sz w:val="24"/>
          <w:szCs w:val="24"/>
          <w:lang w:eastAsia="hr-HR"/>
        </w:rPr>
        <w:t>SDU</w:t>
      </w:r>
      <w:r w:rsidRPr="00EA0FD7">
        <w:rPr>
          <w:rFonts w:ascii="Times New Roman" w:eastAsia="Times New Roman" w:hAnsi="Times New Roman" w:cs="Times New Roman"/>
          <w:bCs/>
          <w:color w:val="000000"/>
          <w:sz w:val="24"/>
          <w:szCs w:val="24"/>
          <w:lang w:val="sr-Cyrl-RS" w:eastAsia="hr-HR"/>
        </w:rPr>
        <w:t xml:space="preserve"> у свијету у милијардама </w:t>
      </w:r>
      <w:r w:rsidR="00AE5455">
        <w:rPr>
          <w:rFonts w:ascii="Times New Roman" w:eastAsia="Times New Roman" w:hAnsi="Times New Roman" w:cs="Times New Roman"/>
          <w:bCs/>
          <w:color w:val="000000"/>
          <w:sz w:val="24"/>
          <w:szCs w:val="24"/>
          <w:lang w:eastAsia="hr-HR"/>
        </w:rPr>
        <w:t>USD</w:t>
      </w:r>
      <w:r w:rsidRPr="00EA0FD7">
        <w:rPr>
          <w:rFonts w:ascii="Times New Roman" w:eastAsia="Times New Roman" w:hAnsi="Times New Roman" w:cs="Times New Roman"/>
          <w:b/>
          <w:bCs/>
          <w:color w:val="000000"/>
          <w:sz w:val="24"/>
          <w:szCs w:val="24"/>
          <w:lang w:val="sr-Cyrl-RS" w:eastAsia="hr-HR"/>
        </w:rPr>
        <w:t xml:space="preserve"> </w:t>
      </w:r>
    </w:p>
    <w:p w14:paraId="51CDAA0D"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noProof/>
          <w:sz w:val="24"/>
          <w:szCs w:val="24"/>
          <w:lang w:val="sr-Cyrl-RS" w:eastAsia="hr-HR"/>
        </w:rPr>
        <w:drawing>
          <wp:inline distT="0" distB="0" distL="0" distR="0" wp14:anchorId="136E27A2" wp14:editId="03F31D50">
            <wp:extent cx="5617210" cy="2381250"/>
            <wp:effectExtent l="0" t="0" r="2540" b="0"/>
            <wp:docPr id="5"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7210" cy="2381250"/>
                    </a:xfrm>
                    <a:prstGeom prst="rect">
                      <a:avLst/>
                    </a:prstGeom>
                    <a:noFill/>
                    <a:ln>
                      <a:noFill/>
                    </a:ln>
                  </pic:spPr>
                </pic:pic>
              </a:graphicData>
            </a:graphic>
          </wp:inline>
        </w:drawing>
      </w:r>
    </w:p>
    <w:p w14:paraId="5A018EB6" w14:textId="698585B8"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bs-Latn-BA"/>
        </w:rPr>
        <w:t xml:space="preserve">Извор: </w:t>
      </w:r>
      <w:r w:rsidR="00AE5455" w:rsidRPr="00AE5455">
        <w:rPr>
          <w:rFonts w:ascii="Times New Roman" w:eastAsia="Times New Roman" w:hAnsi="Times New Roman" w:cs="Times New Roman"/>
          <w:i/>
          <w:sz w:val="20"/>
          <w:szCs w:val="20"/>
          <w:lang w:val="sr-Cyrl-RS" w:eastAsia="bs-Latn-BA"/>
        </w:rPr>
        <w:t>Unctad</w:t>
      </w:r>
      <w:r w:rsidRPr="00EA0FD7">
        <w:rPr>
          <w:rFonts w:ascii="Times New Roman" w:eastAsia="Times New Roman" w:hAnsi="Times New Roman" w:cs="Times New Roman"/>
          <w:i/>
          <w:sz w:val="20"/>
          <w:szCs w:val="20"/>
          <w:lang w:val="sr-Cyrl-RS" w:eastAsia="bs-Latn-BA"/>
        </w:rPr>
        <w:t xml:space="preserve">, </w:t>
      </w:r>
      <w:r w:rsidR="00AE5455" w:rsidRPr="00AE5455">
        <w:rPr>
          <w:rFonts w:ascii="Times New Roman" w:eastAsia="Times New Roman" w:hAnsi="Times New Roman" w:cs="Times New Roman"/>
          <w:i/>
          <w:sz w:val="20"/>
          <w:szCs w:val="20"/>
          <w:lang w:val="sr-Cyrl-RS" w:eastAsia="bs-Latn-BA"/>
        </w:rPr>
        <w:t>FDI</w:t>
      </w:r>
      <w:r w:rsidRPr="00EA0FD7">
        <w:rPr>
          <w:rFonts w:ascii="Times New Roman" w:eastAsia="Times New Roman" w:hAnsi="Times New Roman" w:cs="Times New Roman"/>
          <w:i/>
          <w:sz w:val="20"/>
          <w:szCs w:val="20"/>
          <w:lang w:val="sr-Cyrl-RS" w:eastAsia="bs-Latn-BA"/>
        </w:rPr>
        <w:t>/</w:t>
      </w:r>
      <w:r w:rsidR="00AE5455" w:rsidRPr="00AE5455">
        <w:rPr>
          <w:rFonts w:ascii="Times New Roman" w:eastAsia="Times New Roman" w:hAnsi="Times New Roman" w:cs="Times New Roman"/>
          <w:i/>
          <w:sz w:val="20"/>
          <w:szCs w:val="20"/>
          <w:lang w:val="sr-Cyrl-RS" w:eastAsia="bs-Latn-BA"/>
        </w:rPr>
        <w:t>MNE</w:t>
      </w:r>
      <w:r w:rsidRPr="00EA0FD7">
        <w:rPr>
          <w:rFonts w:ascii="Times New Roman" w:eastAsia="Times New Roman" w:hAnsi="Times New Roman" w:cs="Times New Roman"/>
          <w:i/>
          <w:sz w:val="20"/>
          <w:szCs w:val="20"/>
          <w:lang w:val="sr-Cyrl-RS" w:eastAsia="bs-Latn-BA"/>
        </w:rPr>
        <w:t xml:space="preserve"> </w:t>
      </w:r>
      <w:r w:rsidR="00AE5455" w:rsidRPr="00AE5455">
        <w:rPr>
          <w:rFonts w:ascii="Times New Roman" w:eastAsia="Times New Roman" w:hAnsi="Times New Roman" w:cs="Times New Roman"/>
          <w:i/>
          <w:sz w:val="20"/>
          <w:szCs w:val="20"/>
          <w:lang w:val="sr-Cyrl-RS" w:eastAsia="bs-Latn-BA"/>
        </w:rPr>
        <w:t>database</w:t>
      </w:r>
    </w:p>
    <w:p w14:paraId="08CCBBBB"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14A9FB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Слична ситуација је забиљежена и у Босни и Херцеговини која у прва три квартала са регистрованих 1.080,3 мил. КМ (нето финансијска пасива) биљежи раст од 67,4% г/г</w:t>
      </w:r>
      <w:r w:rsidRPr="00AE5455">
        <w:rPr>
          <w:rFonts w:ascii="Times New Roman" w:eastAsia="Times New Roman" w:hAnsi="Times New Roman" w:cs="Times New Roman"/>
          <w:sz w:val="24"/>
          <w:szCs w:val="24"/>
          <w:vertAlign w:val="superscript"/>
          <w:lang w:val="sr-Cyrl-RS" w:eastAsia="hr-HR"/>
        </w:rPr>
        <w:footnoteReference w:id="28"/>
      </w:r>
      <w:r w:rsidRPr="00EA0FD7">
        <w:rPr>
          <w:rFonts w:ascii="Times New Roman" w:eastAsia="Times New Roman" w:hAnsi="Times New Roman" w:cs="Times New Roman"/>
          <w:sz w:val="24"/>
          <w:szCs w:val="24"/>
          <w:lang w:val="sr-Cyrl-RS" w:eastAsia="hr-HR"/>
        </w:rPr>
        <w:t>. У оквиру тога реинвестиране зараде су оствариле учешће од 61%. Гледајући на улагање према врсти дјелатности 269 мил. КМ је уложено у област трговине на мало и велико, 310,9 мил. КМ је уложено у финансијске услужне дјелатности те 132,4 мил. КМ у производњи кокса и рафинираних нафтних производа. Најзначајније земље поријекла капитала су Хрватска са 278,7 мил. КМ, Аустрија са 168 мил. КМ, Русија са 132,5 мил. КМ те Словенија са 132,1 мил. КМ. Према овим доступним подацима процјена је да су СДУ укупно до краја 2021. године достигла  око 3,3% БДП.</w:t>
      </w:r>
    </w:p>
    <w:p w14:paraId="16DE24D2"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33750FF" w14:textId="6A4EEA7C"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Као један од наинтересантнијих  догађаја у протеклој години се спомиње долазак на тржиште Босне и Херцеговине великог трговачког ланца Лидл (улагање у продајни ланац и дистрибутивне центре) за који се очекује да ће обезб</w:t>
      </w:r>
      <w:r w:rsidR="00AE5455">
        <w:rPr>
          <w:rFonts w:ascii="Times New Roman" w:eastAsia="Times New Roman" w:hAnsi="Times New Roman" w:cs="Times New Roman"/>
          <w:sz w:val="24"/>
          <w:szCs w:val="24"/>
          <w:lang w:val="bs-Cyrl-BA" w:eastAsia="hr-HR"/>
        </w:rPr>
        <w:t>и</w:t>
      </w:r>
      <w:r w:rsidRPr="00EA0FD7">
        <w:rPr>
          <w:rFonts w:ascii="Times New Roman" w:eastAsia="Times New Roman" w:hAnsi="Times New Roman" w:cs="Times New Roman"/>
          <w:sz w:val="24"/>
          <w:szCs w:val="24"/>
          <w:lang w:val="sr-Cyrl-RS" w:eastAsia="hr-HR"/>
        </w:rPr>
        <w:t xml:space="preserve">једити значајна улагања у ову област и у наредном периоду. </w:t>
      </w:r>
    </w:p>
    <w:p w14:paraId="5C2B3621"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0C8749F"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252EA911"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p>
    <w:p w14:paraId="0A18B896" w14:textId="1F23A1F3"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Cs/>
          <w:sz w:val="24"/>
          <w:szCs w:val="24"/>
          <w:lang w:val="sr-Cyrl-RS" w:eastAsia="hr-HR"/>
        </w:rPr>
        <w:t>Пројекције улагања 2022</w:t>
      </w:r>
      <w:r w:rsidR="00AE5455">
        <w:rPr>
          <w:rFonts w:ascii="Times New Roman" w:eastAsia="Times New Roman" w:hAnsi="Times New Roman" w:cs="Times New Roman"/>
          <w:bCs/>
          <w:sz w:val="24"/>
          <w:szCs w:val="24"/>
          <w:lang w:val="sr-Cyrl-RS" w:eastAsia="hr-HR"/>
        </w:rPr>
        <w:t>–</w:t>
      </w:r>
      <w:r w:rsidRPr="00EA0FD7">
        <w:rPr>
          <w:rFonts w:ascii="Times New Roman" w:eastAsia="Times New Roman" w:hAnsi="Times New Roman" w:cs="Times New Roman"/>
          <w:bCs/>
          <w:sz w:val="24"/>
          <w:szCs w:val="24"/>
          <w:lang w:val="sr-Cyrl-RS" w:eastAsia="hr-HR"/>
        </w:rPr>
        <w:t>2025. године</w:t>
      </w:r>
    </w:p>
    <w:p w14:paraId="716E1570"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7396210" w14:textId="5B593D35"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lastRenderedPageBreak/>
        <w:t>У првом кварталу 2022. године долази до релативног погоршавања епидемиолошке ситуације и поновног дјел</w:t>
      </w:r>
      <w:r w:rsidR="00AE5455">
        <w:rPr>
          <w:rFonts w:ascii="Times New Roman" w:eastAsia="Times New Roman" w:hAnsi="Times New Roman" w:cs="Times New Roman"/>
          <w:sz w:val="24"/>
          <w:szCs w:val="24"/>
          <w:lang w:val="sr-Cyrl-RS" w:eastAsia="hr-HR"/>
        </w:rPr>
        <w:t>и</w:t>
      </w:r>
      <w:r w:rsidRPr="00EA0FD7">
        <w:rPr>
          <w:rFonts w:ascii="Times New Roman" w:eastAsia="Times New Roman" w:hAnsi="Times New Roman" w:cs="Times New Roman"/>
          <w:sz w:val="24"/>
          <w:szCs w:val="24"/>
          <w:lang w:val="sr-Cyrl-RS" w:eastAsia="hr-HR"/>
        </w:rPr>
        <w:t>мичног увођења рестриктивних мјера за сузбијање епидемије. Крајем фебруара почиње рат у Украјини што драстично, готово тренутно мијења геополитичку</w:t>
      </w:r>
      <w:r w:rsid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али и економску ситуацију. Настала криза је прекинула позитивни тренд економских кретања из претходне године и довела до озбиљних поремећаја у свјетским економским токовима. Ово се рефлектује и на пад вриједности свих водећих индекса на свјетским тржиштима као и нагли скок цијена енергената и сировина у свим секторима. </w:t>
      </w:r>
      <w:r w:rsidR="00AE5455">
        <w:rPr>
          <w:rFonts w:ascii="Times New Roman" w:eastAsia="Times New Roman" w:hAnsi="Times New Roman" w:cs="Times New Roman"/>
          <w:sz w:val="24"/>
          <w:szCs w:val="24"/>
          <w:lang w:val="sr-Cyrl-RS" w:eastAsia="hr-HR"/>
        </w:rPr>
        <w:t>Сп</w:t>
      </w:r>
      <w:r w:rsidRPr="00EA0FD7">
        <w:rPr>
          <w:rFonts w:ascii="Times New Roman" w:eastAsia="Times New Roman" w:hAnsi="Times New Roman" w:cs="Times New Roman"/>
          <w:sz w:val="24"/>
          <w:szCs w:val="24"/>
          <w:lang w:val="sr-Cyrl-RS" w:eastAsia="hr-HR"/>
        </w:rPr>
        <w:t xml:space="preserve">ровођење санкција међународне заједнице према Русији резултирало је процесом драстичног прекида економских веза, замрзавања или повлачења руског капитала уз посљедичну ликвидацију појединих  компанија које су у руском већинском власништву. Тако је у Босни и Херцеговини посљедично дошло до продаје руске </w:t>
      </w:r>
      <w:r w:rsidR="00AE5455" w:rsidRPr="00AE5455">
        <w:rPr>
          <w:rFonts w:ascii="Times New Roman" w:eastAsia="Times New Roman" w:hAnsi="Times New Roman" w:cs="Times New Roman"/>
          <w:i/>
          <w:sz w:val="24"/>
          <w:szCs w:val="24"/>
          <w:lang w:val="sr-Cyrl-RS" w:eastAsia="hr-HR"/>
        </w:rPr>
        <w:t>Sberbank</w:t>
      </w:r>
      <w:r w:rsidRPr="00EA0FD7">
        <w:rPr>
          <w:rFonts w:ascii="Times New Roman" w:eastAsia="Times New Roman" w:hAnsi="Times New Roman" w:cs="Times New Roman"/>
          <w:i/>
          <w:sz w:val="24"/>
          <w:szCs w:val="24"/>
          <w:lang w:val="sr-Cyrl-RS" w:eastAsia="hr-HR"/>
        </w:rPr>
        <w:t xml:space="preserve"> </w:t>
      </w:r>
      <w:r w:rsidR="00AE5455" w:rsidRPr="00AE5455">
        <w:rPr>
          <w:rFonts w:ascii="Times New Roman" w:eastAsia="Times New Roman" w:hAnsi="Times New Roman" w:cs="Times New Roman"/>
          <w:i/>
          <w:sz w:val="24"/>
          <w:szCs w:val="24"/>
          <w:lang w:val="sr-Cyrl-RS" w:eastAsia="hr-HR"/>
        </w:rPr>
        <w:t>BH</w:t>
      </w:r>
      <w:r w:rsidRPr="00EA0FD7">
        <w:rPr>
          <w:rFonts w:ascii="Times New Roman" w:eastAsia="Times New Roman" w:hAnsi="Times New Roman" w:cs="Times New Roman"/>
          <w:sz w:val="24"/>
          <w:szCs w:val="24"/>
          <w:lang w:val="sr-Cyrl-RS" w:eastAsia="hr-HR"/>
        </w:rPr>
        <w:t xml:space="preserve"> д</w:t>
      </w:r>
      <w:r w:rsidR="00AE5455">
        <w:rPr>
          <w:rFonts w:ascii="Times New Roman" w:eastAsia="Times New Roman" w:hAnsi="Times New Roman" w:cs="Times New Roman"/>
          <w:sz w:val="24"/>
          <w:szCs w:val="24"/>
          <w:lang w:val="sr-Cyrl-RS" w:eastAsia="hr-HR"/>
        </w:rPr>
        <w:t>. д,</w:t>
      </w:r>
      <w:r w:rsidRPr="00EA0FD7">
        <w:rPr>
          <w:rFonts w:ascii="Times New Roman" w:eastAsia="Times New Roman" w:hAnsi="Times New Roman" w:cs="Times New Roman"/>
          <w:sz w:val="24"/>
          <w:szCs w:val="24"/>
          <w:lang w:val="sr-Cyrl-RS" w:eastAsia="hr-HR"/>
        </w:rPr>
        <w:t xml:space="preserve"> а упитно је даље улагање у нафтну и плинску индустрију од стране руских компанија (рафинерија нафте, терминал за укапљени </w:t>
      </w:r>
      <w:r w:rsidR="00AE5455">
        <w:rPr>
          <w:rFonts w:ascii="Times New Roman" w:eastAsia="Times New Roman" w:hAnsi="Times New Roman" w:cs="Times New Roman"/>
          <w:sz w:val="24"/>
          <w:szCs w:val="24"/>
          <w:lang w:val="sr-Cyrl-RS" w:eastAsia="hr-HR"/>
        </w:rPr>
        <w:t>гас</w:t>
      </w:r>
      <w:r w:rsidRPr="00EA0FD7">
        <w:rPr>
          <w:rFonts w:ascii="Times New Roman" w:eastAsia="Times New Roman" w:hAnsi="Times New Roman" w:cs="Times New Roman"/>
          <w:sz w:val="24"/>
          <w:szCs w:val="24"/>
          <w:lang w:val="sr-Cyrl-RS" w:eastAsia="hr-HR"/>
        </w:rPr>
        <w:t>, најављена гасификација).</w:t>
      </w:r>
      <w:r w:rsidR="00AE5455">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Такође, глобални поремећаји у сна</w:t>
      </w:r>
      <w:r w:rsidR="009E1E82">
        <w:rPr>
          <w:rFonts w:ascii="Times New Roman" w:eastAsia="Times New Roman" w:hAnsi="Times New Roman" w:cs="Times New Roman"/>
          <w:sz w:val="24"/>
          <w:szCs w:val="24"/>
          <w:lang w:val="sr-Cyrl-RS" w:eastAsia="hr-HR"/>
        </w:rPr>
        <w:t>бд</w:t>
      </w:r>
      <w:r w:rsidR="00AE5455">
        <w:rPr>
          <w:rFonts w:ascii="Times New Roman" w:eastAsia="Times New Roman" w:hAnsi="Times New Roman" w:cs="Times New Roman"/>
          <w:sz w:val="24"/>
          <w:szCs w:val="24"/>
          <w:lang w:val="sr-Cyrl-RS" w:eastAsia="hr-HR"/>
        </w:rPr>
        <w:t>и</w:t>
      </w:r>
      <w:r w:rsidRPr="00EA0FD7">
        <w:rPr>
          <w:rFonts w:ascii="Times New Roman" w:eastAsia="Times New Roman" w:hAnsi="Times New Roman" w:cs="Times New Roman"/>
          <w:sz w:val="24"/>
          <w:szCs w:val="24"/>
          <w:lang w:val="sr-Cyrl-RS" w:eastAsia="hr-HR"/>
        </w:rPr>
        <w:t>јевању енергентима</w:t>
      </w:r>
      <w:r w:rsid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али и другим рудама, те посљедична инфлаторна кретања ће се у наредном периоду неминовно одразити на успоравање или привремено одустајање од већ планираних енергетских и инфраструктурних пројеката (ТЕ Угљевик 3</w:t>
      </w:r>
      <w:r w:rsidRPr="00AE5455">
        <w:rPr>
          <w:rFonts w:ascii="Times New Roman" w:eastAsia="Times New Roman" w:hAnsi="Times New Roman" w:cs="Times New Roman"/>
          <w:sz w:val="24"/>
          <w:szCs w:val="24"/>
          <w:vertAlign w:val="superscript"/>
          <w:lang w:val="sr-Cyrl-RS" w:eastAsia="hr-HR"/>
        </w:rPr>
        <w:footnoteReference w:id="29"/>
      </w:r>
      <w:r w:rsidRPr="00EA0FD7">
        <w:rPr>
          <w:rFonts w:ascii="Times New Roman" w:eastAsia="Times New Roman" w:hAnsi="Times New Roman" w:cs="Times New Roman"/>
          <w:sz w:val="24"/>
          <w:szCs w:val="24"/>
          <w:lang w:val="sr-Cyrl-RS" w:eastAsia="hr-HR"/>
        </w:rPr>
        <w:t>, ТЕ Гацко 2</w:t>
      </w:r>
      <w:r w:rsidRPr="00EA0FD7">
        <w:rPr>
          <w:rFonts w:ascii="Times New Roman" w:eastAsia="Times New Roman" w:hAnsi="Times New Roman" w:cs="Times New Roman"/>
          <w:sz w:val="24"/>
          <w:szCs w:val="24"/>
          <w:vertAlign w:val="superscript"/>
          <w:lang w:val="sr-Cyrl-RS" w:eastAsia="hr-HR"/>
        </w:rPr>
        <w:footnoteReference w:id="30"/>
      </w:r>
      <w:r w:rsidRPr="00EA0FD7">
        <w:rPr>
          <w:rFonts w:ascii="Times New Roman" w:eastAsia="Times New Roman" w:hAnsi="Times New Roman" w:cs="Times New Roman"/>
          <w:sz w:val="24"/>
          <w:szCs w:val="24"/>
          <w:lang w:val="sr-Cyrl-RS" w:eastAsia="hr-HR"/>
        </w:rPr>
        <w:t>, ауто</w:t>
      </w:r>
      <w:r w:rsidR="00AE5455">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пут Бања Лука-Приједор</w:t>
      </w:r>
      <w:r w:rsidRPr="00EA0FD7">
        <w:rPr>
          <w:rFonts w:ascii="Times New Roman" w:eastAsia="Times New Roman" w:hAnsi="Times New Roman" w:cs="Times New Roman"/>
          <w:color w:val="000000"/>
          <w:sz w:val="24"/>
          <w:szCs w:val="24"/>
          <w:shd w:val="clear" w:color="auto" w:fill="FFFFFF"/>
          <w:vertAlign w:val="superscript"/>
          <w:lang w:val="sr-Cyrl-RS" w:eastAsia="hr-HR"/>
        </w:rPr>
        <w:footnoteReference w:id="31"/>
      </w:r>
      <w:r w:rsidRPr="00EA0FD7">
        <w:rPr>
          <w:rFonts w:ascii="Times New Roman" w:eastAsia="Times New Roman" w:hAnsi="Times New Roman" w:cs="Times New Roman"/>
          <w:sz w:val="24"/>
          <w:szCs w:val="24"/>
          <w:lang w:val="sr-Cyrl-RS" w:eastAsia="hr-HR"/>
        </w:rPr>
        <w:t>, аеродром Требиње). На основу претходно наведеног, процјена је да би СДУ у 2022. години остварила око 1,4% учешће у БДП.</w:t>
      </w:r>
    </w:p>
    <w:p w14:paraId="5F73BF20" w14:textId="77777777" w:rsidR="00EA0FD7" w:rsidRPr="00EA0FD7" w:rsidRDefault="00EA0FD7" w:rsidP="00EA0FD7">
      <w:pPr>
        <w:spacing w:after="0" w:line="240" w:lineRule="auto"/>
        <w:jc w:val="center"/>
        <w:rPr>
          <w:rFonts w:ascii="Times New Roman" w:eastAsia="Times New Roman" w:hAnsi="Times New Roman" w:cs="Times New Roman"/>
          <w:b/>
          <w:bCs/>
          <w:color w:val="000000"/>
          <w:sz w:val="24"/>
          <w:szCs w:val="24"/>
          <w:lang w:val="sr-Cyrl-RS" w:eastAsia="hr-HR"/>
        </w:rPr>
      </w:pPr>
    </w:p>
    <w:p w14:paraId="76781B1E" w14:textId="77777777" w:rsidR="00EA0FD7" w:rsidRPr="00EA0FD7" w:rsidRDefault="00EA0FD7" w:rsidP="00EA0FD7">
      <w:pPr>
        <w:spacing w:after="0" w:line="240" w:lineRule="auto"/>
        <w:jc w:val="center"/>
        <w:rPr>
          <w:rFonts w:ascii="Times New Roman" w:eastAsia="Times New Roman" w:hAnsi="Times New Roman" w:cs="Times New Roman"/>
          <w:b/>
          <w:bCs/>
          <w:color w:val="000000"/>
          <w:sz w:val="24"/>
          <w:szCs w:val="24"/>
          <w:lang w:val="sr-Cyrl-RS" w:eastAsia="hr-HR"/>
        </w:rPr>
      </w:pPr>
    </w:p>
    <w:p w14:paraId="78B54EB2" w14:textId="77777777" w:rsidR="00EA0FD7" w:rsidRPr="00EA0FD7" w:rsidRDefault="00EA0FD7" w:rsidP="00EA0FD7">
      <w:pPr>
        <w:spacing w:after="0" w:line="240" w:lineRule="auto"/>
        <w:jc w:val="center"/>
        <w:rPr>
          <w:rFonts w:ascii="Times New Roman" w:eastAsia="Times New Roman" w:hAnsi="Times New Roman" w:cs="Times New Roman"/>
          <w:bCs/>
          <w:color w:val="000000"/>
          <w:sz w:val="24"/>
          <w:szCs w:val="24"/>
          <w:lang w:val="sr-Cyrl-RS" w:eastAsia="hr-HR"/>
        </w:rPr>
      </w:pPr>
      <w:r w:rsidRPr="00EA0FD7">
        <w:rPr>
          <w:rFonts w:ascii="Times New Roman" w:eastAsia="Times New Roman" w:hAnsi="Times New Roman" w:cs="Times New Roman"/>
          <w:b/>
          <w:bCs/>
          <w:color w:val="000000"/>
          <w:sz w:val="24"/>
          <w:szCs w:val="24"/>
          <w:lang w:val="sr-Cyrl-RS" w:eastAsia="hr-HR"/>
        </w:rPr>
        <w:t xml:space="preserve">Графикон 2. 5: </w:t>
      </w:r>
      <w:r w:rsidRPr="00EA0FD7">
        <w:rPr>
          <w:rFonts w:ascii="Times New Roman" w:eastAsia="Times New Roman" w:hAnsi="Times New Roman" w:cs="Times New Roman"/>
          <w:bCs/>
          <w:color w:val="000000"/>
          <w:sz w:val="24"/>
          <w:szCs w:val="24"/>
          <w:lang w:val="sr-Cyrl-RS" w:eastAsia="hr-HR"/>
        </w:rPr>
        <w:t>Пројекција ДСУ по годинама у процентима од БДП</w:t>
      </w:r>
    </w:p>
    <w:p w14:paraId="5E990C28"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noProof/>
          <w:sz w:val="24"/>
          <w:szCs w:val="24"/>
          <w:lang w:val="sr-Cyrl-RS" w:eastAsia="hr-HR"/>
        </w:rPr>
        <w:drawing>
          <wp:inline distT="0" distB="0" distL="0" distR="0" wp14:anchorId="20B84707" wp14:editId="58899D86">
            <wp:extent cx="5664835" cy="2351405"/>
            <wp:effectExtent l="0" t="0" r="0" b="0"/>
            <wp:docPr id="6"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12">
                      <a:extLst>
                        <a:ext uri="{28A0092B-C50C-407E-A947-70E740481C1C}">
                          <a14:useLocalDpi xmlns:a14="http://schemas.microsoft.com/office/drawing/2010/main" val="0"/>
                        </a:ext>
                      </a:extLst>
                    </a:blip>
                    <a:srcRect b="-81"/>
                    <a:stretch>
                      <a:fillRect/>
                    </a:stretch>
                  </pic:blipFill>
                  <pic:spPr bwMode="auto">
                    <a:xfrm>
                      <a:off x="0" y="0"/>
                      <a:ext cx="5664835" cy="2351405"/>
                    </a:xfrm>
                    <a:prstGeom prst="rect">
                      <a:avLst/>
                    </a:prstGeom>
                    <a:noFill/>
                    <a:ln>
                      <a:noFill/>
                    </a:ln>
                  </pic:spPr>
                </pic:pic>
              </a:graphicData>
            </a:graphic>
          </wp:inline>
        </w:drawing>
      </w:r>
    </w:p>
    <w:p w14:paraId="3074405C" w14:textId="77777777"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bs-Latn-BA"/>
        </w:rPr>
      </w:pPr>
      <w:r w:rsidRPr="00EA0FD7">
        <w:rPr>
          <w:rFonts w:ascii="Times New Roman" w:eastAsia="Times New Roman" w:hAnsi="Times New Roman" w:cs="Times New Roman"/>
          <w:sz w:val="20"/>
          <w:szCs w:val="20"/>
          <w:lang w:val="sr-Cyrl-RS" w:eastAsia="bs-Latn-BA"/>
        </w:rPr>
        <w:t>Извор: БХАС, ЦББиХ и ДЕП процјена</w:t>
      </w:r>
    </w:p>
    <w:p w14:paraId="76D5DD7D"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p>
    <w:p w14:paraId="059EFCF9" w14:textId="7494920A"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Раст цијена енергената</w:t>
      </w:r>
      <w:r w:rsidR="00AE5455">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али и све присутније еколошке тенденције у свијету ће неминовно утицати на повећани интерес за улагање у област обновљивих извора енергије (хидроенергија, вјетро и соларна енергија). Тиме још више на значају добија најављено заједничко улагање Републике Србије у и</w:t>
      </w:r>
      <w:r w:rsidR="00AE5455">
        <w:rPr>
          <w:rFonts w:ascii="Times New Roman" w:eastAsia="Times New Roman" w:hAnsi="Times New Roman" w:cs="Times New Roman"/>
          <w:sz w:val="24"/>
          <w:szCs w:val="24"/>
          <w:lang w:val="sr-Cyrl-RS" w:eastAsia="hr-HR"/>
        </w:rPr>
        <w:t>з</w:t>
      </w:r>
      <w:r w:rsidRPr="00EA0FD7">
        <w:rPr>
          <w:rFonts w:ascii="Times New Roman" w:eastAsia="Times New Roman" w:hAnsi="Times New Roman" w:cs="Times New Roman"/>
          <w:sz w:val="24"/>
          <w:szCs w:val="24"/>
          <w:lang w:val="sr-Cyrl-RS" w:eastAsia="hr-HR"/>
        </w:rPr>
        <w:t xml:space="preserve">градњу три хидроелектране у укупном износу од 520 мил. </w:t>
      </w:r>
      <w:r w:rsidR="00AE5455">
        <w:rPr>
          <w:rFonts w:ascii="Times New Roman" w:eastAsia="Times New Roman" w:hAnsi="Times New Roman" w:cs="Times New Roman"/>
          <w:sz w:val="24"/>
          <w:szCs w:val="24"/>
          <w:lang w:eastAsia="hr-HR"/>
        </w:rPr>
        <w:t>EUR</w:t>
      </w:r>
      <w:r w:rsidRPr="00EA0FD7">
        <w:rPr>
          <w:rFonts w:ascii="Times New Roman" w:eastAsia="Times New Roman" w:hAnsi="Times New Roman" w:cs="Times New Roman"/>
          <w:sz w:val="24"/>
          <w:szCs w:val="24"/>
          <w:lang w:val="sr-Cyrl-RS" w:eastAsia="hr-HR"/>
        </w:rPr>
        <w:t xml:space="preserve"> (пројекат ХЕС Горња Дрина</w:t>
      </w:r>
      <w:r w:rsidRPr="00AE5455">
        <w:rPr>
          <w:rFonts w:ascii="Times New Roman" w:eastAsia="Times New Roman" w:hAnsi="Times New Roman" w:cs="Times New Roman"/>
          <w:sz w:val="24"/>
          <w:szCs w:val="24"/>
          <w:vertAlign w:val="superscript"/>
          <w:lang w:val="sr-Cyrl-RS" w:eastAsia="hr-HR"/>
        </w:rPr>
        <w:footnoteReference w:id="32"/>
      </w:r>
      <w:r w:rsidRPr="00EA0FD7">
        <w:rPr>
          <w:rFonts w:ascii="Times New Roman" w:eastAsia="Times New Roman" w:hAnsi="Times New Roman" w:cs="Times New Roman"/>
          <w:sz w:val="24"/>
          <w:szCs w:val="24"/>
          <w:lang w:val="sr-Cyrl-RS" w:eastAsia="hr-HR"/>
        </w:rPr>
        <w:t>). Прва би се градила ХЕ Бук Бијела</w:t>
      </w:r>
      <w:r w:rsidRPr="00AE5455">
        <w:rPr>
          <w:rFonts w:ascii="Times New Roman" w:eastAsia="Times New Roman" w:hAnsi="Times New Roman" w:cs="Times New Roman"/>
          <w:sz w:val="24"/>
          <w:szCs w:val="24"/>
          <w:vertAlign w:val="superscript"/>
          <w:lang w:val="sr-Cyrl-RS" w:eastAsia="hr-HR"/>
        </w:rPr>
        <w:footnoteReference w:id="33"/>
      </w:r>
      <w:r w:rsidRPr="00EA0FD7">
        <w:rPr>
          <w:rFonts w:ascii="Times New Roman" w:eastAsia="Times New Roman" w:hAnsi="Times New Roman" w:cs="Times New Roman"/>
          <w:sz w:val="24"/>
          <w:szCs w:val="24"/>
          <w:lang w:val="sr-Cyrl-RS" w:eastAsia="hr-HR"/>
        </w:rPr>
        <w:t xml:space="preserve"> за чију би изградњу било уложено 200 мил. </w:t>
      </w:r>
      <w:r w:rsidR="00AE5455">
        <w:rPr>
          <w:rFonts w:ascii="Times New Roman" w:eastAsia="Times New Roman" w:hAnsi="Times New Roman" w:cs="Times New Roman"/>
          <w:sz w:val="24"/>
          <w:szCs w:val="24"/>
          <w:lang w:eastAsia="hr-HR"/>
        </w:rPr>
        <w:t>EUR</w:t>
      </w:r>
      <w:r w:rsidRPr="00EA0FD7">
        <w:rPr>
          <w:rFonts w:ascii="Times New Roman" w:eastAsia="Times New Roman" w:hAnsi="Times New Roman" w:cs="Times New Roman"/>
          <w:sz w:val="24"/>
          <w:szCs w:val="24"/>
          <w:lang w:val="sr-Cyrl-RS" w:eastAsia="hr-HR"/>
        </w:rPr>
        <w:t>. Постоје планови и за улагање у области соларне енергије. Потписан је и концесиони уговор за изградњу СЕ Билећа од стране ЕФТ групе</w:t>
      </w:r>
      <w:r w:rsidR="00AE5455">
        <w:rPr>
          <w:rFonts w:ascii="Times New Roman" w:eastAsia="Times New Roman" w:hAnsi="Times New Roman" w:cs="Times New Roman"/>
          <w:sz w:val="24"/>
          <w:szCs w:val="24"/>
          <w:lang w:eastAsia="hr-HR"/>
        </w:rPr>
        <w:t>,</w:t>
      </w:r>
      <w:r w:rsidRPr="00EA0FD7">
        <w:rPr>
          <w:rFonts w:ascii="Times New Roman" w:eastAsia="Times New Roman" w:hAnsi="Times New Roman" w:cs="Times New Roman"/>
          <w:sz w:val="24"/>
          <w:szCs w:val="24"/>
          <w:lang w:val="sr-Cyrl-RS" w:eastAsia="hr-HR"/>
        </w:rPr>
        <w:t xml:space="preserve"> а постоји интересовање за ову област и од стране италијанских инвеститора</w:t>
      </w:r>
      <w:r w:rsidRPr="00AE5455">
        <w:rPr>
          <w:rFonts w:ascii="Times New Roman" w:eastAsia="Times New Roman" w:hAnsi="Times New Roman" w:cs="Times New Roman"/>
          <w:sz w:val="24"/>
          <w:szCs w:val="24"/>
          <w:vertAlign w:val="superscript"/>
          <w:lang w:val="sr-Cyrl-RS" w:eastAsia="hr-HR"/>
        </w:rPr>
        <w:footnoteReference w:id="34"/>
      </w:r>
      <w:r w:rsidRPr="00EA0FD7">
        <w:rPr>
          <w:rFonts w:ascii="Times New Roman" w:eastAsia="Times New Roman" w:hAnsi="Times New Roman" w:cs="Times New Roman"/>
          <w:sz w:val="24"/>
          <w:szCs w:val="24"/>
          <w:lang w:val="sr-Cyrl-RS" w:eastAsia="hr-HR"/>
        </w:rPr>
        <w:t>. Позитивно на улагања би се могла одразити чињеница да је Босна и Херцеговина однедавно потписница Зелене агенде</w:t>
      </w:r>
      <w:r w:rsidRPr="00AE5455">
        <w:rPr>
          <w:rFonts w:ascii="Times New Roman" w:eastAsia="Times New Roman" w:hAnsi="Times New Roman" w:cs="Times New Roman"/>
          <w:sz w:val="24"/>
          <w:szCs w:val="24"/>
          <w:vertAlign w:val="superscript"/>
          <w:lang w:val="sr-Cyrl-RS" w:eastAsia="hr-HR"/>
        </w:rPr>
        <w:footnoteReference w:id="35"/>
      </w:r>
      <w:r w:rsidRPr="00EA0FD7">
        <w:rPr>
          <w:rFonts w:ascii="Times New Roman" w:eastAsia="Times New Roman" w:hAnsi="Times New Roman" w:cs="Times New Roman"/>
          <w:sz w:val="24"/>
          <w:szCs w:val="24"/>
          <w:lang w:val="sr-Cyrl-RS" w:eastAsia="hr-HR"/>
        </w:rPr>
        <w:t xml:space="preserve"> за Западни Балкан чиме је створена могућност за повлачење средстава пре</w:t>
      </w:r>
      <w:r w:rsidR="00AE5455">
        <w:rPr>
          <w:rFonts w:ascii="Times New Roman" w:eastAsia="Times New Roman" w:hAnsi="Times New Roman" w:cs="Times New Roman"/>
          <w:sz w:val="24"/>
          <w:szCs w:val="24"/>
          <w:lang w:val="bs-Cyrl-BA" w:eastAsia="hr-HR"/>
        </w:rPr>
        <w:t>т</w:t>
      </w:r>
      <w:r w:rsidRPr="00EA0FD7">
        <w:rPr>
          <w:rFonts w:ascii="Times New Roman" w:eastAsia="Times New Roman" w:hAnsi="Times New Roman" w:cs="Times New Roman"/>
          <w:sz w:val="24"/>
          <w:szCs w:val="24"/>
          <w:lang w:val="sr-Cyrl-RS" w:eastAsia="hr-HR"/>
        </w:rPr>
        <w:t>приступне помоћи ЕУ за зелену транзицију у енергетском сектору.</w:t>
      </w:r>
    </w:p>
    <w:p w14:paraId="3F5B99F9"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82EC42B"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Тиме би се СДУ у наредним годинама постепено почела опорављати те би у просјеку достизала око 2% БДП (у 2023. години  2,1% а у 2024. години и 2025. години око 2,2% БДП).</w:t>
      </w:r>
    </w:p>
    <w:p w14:paraId="75286FDF"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p>
    <w:p w14:paraId="2B58BE71"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p>
    <w:p w14:paraId="068EB56B"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Ризици</w:t>
      </w:r>
    </w:p>
    <w:p w14:paraId="2BD27E79"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54AAF10"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зависности од развоја рата у Украјини и посљедичног одговора међународне заједнице  одвијаће се и могући економски сценарији. Заоштравање санкција, потпуни прекид досадашњих линија снабдијевања гасом, нафтом и осталим сировинама које су се до сада увозиле из Русије проузроковаће још већа инфлаторна кретања, те онемогућити или успорити инвестиционе пројекте у региону и Босни и Херцеговини. Тиме би у земљи нарочито било погођено улагање у нафтну и плинску индустрију која је највећим дијелом везана за руске компаније. Сигурно да и чињеница да је Босна и Херцеговина још увијек под санкцијама Енергетске заједнице</w:t>
      </w:r>
      <w:r w:rsidRPr="00AE5455">
        <w:rPr>
          <w:rFonts w:ascii="Times New Roman" w:eastAsia="Times New Roman" w:hAnsi="Times New Roman" w:cs="Times New Roman"/>
          <w:sz w:val="24"/>
          <w:szCs w:val="24"/>
          <w:vertAlign w:val="superscript"/>
          <w:lang w:val="sr-Cyrl-RS" w:eastAsia="hr-HR"/>
        </w:rPr>
        <w:footnoteReference w:id="36"/>
      </w:r>
      <w:r w:rsidRPr="00EA0FD7">
        <w:rPr>
          <w:rFonts w:ascii="Times New Roman" w:eastAsia="Times New Roman" w:hAnsi="Times New Roman" w:cs="Times New Roman"/>
          <w:sz w:val="24"/>
          <w:szCs w:val="24"/>
          <w:lang w:val="sr-Cyrl-RS" w:eastAsia="hr-HR"/>
        </w:rPr>
        <w:t xml:space="preserve"> неће допринијети новим улагањима. Могуће поновно ширење пандемије, усложњавање политичких, али и сигурносних прилика у земљи додатно би се негативно одразило и на стање СДУ чије би учешће у БДП-у било испод 2%. </w:t>
      </w:r>
    </w:p>
    <w:p w14:paraId="5D2AE11C"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u w:val="single"/>
          <w:lang w:val="sr-Cyrl-RS" w:eastAsia="hr-HR"/>
        </w:rPr>
      </w:pPr>
    </w:p>
    <w:p w14:paraId="510AE961" w14:textId="77777777" w:rsidR="00EA0FD7" w:rsidRPr="00EA0FD7" w:rsidRDefault="00EA0FD7" w:rsidP="00EA0FD7">
      <w:pPr>
        <w:keepNext/>
        <w:tabs>
          <w:tab w:val="left" w:pos="0"/>
          <w:tab w:val="left" w:pos="3010"/>
          <w:tab w:val="left" w:pos="3294"/>
          <w:tab w:val="left" w:pos="5196"/>
        </w:tabs>
        <w:spacing w:after="0" w:line="240" w:lineRule="auto"/>
        <w:ind w:left="360"/>
        <w:outlineLvl w:val="1"/>
        <w:rPr>
          <w:rFonts w:ascii="Times New Roman" w:eastAsia="Calibri" w:hAnsi="Times New Roman" w:cs="Times New Roman"/>
          <w:b/>
          <w:sz w:val="24"/>
          <w:szCs w:val="24"/>
          <w:lang w:val="sr-Cyrl-RS" w:eastAsia="hr-HR"/>
        </w:rPr>
      </w:pPr>
      <w:bookmarkStart w:id="21" w:name="_Toc39049129"/>
      <w:bookmarkStart w:id="22" w:name="_Toc39048842"/>
    </w:p>
    <w:p w14:paraId="2AA811E5" w14:textId="77777777" w:rsidR="00EA0FD7" w:rsidRPr="00EA0FD7" w:rsidRDefault="00EA0FD7" w:rsidP="00EA0FD7">
      <w:pPr>
        <w:keepNext/>
        <w:tabs>
          <w:tab w:val="left" w:pos="0"/>
          <w:tab w:val="left" w:pos="3010"/>
          <w:tab w:val="left" w:pos="3294"/>
          <w:tab w:val="left" w:pos="5196"/>
        </w:tabs>
        <w:spacing w:after="0" w:line="240" w:lineRule="auto"/>
        <w:jc w:val="both"/>
        <w:outlineLvl w:val="1"/>
        <w:rPr>
          <w:rFonts w:ascii="Times New Roman" w:eastAsia="Calibri" w:hAnsi="Times New Roman" w:cs="Times New Roman"/>
          <w:b/>
          <w:sz w:val="24"/>
          <w:szCs w:val="24"/>
          <w:lang w:val="sr-Cyrl-RS" w:eastAsia="hr-HR"/>
        </w:rPr>
      </w:pPr>
      <w:r w:rsidRPr="00EA0FD7">
        <w:rPr>
          <w:rFonts w:ascii="Times New Roman" w:eastAsia="Calibri" w:hAnsi="Times New Roman" w:cs="Times New Roman"/>
          <w:b/>
          <w:sz w:val="24"/>
          <w:szCs w:val="24"/>
          <w:lang w:val="sr-Cyrl-RS" w:eastAsia="hr-HR"/>
        </w:rPr>
        <w:t xml:space="preserve">ПРОГНОЗЕ ОСНОВНИХ МАКРОЕКОНОМСКИХ ПОКАЗАТЕЉА  </w:t>
      </w:r>
    </w:p>
    <w:p w14:paraId="0CC34800" w14:textId="77777777" w:rsidR="00EA0FD7" w:rsidRPr="00EA0FD7" w:rsidRDefault="00EA0FD7" w:rsidP="00EA0FD7">
      <w:pPr>
        <w:keepNext/>
        <w:tabs>
          <w:tab w:val="left" w:pos="0"/>
          <w:tab w:val="left" w:pos="3010"/>
          <w:tab w:val="left" w:pos="3294"/>
          <w:tab w:val="left" w:pos="5196"/>
        </w:tabs>
        <w:spacing w:after="0" w:line="240" w:lineRule="auto"/>
        <w:jc w:val="both"/>
        <w:outlineLvl w:val="1"/>
        <w:rPr>
          <w:rFonts w:ascii="Times New Roman" w:eastAsia="Calibri" w:hAnsi="Times New Roman" w:cs="Times New Roman"/>
          <w:b/>
          <w:sz w:val="24"/>
          <w:szCs w:val="24"/>
          <w:lang w:val="sr-Cyrl-RS" w:eastAsia="hr-HR"/>
        </w:rPr>
      </w:pPr>
      <w:r w:rsidRPr="00EA0FD7">
        <w:rPr>
          <w:rFonts w:ascii="Times New Roman" w:eastAsia="Calibri" w:hAnsi="Times New Roman" w:cs="Times New Roman"/>
          <w:b/>
          <w:sz w:val="24"/>
          <w:szCs w:val="24"/>
          <w:lang w:val="sr-Cyrl-RS" w:eastAsia="hr-HR"/>
        </w:rPr>
        <w:t>БРЧКО ДИСТРИКТА БИХ</w:t>
      </w:r>
      <w:bookmarkEnd w:id="21"/>
      <w:bookmarkEnd w:id="22"/>
    </w:p>
    <w:p w14:paraId="3AADD841" w14:textId="77777777" w:rsidR="00EA0FD7" w:rsidRPr="00EA0FD7" w:rsidRDefault="00EA0FD7" w:rsidP="00EA0FD7">
      <w:pPr>
        <w:spacing w:after="0" w:line="240" w:lineRule="auto"/>
        <w:rPr>
          <w:rFonts w:ascii="Times New Roman" w:eastAsia="Calibri" w:hAnsi="Times New Roman" w:cs="Times New Roman"/>
          <w:b/>
          <w:sz w:val="24"/>
          <w:szCs w:val="24"/>
          <w:lang w:val="sr-Cyrl-RS" w:eastAsia="hr-HR"/>
        </w:rPr>
      </w:pPr>
    </w:p>
    <w:p w14:paraId="3A4E0E8E"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 xml:space="preserve">Приликом израде пројекције макроекономских показатеља за Брчко дистрикт БиХ, пошло се од анализе кретања макроекономских показатеља у претходним годинама (подаци добијени од  Агенције за статистику БиХ – подружница/експозитура Брчко), као и пројектованих стопа раста макроекономских показатеља преузетих од ДЕП-а. </w:t>
      </w:r>
    </w:p>
    <w:p w14:paraId="5F91285D"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5EC65C43" w14:textId="77777777" w:rsidR="00EA0FD7" w:rsidRPr="00EA0FD7" w:rsidRDefault="00EA0FD7" w:rsidP="00EA0FD7">
      <w:pPr>
        <w:spacing w:after="0" w:line="240" w:lineRule="auto"/>
        <w:jc w:val="both"/>
        <w:rPr>
          <w:rFonts w:ascii="Times New Roman" w:eastAsia="Calibri" w:hAnsi="Times New Roman" w:cs="Times New Roman"/>
          <w:sz w:val="24"/>
          <w:szCs w:val="24"/>
          <w:lang w:val="sr-Cyrl-RS" w:eastAsia="hr-HR"/>
        </w:rPr>
      </w:pPr>
    </w:p>
    <w:p w14:paraId="7ACE666E" w14:textId="77777777" w:rsidR="00EA0FD7" w:rsidRPr="00EA0FD7" w:rsidRDefault="00EA0FD7" w:rsidP="00EA0FD7">
      <w:pPr>
        <w:spacing w:after="0" w:line="240" w:lineRule="auto"/>
        <w:jc w:val="both"/>
        <w:rPr>
          <w:rFonts w:ascii="Times New Roman" w:eastAsia="Calibri" w:hAnsi="Times New Roman" w:cs="Times New Roman"/>
          <w:bCs/>
          <w:spacing w:val="-4"/>
          <w:sz w:val="24"/>
          <w:szCs w:val="24"/>
          <w:lang w:val="sr-Cyrl-RS" w:eastAsia="hr-HR"/>
        </w:rPr>
      </w:pPr>
    </w:p>
    <w:p w14:paraId="5B3C7FF9" w14:textId="77777777" w:rsidR="00EA0FD7" w:rsidRPr="00AE5455" w:rsidRDefault="00EA0FD7" w:rsidP="00EA0FD7">
      <w:pPr>
        <w:spacing w:after="0" w:line="240" w:lineRule="auto"/>
        <w:rPr>
          <w:rFonts w:ascii="Times New Roman" w:eastAsia="Times New Roman" w:hAnsi="Times New Roman" w:cs="Times New Roman"/>
          <w:sz w:val="24"/>
          <w:szCs w:val="24"/>
          <w:lang w:val="sr-Cyrl-RS" w:eastAsia="hr-HR"/>
        </w:rPr>
      </w:pPr>
      <w:r w:rsidRPr="00AE5455">
        <w:rPr>
          <w:rFonts w:ascii="Times New Roman" w:eastAsia="Times New Roman" w:hAnsi="Times New Roman" w:cs="Times New Roman"/>
          <w:b/>
          <w:bCs/>
          <w:spacing w:val="-4"/>
          <w:sz w:val="24"/>
          <w:szCs w:val="24"/>
          <w:lang w:val="sr-Cyrl-RS" w:eastAsia="hr-HR"/>
        </w:rPr>
        <w:t xml:space="preserve">Табела 2.2. </w:t>
      </w:r>
      <w:r w:rsidRPr="00AE5455">
        <w:rPr>
          <w:rFonts w:ascii="Times New Roman" w:eastAsia="Times New Roman" w:hAnsi="Times New Roman" w:cs="Times New Roman"/>
          <w:bCs/>
          <w:spacing w:val="-4"/>
          <w:sz w:val="24"/>
          <w:szCs w:val="24"/>
          <w:lang w:val="sr-Cyrl-RS" w:eastAsia="hr-HR"/>
        </w:rPr>
        <w:t>Пројекција макроекономских показатеља у Брчко дистрикту БиХ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807"/>
        <w:gridCol w:w="807"/>
        <w:gridCol w:w="808"/>
        <w:gridCol w:w="807"/>
        <w:gridCol w:w="808"/>
        <w:gridCol w:w="807"/>
        <w:gridCol w:w="808"/>
        <w:gridCol w:w="807"/>
        <w:gridCol w:w="808"/>
        <w:gridCol w:w="807"/>
        <w:gridCol w:w="916"/>
      </w:tblGrid>
      <w:tr w:rsidR="00EA0FD7" w:rsidRPr="00EA0FD7" w14:paraId="6DE10325" w14:textId="77777777" w:rsidTr="00EA0FD7">
        <w:trPr>
          <w:trHeight w:val="508"/>
          <w:jc w:val="center"/>
        </w:trPr>
        <w:tc>
          <w:tcPr>
            <w:tcW w:w="1271" w:type="dxa"/>
            <w:tcBorders>
              <w:top w:val="single" w:sz="4" w:space="0" w:color="auto"/>
              <w:left w:val="single" w:sz="4" w:space="0" w:color="auto"/>
              <w:bottom w:val="single" w:sz="4" w:space="0" w:color="auto"/>
              <w:right w:val="single" w:sz="4" w:space="0" w:color="auto"/>
            </w:tcBorders>
            <w:shd w:val="clear" w:color="auto" w:fill="5B9BD5"/>
            <w:vAlign w:val="center"/>
          </w:tcPr>
          <w:p w14:paraId="3B065098"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color w:val="FFFFFF"/>
                <w:spacing w:val="-4"/>
                <w:sz w:val="16"/>
                <w:szCs w:val="16"/>
                <w:lang w:val="sr-Cyrl-RS" w:eastAsia="hr-HR"/>
              </w:rPr>
            </w:pPr>
          </w:p>
          <w:p w14:paraId="7C4EA896"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color w:val="FFFFFF"/>
                <w:spacing w:val="-4"/>
                <w:sz w:val="16"/>
                <w:szCs w:val="16"/>
                <w:lang w:val="sr-Cyrl-RS" w:eastAsia="hr-HR"/>
              </w:rPr>
            </w:pPr>
            <w:r w:rsidRPr="00AE5455">
              <w:rPr>
                <w:rFonts w:ascii="Times New Roman" w:eastAsia="Times New Roman" w:hAnsi="Times New Roman" w:cs="Times New Roman"/>
                <w:bCs/>
                <w:color w:val="FFFFFF"/>
                <w:spacing w:val="-4"/>
                <w:sz w:val="16"/>
                <w:szCs w:val="16"/>
                <w:lang w:val="sr-Cyrl-RS" w:eastAsia="hr-HR"/>
              </w:rPr>
              <w:t>ПОКАЗАТЕЉ                              /ГОД</w:t>
            </w:r>
          </w:p>
        </w:tc>
        <w:tc>
          <w:tcPr>
            <w:tcW w:w="807"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70A68CBB" w14:textId="77777777" w:rsidR="00EA0FD7" w:rsidRPr="00EA0FD7" w:rsidRDefault="00EA0FD7" w:rsidP="00EA0FD7">
            <w:pPr>
              <w:spacing w:after="0" w:line="240" w:lineRule="auto"/>
              <w:ind w:left="-540" w:firstLine="540"/>
              <w:jc w:val="center"/>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color w:val="FFFFFF"/>
                <w:sz w:val="16"/>
                <w:szCs w:val="16"/>
                <w:lang w:val="sr-Cyrl-RS" w:eastAsia="hr-HR"/>
              </w:rPr>
              <w:t>2015*</w:t>
            </w:r>
          </w:p>
        </w:tc>
        <w:tc>
          <w:tcPr>
            <w:tcW w:w="807"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4071E715" w14:textId="77777777" w:rsidR="00EA0FD7" w:rsidRPr="00EA0FD7" w:rsidRDefault="00EA0FD7" w:rsidP="00EA0FD7">
            <w:pPr>
              <w:spacing w:after="0" w:line="240" w:lineRule="auto"/>
              <w:ind w:left="-540" w:firstLine="540"/>
              <w:jc w:val="center"/>
              <w:rPr>
                <w:rFonts w:ascii="Times New Roman" w:eastAsia="Times New Roman" w:hAnsi="Times New Roman" w:cs="Times New Roman"/>
                <w:color w:val="FFFFFF"/>
                <w:sz w:val="16"/>
                <w:szCs w:val="16"/>
                <w:lang w:val="sr-Cyrl-RS" w:eastAsia="hr-HR"/>
              </w:rPr>
            </w:pPr>
            <w:r w:rsidRPr="00EA0FD7">
              <w:rPr>
                <w:rFonts w:ascii="Times New Roman" w:eastAsia="Times New Roman" w:hAnsi="Times New Roman" w:cs="Times New Roman"/>
                <w:color w:val="FFFFFF"/>
                <w:sz w:val="16"/>
                <w:szCs w:val="16"/>
                <w:lang w:val="sr-Cyrl-RS" w:eastAsia="hr-HR"/>
              </w:rPr>
              <w:t>2016*</w:t>
            </w:r>
          </w:p>
        </w:tc>
        <w:tc>
          <w:tcPr>
            <w:tcW w:w="808"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6CBAE1EC" w14:textId="77777777" w:rsidR="00EA0FD7" w:rsidRPr="00EA0FD7" w:rsidRDefault="00EA0FD7" w:rsidP="00EA0FD7">
            <w:pPr>
              <w:spacing w:after="0" w:line="240" w:lineRule="auto"/>
              <w:ind w:left="-540" w:firstLine="540"/>
              <w:jc w:val="center"/>
              <w:rPr>
                <w:rFonts w:ascii="Times New Roman" w:eastAsia="Times New Roman" w:hAnsi="Times New Roman" w:cs="Times New Roman"/>
                <w:color w:val="FFFFFF"/>
                <w:sz w:val="16"/>
                <w:szCs w:val="16"/>
                <w:lang w:val="sr-Cyrl-RS" w:eastAsia="hr-HR"/>
              </w:rPr>
            </w:pPr>
            <w:r w:rsidRPr="00EA0FD7">
              <w:rPr>
                <w:rFonts w:ascii="Times New Roman" w:eastAsia="Times New Roman" w:hAnsi="Times New Roman" w:cs="Times New Roman"/>
                <w:color w:val="FFFFFF"/>
                <w:sz w:val="16"/>
                <w:szCs w:val="16"/>
                <w:lang w:val="sr-Cyrl-RS" w:eastAsia="hr-HR"/>
              </w:rPr>
              <w:t>2017*</w:t>
            </w:r>
          </w:p>
        </w:tc>
        <w:tc>
          <w:tcPr>
            <w:tcW w:w="807"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587A1E02" w14:textId="77777777" w:rsidR="00EA0FD7" w:rsidRPr="00EA0FD7" w:rsidRDefault="00EA0FD7" w:rsidP="00EA0FD7">
            <w:pPr>
              <w:spacing w:after="0" w:line="240" w:lineRule="auto"/>
              <w:ind w:left="-540" w:firstLine="540"/>
              <w:jc w:val="center"/>
              <w:rPr>
                <w:rFonts w:ascii="Times New Roman" w:eastAsia="Times New Roman" w:hAnsi="Times New Roman" w:cs="Times New Roman"/>
                <w:color w:val="FFFFFF"/>
                <w:sz w:val="16"/>
                <w:szCs w:val="16"/>
                <w:lang w:val="sr-Cyrl-RS" w:eastAsia="hr-HR"/>
              </w:rPr>
            </w:pPr>
            <w:r w:rsidRPr="00EA0FD7">
              <w:rPr>
                <w:rFonts w:ascii="Times New Roman" w:eastAsia="Times New Roman" w:hAnsi="Times New Roman" w:cs="Times New Roman"/>
                <w:color w:val="FFFFFF"/>
                <w:sz w:val="16"/>
                <w:szCs w:val="16"/>
                <w:lang w:val="sr-Cyrl-RS" w:eastAsia="hr-HR"/>
              </w:rPr>
              <w:t>2018*</w:t>
            </w:r>
          </w:p>
        </w:tc>
        <w:tc>
          <w:tcPr>
            <w:tcW w:w="808"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5FDE158E" w14:textId="77777777" w:rsidR="00EA0FD7" w:rsidRPr="00EA0FD7" w:rsidRDefault="00EA0FD7" w:rsidP="00EA0FD7">
            <w:pPr>
              <w:spacing w:after="0" w:line="240" w:lineRule="auto"/>
              <w:ind w:left="-540" w:firstLine="540"/>
              <w:jc w:val="center"/>
              <w:rPr>
                <w:rFonts w:ascii="Times New Roman" w:eastAsia="Times New Roman" w:hAnsi="Times New Roman" w:cs="Times New Roman"/>
                <w:color w:val="FFFFFF"/>
                <w:sz w:val="16"/>
                <w:szCs w:val="16"/>
                <w:lang w:val="sr-Cyrl-RS" w:eastAsia="hr-HR"/>
              </w:rPr>
            </w:pPr>
            <w:r w:rsidRPr="00EA0FD7">
              <w:rPr>
                <w:rFonts w:ascii="Times New Roman" w:eastAsia="Times New Roman" w:hAnsi="Times New Roman" w:cs="Times New Roman"/>
                <w:color w:val="FFFFFF"/>
                <w:sz w:val="16"/>
                <w:szCs w:val="16"/>
                <w:lang w:val="sr-Cyrl-RS" w:eastAsia="hr-HR"/>
              </w:rPr>
              <w:t>2019*</w:t>
            </w:r>
          </w:p>
        </w:tc>
        <w:tc>
          <w:tcPr>
            <w:tcW w:w="807"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65EDD8D4" w14:textId="77777777" w:rsidR="00EA0FD7" w:rsidRPr="00EA0FD7" w:rsidRDefault="00EA0FD7" w:rsidP="00EA0FD7">
            <w:pPr>
              <w:spacing w:after="0" w:line="240" w:lineRule="auto"/>
              <w:ind w:left="-540" w:firstLine="540"/>
              <w:jc w:val="center"/>
              <w:rPr>
                <w:rFonts w:ascii="Times New Roman" w:eastAsia="Times New Roman" w:hAnsi="Times New Roman" w:cs="Times New Roman"/>
                <w:color w:val="FFFFFF"/>
                <w:sz w:val="16"/>
                <w:szCs w:val="16"/>
                <w:lang w:val="sr-Cyrl-RS" w:eastAsia="hr-HR"/>
              </w:rPr>
            </w:pPr>
            <w:r w:rsidRPr="00EA0FD7">
              <w:rPr>
                <w:rFonts w:ascii="Times New Roman" w:eastAsia="Times New Roman" w:hAnsi="Times New Roman" w:cs="Times New Roman"/>
                <w:color w:val="FFFFFF"/>
                <w:sz w:val="16"/>
                <w:szCs w:val="16"/>
                <w:lang w:val="sr-Cyrl-RS" w:eastAsia="hr-HR"/>
              </w:rPr>
              <w:t>2020*</w:t>
            </w:r>
          </w:p>
        </w:tc>
        <w:tc>
          <w:tcPr>
            <w:tcW w:w="808"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70A41A99" w14:textId="77777777" w:rsidR="00EA0FD7" w:rsidRPr="00EA0FD7" w:rsidRDefault="00EA0FD7" w:rsidP="00EA0FD7">
            <w:pPr>
              <w:spacing w:after="0" w:line="240" w:lineRule="auto"/>
              <w:ind w:left="-540" w:firstLine="540"/>
              <w:jc w:val="center"/>
              <w:rPr>
                <w:rFonts w:ascii="Times New Roman" w:eastAsia="Times New Roman" w:hAnsi="Times New Roman" w:cs="Times New Roman"/>
                <w:color w:val="FFFFFF"/>
                <w:sz w:val="16"/>
                <w:szCs w:val="16"/>
                <w:lang w:val="sr-Cyrl-RS" w:eastAsia="hr-HR"/>
              </w:rPr>
            </w:pPr>
            <w:r w:rsidRPr="00EA0FD7">
              <w:rPr>
                <w:rFonts w:ascii="Times New Roman" w:eastAsia="Times New Roman" w:hAnsi="Times New Roman" w:cs="Times New Roman"/>
                <w:color w:val="FFFFFF"/>
                <w:sz w:val="16"/>
                <w:szCs w:val="16"/>
                <w:lang w:val="sr-Cyrl-RS" w:eastAsia="hr-HR"/>
              </w:rPr>
              <w:t>2021**</w:t>
            </w:r>
          </w:p>
        </w:tc>
        <w:tc>
          <w:tcPr>
            <w:tcW w:w="807"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629D5AC3" w14:textId="77777777" w:rsidR="00EA0FD7" w:rsidRPr="00EA0FD7" w:rsidRDefault="00EA0FD7" w:rsidP="00EA0FD7">
            <w:pPr>
              <w:spacing w:after="0" w:line="240" w:lineRule="auto"/>
              <w:ind w:left="-540" w:firstLine="540"/>
              <w:jc w:val="center"/>
              <w:rPr>
                <w:rFonts w:ascii="Times New Roman" w:eastAsia="Times New Roman" w:hAnsi="Times New Roman" w:cs="Times New Roman"/>
                <w:color w:val="FFFFFF"/>
                <w:sz w:val="16"/>
                <w:szCs w:val="16"/>
                <w:lang w:val="sr-Cyrl-RS" w:eastAsia="hr-HR"/>
              </w:rPr>
            </w:pPr>
            <w:r w:rsidRPr="00EA0FD7">
              <w:rPr>
                <w:rFonts w:ascii="Times New Roman" w:eastAsia="Times New Roman" w:hAnsi="Times New Roman" w:cs="Times New Roman"/>
                <w:color w:val="FFFFFF"/>
                <w:sz w:val="16"/>
                <w:szCs w:val="16"/>
                <w:lang w:val="sr-Cyrl-RS" w:eastAsia="hr-HR"/>
              </w:rPr>
              <w:t>2022**</w:t>
            </w:r>
          </w:p>
        </w:tc>
        <w:tc>
          <w:tcPr>
            <w:tcW w:w="808"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49AFDC5B" w14:textId="77777777" w:rsidR="00EA0FD7" w:rsidRPr="00EA0FD7" w:rsidRDefault="00EA0FD7" w:rsidP="00EA0FD7">
            <w:pPr>
              <w:spacing w:after="0" w:line="240" w:lineRule="auto"/>
              <w:ind w:left="-540" w:firstLine="540"/>
              <w:jc w:val="center"/>
              <w:rPr>
                <w:rFonts w:ascii="Times New Roman" w:eastAsia="Times New Roman" w:hAnsi="Times New Roman" w:cs="Times New Roman"/>
                <w:color w:val="FFFFFF"/>
                <w:sz w:val="16"/>
                <w:szCs w:val="16"/>
                <w:lang w:val="sr-Cyrl-RS" w:eastAsia="hr-HR"/>
              </w:rPr>
            </w:pPr>
            <w:r w:rsidRPr="00EA0FD7">
              <w:rPr>
                <w:rFonts w:ascii="Times New Roman" w:eastAsia="Times New Roman" w:hAnsi="Times New Roman" w:cs="Times New Roman"/>
                <w:color w:val="FFFFFF"/>
                <w:sz w:val="16"/>
                <w:szCs w:val="16"/>
                <w:lang w:val="sr-Cyrl-RS" w:eastAsia="hr-HR"/>
              </w:rPr>
              <w:t>2023**</w:t>
            </w:r>
          </w:p>
        </w:tc>
        <w:tc>
          <w:tcPr>
            <w:tcW w:w="807"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7AA57003" w14:textId="77777777" w:rsidR="00EA0FD7" w:rsidRPr="00EA0FD7" w:rsidRDefault="00EA0FD7" w:rsidP="00EA0FD7">
            <w:pPr>
              <w:spacing w:after="0" w:line="240" w:lineRule="auto"/>
              <w:ind w:left="-540" w:firstLine="540"/>
              <w:jc w:val="center"/>
              <w:rPr>
                <w:rFonts w:ascii="Times New Roman" w:eastAsia="Times New Roman" w:hAnsi="Times New Roman" w:cs="Times New Roman"/>
                <w:color w:val="FFFFFF"/>
                <w:sz w:val="16"/>
                <w:szCs w:val="16"/>
                <w:lang w:val="sr-Cyrl-RS" w:eastAsia="hr-HR"/>
              </w:rPr>
            </w:pPr>
            <w:r w:rsidRPr="00EA0FD7">
              <w:rPr>
                <w:rFonts w:ascii="Times New Roman" w:eastAsia="Times New Roman" w:hAnsi="Times New Roman" w:cs="Times New Roman"/>
                <w:color w:val="FFFFFF"/>
                <w:sz w:val="16"/>
                <w:szCs w:val="16"/>
                <w:lang w:val="sr-Cyrl-RS" w:eastAsia="hr-HR"/>
              </w:rPr>
              <w:t>2024**</w:t>
            </w:r>
          </w:p>
        </w:tc>
        <w:tc>
          <w:tcPr>
            <w:tcW w:w="916"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37C724F1" w14:textId="77777777" w:rsidR="00EA0FD7" w:rsidRPr="00EA0FD7" w:rsidRDefault="00EA0FD7" w:rsidP="00EA0FD7">
            <w:pPr>
              <w:spacing w:after="0" w:line="240" w:lineRule="auto"/>
              <w:ind w:left="-540" w:firstLine="540"/>
              <w:jc w:val="center"/>
              <w:rPr>
                <w:rFonts w:ascii="Times New Roman" w:eastAsia="Times New Roman" w:hAnsi="Times New Roman" w:cs="Times New Roman"/>
                <w:color w:val="FFFFFF"/>
                <w:sz w:val="16"/>
                <w:szCs w:val="16"/>
                <w:lang w:val="sr-Cyrl-RS" w:eastAsia="hr-HR"/>
              </w:rPr>
            </w:pPr>
            <w:r w:rsidRPr="00EA0FD7">
              <w:rPr>
                <w:rFonts w:ascii="Times New Roman" w:eastAsia="Times New Roman" w:hAnsi="Times New Roman" w:cs="Times New Roman"/>
                <w:color w:val="FFFFFF"/>
                <w:sz w:val="16"/>
                <w:szCs w:val="16"/>
                <w:lang w:val="sr-Cyrl-RS" w:eastAsia="hr-HR"/>
              </w:rPr>
              <w:t>2025**</w:t>
            </w:r>
          </w:p>
        </w:tc>
      </w:tr>
      <w:tr w:rsidR="00EA0FD7" w:rsidRPr="00EA0FD7" w14:paraId="71F7A7B7" w14:textId="77777777" w:rsidTr="00EA0FD7">
        <w:trPr>
          <w:trHeight w:val="564"/>
          <w:jc w:val="center"/>
        </w:trPr>
        <w:tc>
          <w:tcPr>
            <w:tcW w:w="127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C429B39" w14:textId="77777777" w:rsidR="00EA0FD7" w:rsidRPr="00AE5455" w:rsidRDefault="00EA0FD7" w:rsidP="00EA0FD7">
            <w:pPr>
              <w:spacing w:after="0" w:line="240" w:lineRule="auto"/>
              <w:jc w:val="center"/>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16"/>
                <w:szCs w:val="16"/>
                <w:lang w:val="sr-Cyrl-RS" w:eastAsia="hr-HR"/>
              </w:rPr>
              <w:t>Номинални БДП</w:t>
            </w:r>
          </w:p>
          <w:p w14:paraId="5249D26A" w14:textId="77777777"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(у 000 КМ)</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51A1E52"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730.337</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60A2CA0"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768.268</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F5E9AEA"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791.351</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B69E3F6"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813.159</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85B5638"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901.988</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30773F1"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900.606</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FF7B6F8"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954.642</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D3340CE"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4"/>
                <w:szCs w:val="14"/>
                <w:lang w:val="sr-Cyrl-RS" w:eastAsia="hr-HR"/>
              </w:rPr>
            </w:pPr>
            <w:r w:rsidRPr="00AE5455">
              <w:rPr>
                <w:rFonts w:ascii="Times New Roman" w:eastAsia="Times New Roman" w:hAnsi="Times New Roman" w:cs="Times New Roman"/>
                <w:bCs/>
                <w:spacing w:val="-4"/>
                <w:sz w:val="14"/>
                <w:szCs w:val="14"/>
                <w:lang w:val="sr-Cyrl-RS" w:eastAsia="hr-HR"/>
              </w:rPr>
              <w:t>1.006.193</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249EA36"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4"/>
                <w:szCs w:val="14"/>
                <w:lang w:val="sr-Cyrl-RS" w:eastAsia="hr-HR"/>
              </w:rPr>
            </w:pPr>
            <w:r w:rsidRPr="00AE5455">
              <w:rPr>
                <w:rFonts w:ascii="Times New Roman" w:eastAsia="Times New Roman" w:hAnsi="Times New Roman" w:cs="Times New Roman"/>
                <w:bCs/>
                <w:spacing w:val="-4"/>
                <w:sz w:val="14"/>
                <w:szCs w:val="14"/>
                <w:lang w:val="sr-Cyrl-RS" w:eastAsia="hr-HR"/>
              </w:rPr>
              <w:t>1.050.465</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8AB0F7B"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4"/>
                <w:szCs w:val="14"/>
                <w:lang w:val="sr-Cyrl-RS" w:eastAsia="hr-HR"/>
              </w:rPr>
            </w:pPr>
            <w:r w:rsidRPr="00AE5455">
              <w:rPr>
                <w:rFonts w:ascii="Times New Roman" w:eastAsia="Times New Roman" w:hAnsi="Times New Roman" w:cs="Times New Roman"/>
                <w:bCs/>
                <w:spacing w:val="-4"/>
                <w:sz w:val="14"/>
                <w:szCs w:val="14"/>
                <w:lang w:val="sr-Cyrl-RS" w:eastAsia="hr-HR"/>
              </w:rPr>
              <w:t>1.099.837</w:t>
            </w:r>
          </w:p>
        </w:tc>
        <w:tc>
          <w:tcPr>
            <w:tcW w:w="91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57DB0E1"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4"/>
                <w:szCs w:val="14"/>
                <w:lang w:val="sr-Cyrl-RS" w:eastAsia="hr-HR"/>
              </w:rPr>
            </w:pPr>
            <w:r w:rsidRPr="00AE5455">
              <w:rPr>
                <w:rFonts w:ascii="Times New Roman" w:eastAsia="Times New Roman" w:hAnsi="Times New Roman" w:cs="Times New Roman"/>
                <w:bCs/>
                <w:spacing w:val="-4"/>
                <w:sz w:val="14"/>
                <w:szCs w:val="14"/>
                <w:lang w:val="sr-Cyrl-RS" w:eastAsia="hr-HR"/>
              </w:rPr>
              <w:t>1.154.829</w:t>
            </w:r>
          </w:p>
        </w:tc>
      </w:tr>
      <w:tr w:rsidR="00EA0FD7" w:rsidRPr="00EA0FD7" w14:paraId="1D88EF7F" w14:textId="77777777" w:rsidTr="00EA0FD7">
        <w:trPr>
          <w:trHeight w:val="643"/>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44E9FA9C" w14:textId="02B37648"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Проц</w:t>
            </w:r>
            <w:r w:rsidR="00AE5455">
              <w:rPr>
                <w:rFonts w:ascii="Times New Roman" w:eastAsia="Times New Roman" w:hAnsi="Times New Roman" w:cs="Times New Roman"/>
                <w:bCs/>
                <w:spacing w:val="-4"/>
                <w:sz w:val="16"/>
                <w:szCs w:val="16"/>
                <w:lang w:val="sr-Cyrl-RS" w:eastAsia="hr-HR"/>
              </w:rPr>
              <w:t>и</w:t>
            </w:r>
            <w:r w:rsidRPr="00AE5455">
              <w:rPr>
                <w:rFonts w:ascii="Times New Roman" w:eastAsia="Times New Roman" w:hAnsi="Times New Roman" w:cs="Times New Roman"/>
                <w:bCs/>
                <w:spacing w:val="-4"/>
                <w:sz w:val="16"/>
                <w:szCs w:val="16"/>
                <w:lang w:val="sr-Cyrl-RS" w:eastAsia="hr-HR"/>
              </w:rPr>
              <w:t xml:space="preserve">јењени број становника   </w:t>
            </w:r>
          </w:p>
          <w:p w14:paraId="5F40187F" w14:textId="77777777"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(у 000)</w:t>
            </w:r>
          </w:p>
        </w:tc>
        <w:tc>
          <w:tcPr>
            <w:tcW w:w="807" w:type="dxa"/>
            <w:tcBorders>
              <w:top w:val="single" w:sz="4" w:space="0" w:color="auto"/>
              <w:left w:val="single" w:sz="4" w:space="0" w:color="auto"/>
              <w:bottom w:val="single" w:sz="4" w:space="0" w:color="auto"/>
              <w:right w:val="single" w:sz="4" w:space="0" w:color="auto"/>
            </w:tcBorders>
            <w:vAlign w:val="center"/>
            <w:hideMark/>
          </w:tcPr>
          <w:p w14:paraId="38F8BA92"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83,24</w:t>
            </w:r>
          </w:p>
        </w:tc>
        <w:tc>
          <w:tcPr>
            <w:tcW w:w="807" w:type="dxa"/>
            <w:tcBorders>
              <w:top w:val="single" w:sz="4" w:space="0" w:color="auto"/>
              <w:left w:val="single" w:sz="4" w:space="0" w:color="auto"/>
              <w:bottom w:val="single" w:sz="4" w:space="0" w:color="auto"/>
              <w:right w:val="single" w:sz="4" w:space="0" w:color="auto"/>
            </w:tcBorders>
            <w:vAlign w:val="center"/>
            <w:hideMark/>
          </w:tcPr>
          <w:p w14:paraId="391A453C"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83,25</w:t>
            </w:r>
          </w:p>
        </w:tc>
        <w:tc>
          <w:tcPr>
            <w:tcW w:w="808" w:type="dxa"/>
            <w:tcBorders>
              <w:top w:val="single" w:sz="4" w:space="0" w:color="auto"/>
              <w:left w:val="single" w:sz="4" w:space="0" w:color="auto"/>
              <w:bottom w:val="single" w:sz="4" w:space="0" w:color="auto"/>
              <w:right w:val="single" w:sz="4" w:space="0" w:color="auto"/>
            </w:tcBorders>
            <w:vAlign w:val="center"/>
            <w:hideMark/>
          </w:tcPr>
          <w:p w14:paraId="3FDEF29A"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83,24</w:t>
            </w:r>
          </w:p>
        </w:tc>
        <w:tc>
          <w:tcPr>
            <w:tcW w:w="807" w:type="dxa"/>
            <w:tcBorders>
              <w:top w:val="single" w:sz="4" w:space="0" w:color="auto"/>
              <w:left w:val="single" w:sz="4" w:space="0" w:color="auto"/>
              <w:bottom w:val="single" w:sz="4" w:space="0" w:color="auto"/>
              <w:right w:val="single" w:sz="4" w:space="0" w:color="auto"/>
            </w:tcBorders>
            <w:vAlign w:val="center"/>
            <w:hideMark/>
          </w:tcPr>
          <w:p w14:paraId="670DD5AF"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83,23</w:t>
            </w:r>
          </w:p>
        </w:tc>
        <w:tc>
          <w:tcPr>
            <w:tcW w:w="808" w:type="dxa"/>
            <w:tcBorders>
              <w:top w:val="single" w:sz="4" w:space="0" w:color="auto"/>
              <w:left w:val="single" w:sz="4" w:space="0" w:color="auto"/>
              <w:bottom w:val="single" w:sz="4" w:space="0" w:color="auto"/>
              <w:right w:val="single" w:sz="4" w:space="0" w:color="auto"/>
            </w:tcBorders>
            <w:vAlign w:val="center"/>
            <w:hideMark/>
          </w:tcPr>
          <w:p w14:paraId="18CB8F51"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83,16</w:t>
            </w:r>
          </w:p>
        </w:tc>
        <w:tc>
          <w:tcPr>
            <w:tcW w:w="807" w:type="dxa"/>
            <w:tcBorders>
              <w:top w:val="single" w:sz="4" w:space="0" w:color="auto"/>
              <w:left w:val="single" w:sz="4" w:space="0" w:color="auto"/>
              <w:bottom w:val="single" w:sz="4" w:space="0" w:color="auto"/>
              <w:right w:val="single" w:sz="4" w:space="0" w:color="auto"/>
            </w:tcBorders>
            <w:vAlign w:val="center"/>
            <w:hideMark/>
          </w:tcPr>
          <w:p w14:paraId="5445C9C0"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r w:rsidRPr="00AE5455">
              <w:rPr>
                <w:rFonts w:ascii="Times New Roman" w:eastAsia="Times New Roman" w:hAnsi="Times New Roman" w:cs="Times New Roman"/>
                <w:bCs/>
                <w:spacing w:val="-4"/>
                <w:sz w:val="16"/>
                <w:szCs w:val="16"/>
                <w:lang w:val="sr-Cyrl-RS" w:eastAsia="hr-HR"/>
              </w:rPr>
              <w:t>82,68</w:t>
            </w:r>
          </w:p>
        </w:tc>
        <w:tc>
          <w:tcPr>
            <w:tcW w:w="808" w:type="dxa"/>
            <w:tcBorders>
              <w:top w:val="single" w:sz="4" w:space="0" w:color="auto"/>
              <w:left w:val="single" w:sz="4" w:space="0" w:color="auto"/>
              <w:bottom w:val="single" w:sz="4" w:space="0" w:color="auto"/>
              <w:right w:val="single" w:sz="4" w:space="0" w:color="auto"/>
            </w:tcBorders>
            <w:vAlign w:val="center"/>
            <w:hideMark/>
          </w:tcPr>
          <w:p w14:paraId="1459B4DA" w14:textId="77777777" w:rsidR="00EA0FD7" w:rsidRPr="00EA0FD7" w:rsidRDefault="00EA0FD7" w:rsidP="00EA0FD7">
            <w:pPr>
              <w:spacing w:after="0" w:line="240" w:lineRule="auto"/>
              <w:jc w:val="center"/>
              <w:rPr>
                <w:rFonts w:ascii="Times New Roman" w:eastAsia="Times New Roman" w:hAnsi="Times New Roman" w:cs="Times New Roman"/>
                <w:sz w:val="16"/>
                <w:szCs w:val="16"/>
                <w:lang w:val="sr-Cyrl-RS" w:eastAsia="hr-HR"/>
              </w:rPr>
            </w:pPr>
            <w:r w:rsidRPr="00AE5455">
              <w:rPr>
                <w:rFonts w:ascii="Times New Roman" w:eastAsia="Times New Roman" w:hAnsi="Times New Roman" w:cs="Times New Roman"/>
                <w:bCs/>
                <w:spacing w:val="-4"/>
                <w:sz w:val="16"/>
                <w:szCs w:val="16"/>
                <w:lang w:val="sr-Cyrl-RS" w:eastAsia="hr-HR"/>
              </w:rPr>
              <w:t>82,68</w:t>
            </w:r>
          </w:p>
        </w:tc>
        <w:tc>
          <w:tcPr>
            <w:tcW w:w="807" w:type="dxa"/>
            <w:tcBorders>
              <w:top w:val="single" w:sz="4" w:space="0" w:color="auto"/>
              <w:left w:val="single" w:sz="4" w:space="0" w:color="auto"/>
              <w:bottom w:val="single" w:sz="4" w:space="0" w:color="auto"/>
              <w:right w:val="single" w:sz="4" w:space="0" w:color="auto"/>
            </w:tcBorders>
            <w:vAlign w:val="center"/>
            <w:hideMark/>
          </w:tcPr>
          <w:p w14:paraId="507BCA77" w14:textId="77777777" w:rsidR="00EA0FD7" w:rsidRPr="00EA0FD7" w:rsidRDefault="00EA0FD7" w:rsidP="00EA0FD7">
            <w:pPr>
              <w:spacing w:after="0" w:line="240" w:lineRule="auto"/>
              <w:jc w:val="center"/>
              <w:rPr>
                <w:rFonts w:ascii="Times New Roman" w:eastAsia="Times New Roman" w:hAnsi="Times New Roman" w:cs="Times New Roman"/>
                <w:sz w:val="16"/>
                <w:szCs w:val="16"/>
                <w:lang w:val="sr-Cyrl-RS" w:eastAsia="hr-HR"/>
              </w:rPr>
            </w:pPr>
            <w:r w:rsidRPr="00EA0FD7">
              <w:rPr>
                <w:rFonts w:ascii="Times New Roman" w:eastAsia="Times New Roman" w:hAnsi="Times New Roman" w:cs="Times New Roman"/>
                <w:sz w:val="16"/>
                <w:szCs w:val="16"/>
                <w:lang w:val="sr-Cyrl-RS" w:eastAsia="hr-HR"/>
              </w:rPr>
              <w:t>82,68</w:t>
            </w:r>
          </w:p>
        </w:tc>
        <w:tc>
          <w:tcPr>
            <w:tcW w:w="808" w:type="dxa"/>
            <w:tcBorders>
              <w:top w:val="single" w:sz="4" w:space="0" w:color="auto"/>
              <w:left w:val="single" w:sz="4" w:space="0" w:color="auto"/>
              <w:bottom w:val="single" w:sz="4" w:space="0" w:color="auto"/>
              <w:right w:val="single" w:sz="4" w:space="0" w:color="auto"/>
            </w:tcBorders>
            <w:vAlign w:val="center"/>
            <w:hideMark/>
          </w:tcPr>
          <w:p w14:paraId="381304B5"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16"/>
                <w:szCs w:val="16"/>
                <w:lang w:val="sr-Cyrl-RS" w:eastAsia="hr-HR"/>
              </w:rPr>
              <w:t>82,68</w:t>
            </w:r>
          </w:p>
        </w:tc>
        <w:tc>
          <w:tcPr>
            <w:tcW w:w="807" w:type="dxa"/>
            <w:tcBorders>
              <w:top w:val="single" w:sz="4" w:space="0" w:color="auto"/>
              <w:left w:val="single" w:sz="4" w:space="0" w:color="auto"/>
              <w:bottom w:val="single" w:sz="4" w:space="0" w:color="auto"/>
              <w:right w:val="single" w:sz="4" w:space="0" w:color="auto"/>
            </w:tcBorders>
            <w:vAlign w:val="center"/>
            <w:hideMark/>
          </w:tcPr>
          <w:p w14:paraId="4CA8668D"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82,68</w:t>
            </w:r>
          </w:p>
        </w:tc>
        <w:tc>
          <w:tcPr>
            <w:tcW w:w="916" w:type="dxa"/>
            <w:tcBorders>
              <w:top w:val="single" w:sz="4" w:space="0" w:color="auto"/>
              <w:left w:val="single" w:sz="4" w:space="0" w:color="auto"/>
              <w:bottom w:val="single" w:sz="4" w:space="0" w:color="auto"/>
              <w:right w:val="single" w:sz="4" w:space="0" w:color="auto"/>
            </w:tcBorders>
            <w:vAlign w:val="center"/>
            <w:hideMark/>
          </w:tcPr>
          <w:p w14:paraId="7372FE0B"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82,68</w:t>
            </w:r>
          </w:p>
        </w:tc>
      </w:tr>
      <w:tr w:rsidR="00EA0FD7" w:rsidRPr="00EA0FD7" w14:paraId="39333DF3" w14:textId="77777777" w:rsidTr="00EA0FD7">
        <w:trPr>
          <w:trHeight w:val="471"/>
          <w:jc w:val="center"/>
        </w:trPr>
        <w:tc>
          <w:tcPr>
            <w:tcW w:w="127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958AC96" w14:textId="77777777"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БДП по становнику</w:t>
            </w:r>
          </w:p>
          <w:p w14:paraId="49E1BAFA" w14:textId="77777777"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(у КМ)</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3CEE368"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8.774</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2F6FDC5"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9.228</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8726B79"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9.507</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891D2EE"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9.770</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D55C35D"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10.847</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E348487"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10.445</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FCCFC4B"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11.546</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5F7AD81"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12.170</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9C7E2B1"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12.705</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45055F3"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13.302</w:t>
            </w:r>
          </w:p>
        </w:tc>
        <w:tc>
          <w:tcPr>
            <w:tcW w:w="91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8FE2737"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13.967</w:t>
            </w:r>
          </w:p>
        </w:tc>
      </w:tr>
      <w:tr w:rsidR="00EA0FD7" w:rsidRPr="00EA0FD7" w14:paraId="177C83F3" w14:textId="77777777" w:rsidTr="00EA0FD7">
        <w:trPr>
          <w:trHeight w:val="483"/>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7DDC6C5D" w14:textId="77777777"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Остварене инвестиције</w:t>
            </w:r>
          </w:p>
          <w:p w14:paraId="0C362ADE" w14:textId="77777777"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 у 000 КМ)</w:t>
            </w:r>
          </w:p>
        </w:tc>
        <w:tc>
          <w:tcPr>
            <w:tcW w:w="807" w:type="dxa"/>
            <w:tcBorders>
              <w:top w:val="single" w:sz="4" w:space="0" w:color="auto"/>
              <w:left w:val="single" w:sz="4" w:space="0" w:color="auto"/>
              <w:bottom w:val="single" w:sz="4" w:space="0" w:color="auto"/>
              <w:right w:val="single" w:sz="4" w:space="0" w:color="auto"/>
            </w:tcBorders>
            <w:vAlign w:val="center"/>
            <w:hideMark/>
          </w:tcPr>
          <w:p w14:paraId="15173C86"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70.114</w:t>
            </w:r>
          </w:p>
        </w:tc>
        <w:tc>
          <w:tcPr>
            <w:tcW w:w="807" w:type="dxa"/>
            <w:tcBorders>
              <w:top w:val="single" w:sz="4" w:space="0" w:color="auto"/>
              <w:left w:val="single" w:sz="4" w:space="0" w:color="auto"/>
              <w:bottom w:val="single" w:sz="4" w:space="0" w:color="auto"/>
              <w:right w:val="single" w:sz="4" w:space="0" w:color="auto"/>
            </w:tcBorders>
            <w:vAlign w:val="center"/>
            <w:hideMark/>
          </w:tcPr>
          <w:p w14:paraId="3779AB29"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54.285</w:t>
            </w:r>
          </w:p>
        </w:tc>
        <w:tc>
          <w:tcPr>
            <w:tcW w:w="808" w:type="dxa"/>
            <w:tcBorders>
              <w:top w:val="single" w:sz="4" w:space="0" w:color="auto"/>
              <w:left w:val="single" w:sz="4" w:space="0" w:color="auto"/>
              <w:bottom w:val="single" w:sz="4" w:space="0" w:color="auto"/>
              <w:right w:val="single" w:sz="4" w:space="0" w:color="auto"/>
            </w:tcBorders>
            <w:vAlign w:val="center"/>
            <w:hideMark/>
          </w:tcPr>
          <w:p w14:paraId="51A80C80"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60.640</w:t>
            </w:r>
          </w:p>
        </w:tc>
        <w:tc>
          <w:tcPr>
            <w:tcW w:w="807" w:type="dxa"/>
            <w:tcBorders>
              <w:top w:val="single" w:sz="4" w:space="0" w:color="auto"/>
              <w:left w:val="single" w:sz="4" w:space="0" w:color="auto"/>
              <w:bottom w:val="single" w:sz="4" w:space="0" w:color="auto"/>
              <w:right w:val="single" w:sz="4" w:space="0" w:color="auto"/>
            </w:tcBorders>
            <w:vAlign w:val="center"/>
            <w:hideMark/>
          </w:tcPr>
          <w:p w14:paraId="36F464B7"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52.295</w:t>
            </w:r>
          </w:p>
        </w:tc>
        <w:tc>
          <w:tcPr>
            <w:tcW w:w="808" w:type="dxa"/>
            <w:tcBorders>
              <w:top w:val="single" w:sz="4" w:space="0" w:color="auto"/>
              <w:left w:val="single" w:sz="4" w:space="0" w:color="auto"/>
              <w:bottom w:val="single" w:sz="4" w:space="0" w:color="auto"/>
              <w:right w:val="single" w:sz="4" w:space="0" w:color="auto"/>
            </w:tcBorders>
            <w:vAlign w:val="center"/>
            <w:hideMark/>
          </w:tcPr>
          <w:p w14:paraId="58C88EA1"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60.650</w:t>
            </w:r>
          </w:p>
        </w:tc>
        <w:tc>
          <w:tcPr>
            <w:tcW w:w="807" w:type="dxa"/>
            <w:tcBorders>
              <w:top w:val="single" w:sz="4" w:space="0" w:color="auto"/>
              <w:left w:val="single" w:sz="4" w:space="0" w:color="auto"/>
              <w:bottom w:val="single" w:sz="4" w:space="0" w:color="auto"/>
              <w:right w:val="single" w:sz="4" w:space="0" w:color="auto"/>
            </w:tcBorders>
            <w:vAlign w:val="center"/>
            <w:hideMark/>
          </w:tcPr>
          <w:p w14:paraId="2114A1A3"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65.794</w:t>
            </w:r>
          </w:p>
        </w:tc>
        <w:tc>
          <w:tcPr>
            <w:tcW w:w="808" w:type="dxa"/>
            <w:tcBorders>
              <w:top w:val="single" w:sz="4" w:space="0" w:color="auto"/>
              <w:left w:val="single" w:sz="4" w:space="0" w:color="auto"/>
              <w:bottom w:val="single" w:sz="4" w:space="0" w:color="auto"/>
              <w:right w:val="single" w:sz="4" w:space="0" w:color="auto"/>
            </w:tcBorders>
            <w:vAlign w:val="center"/>
            <w:hideMark/>
          </w:tcPr>
          <w:p w14:paraId="2F89BA51"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68.952</w:t>
            </w:r>
          </w:p>
        </w:tc>
        <w:tc>
          <w:tcPr>
            <w:tcW w:w="807" w:type="dxa"/>
            <w:tcBorders>
              <w:top w:val="single" w:sz="4" w:space="0" w:color="auto"/>
              <w:left w:val="single" w:sz="4" w:space="0" w:color="auto"/>
              <w:bottom w:val="single" w:sz="4" w:space="0" w:color="auto"/>
              <w:right w:val="single" w:sz="4" w:space="0" w:color="auto"/>
            </w:tcBorders>
            <w:vAlign w:val="center"/>
            <w:hideMark/>
          </w:tcPr>
          <w:p w14:paraId="51BD6F92"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69.435</w:t>
            </w:r>
          </w:p>
        </w:tc>
        <w:tc>
          <w:tcPr>
            <w:tcW w:w="808" w:type="dxa"/>
            <w:tcBorders>
              <w:top w:val="single" w:sz="4" w:space="0" w:color="auto"/>
              <w:left w:val="single" w:sz="4" w:space="0" w:color="auto"/>
              <w:bottom w:val="single" w:sz="4" w:space="0" w:color="auto"/>
              <w:right w:val="single" w:sz="4" w:space="0" w:color="auto"/>
            </w:tcBorders>
            <w:vAlign w:val="center"/>
            <w:hideMark/>
          </w:tcPr>
          <w:p w14:paraId="6B6E0C14"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72.976</w:t>
            </w:r>
          </w:p>
        </w:tc>
        <w:tc>
          <w:tcPr>
            <w:tcW w:w="807" w:type="dxa"/>
            <w:tcBorders>
              <w:top w:val="single" w:sz="4" w:space="0" w:color="auto"/>
              <w:left w:val="single" w:sz="4" w:space="0" w:color="auto"/>
              <w:bottom w:val="single" w:sz="4" w:space="0" w:color="auto"/>
              <w:right w:val="single" w:sz="4" w:space="0" w:color="auto"/>
            </w:tcBorders>
            <w:vAlign w:val="center"/>
            <w:hideMark/>
          </w:tcPr>
          <w:p w14:paraId="77D24583"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78.668</w:t>
            </w:r>
          </w:p>
        </w:tc>
        <w:tc>
          <w:tcPr>
            <w:tcW w:w="916" w:type="dxa"/>
            <w:tcBorders>
              <w:top w:val="single" w:sz="4" w:space="0" w:color="auto"/>
              <w:left w:val="single" w:sz="4" w:space="0" w:color="auto"/>
              <w:bottom w:val="single" w:sz="4" w:space="0" w:color="auto"/>
              <w:right w:val="single" w:sz="4" w:space="0" w:color="auto"/>
            </w:tcBorders>
            <w:vAlign w:val="center"/>
            <w:hideMark/>
          </w:tcPr>
          <w:p w14:paraId="58C1A24F"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84.804</w:t>
            </w:r>
          </w:p>
        </w:tc>
      </w:tr>
      <w:tr w:rsidR="00EA0FD7" w:rsidRPr="00EA0FD7" w14:paraId="57E456E1" w14:textId="77777777" w:rsidTr="00EA0FD7">
        <w:trPr>
          <w:trHeight w:val="798"/>
          <w:jc w:val="center"/>
        </w:trPr>
        <w:tc>
          <w:tcPr>
            <w:tcW w:w="127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EDEAD30" w14:textId="77777777"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Инфлација мјерена индексом</w:t>
            </w:r>
          </w:p>
          <w:p w14:paraId="5FA6CED8" w14:textId="77777777"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потрошачких цијена</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D5A2E74"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98,8</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7B4E6E4"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99,2</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20A8EFE"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101,4</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A1CA221"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99,3</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784AF7E"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101,6</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84D5701"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99,3</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A0FA039"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102,6</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48282E6"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108,8</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DE48360"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110,8</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290E135"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112,7</w:t>
            </w:r>
          </w:p>
        </w:tc>
        <w:tc>
          <w:tcPr>
            <w:tcW w:w="91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B1C4DE1"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114,4</w:t>
            </w:r>
          </w:p>
        </w:tc>
      </w:tr>
      <w:tr w:rsidR="00EA0FD7" w:rsidRPr="00EA0FD7" w14:paraId="081633BC" w14:textId="77777777" w:rsidTr="00EA0FD7">
        <w:trPr>
          <w:trHeight w:val="471"/>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DE5D1AA" w14:textId="77777777"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Број незапослених</w:t>
            </w:r>
          </w:p>
          <w:p w14:paraId="24A952CE" w14:textId="77777777"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(регистрованих)</w:t>
            </w:r>
          </w:p>
        </w:tc>
        <w:tc>
          <w:tcPr>
            <w:tcW w:w="807" w:type="dxa"/>
            <w:tcBorders>
              <w:top w:val="single" w:sz="4" w:space="0" w:color="auto"/>
              <w:left w:val="single" w:sz="4" w:space="0" w:color="auto"/>
              <w:bottom w:val="single" w:sz="4" w:space="0" w:color="auto"/>
              <w:right w:val="single" w:sz="4" w:space="0" w:color="auto"/>
            </w:tcBorders>
            <w:vAlign w:val="center"/>
            <w:hideMark/>
          </w:tcPr>
          <w:p w14:paraId="0EDA7FFB"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12.197</w:t>
            </w:r>
          </w:p>
        </w:tc>
        <w:tc>
          <w:tcPr>
            <w:tcW w:w="807" w:type="dxa"/>
            <w:tcBorders>
              <w:top w:val="single" w:sz="4" w:space="0" w:color="auto"/>
              <w:left w:val="single" w:sz="4" w:space="0" w:color="auto"/>
              <w:bottom w:val="single" w:sz="4" w:space="0" w:color="auto"/>
              <w:right w:val="single" w:sz="4" w:space="0" w:color="auto"/>
            </w:tcBorders>
            <w:vAlign w:val="center"/>
            <w:hideMark/>
          </w:tcPr>
          <w:p w14:paraId="6F6C7D2C"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11.837</w:t>
            </w:r>
          </w:p>
        </w:tc>
        <w:tc>
          <w:tcPr>
            <w:tcW w:w="808" w:type="dxa"/>
            <w:tcBorders>
              <w:top w:val="single" w:sz="4" w:space="0" w:color="auto"/>
              <w:left w:val="single" w:sz="4" w:space="0" w:color="auto"/>
              <w:bottom w:val="single" w:sz="4" w:space="0" w:color="auto"/>
              <w:right w:val="single" w:sz="4" w:space="0" w:color="auto"/>
            </w:tcBorders>
            <w:vAlign w:val="center"/>
            <w:hideMark/>
          </w:tcPr>
          <w:p w14:paraId="300AFBA5"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11.333</w:t>
            </w:r>
          </w:p>
        </w:tc>
        <w:tc>
          <w:tcPr>
            <w:tcW w:w="807" w:type="dxa"/>
            <w:tcBorders>
              <w:top w:val="single" w:sz="4" w:space="0" w:color="auto"/>
              <w:left w:val="single" w:sz="4" w:space="0" w:color="auto"/>
              <w:bottom w:val="single" w:sz="4" w:space="0" w:color="auto"/>
              <w:right w:val="single" w:sz="4" w:space="0" w:color="auto"/>
            </w:tcBorders>
            <w:vAlign w:val="center"/>
            <w:hideMark/>
          </w:tcPr>
          <w:p w14:paraId="3064A9C1"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10.295</w:t>
            </w:r>
          </w:p>
        </w:tc>
        <w:tc>
          <w:tcPr>
            <w:tcW w:w="808" w:type="dxa"/>
            <w:tcBorders>
              <w:top w:val="single" w:sz="4" w:space="0" w:color="auto"/>
              <w:left w:val="single" w:sz="4" w:space="0" w:color="auto"/>
              <w:bottom w:val="single" w:sz="4" w:space="0" w:color="auto"/>
              <w:right w:val="single" w:sz="4" w:space="0" w:color="auto"/>
            </w:tcBorders>
            <w:vAlign w:val="center"/>
            <w:hideMark/>
          </w:tcPr>
          <w:p w14:paraId="20D12F86"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7.763</w:t>
            </w:r>
          </w:p>
        </w:tc>
        <w:tc>
          <w:tcPr>
            <w:tcW w:w="807" w:type="dxa"/>
            <w:tcBorders>
              <w:top w:val="single" w:sz="4" w:space="0" w:color="auto"/>
              <w:left w:val="single" w:sz="4" w:space="0" w:color="auto"/>
              <w:bottom w:val="single" w:sz="4" w:space="0" w:color="auto"/>
              <w:right w:val="single" w:sz="4" w:space="0" w:color="auto"/>
            </w:tcBorders>
            <w:vAlign w:val="center"/>
            <w:hideMark/>
          </w:tcPr>
          <w:p w14:paraId="1418FC6D"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6.894</w:t>
            </w:r>
          </w:p>
        </w:tc>
        <w:tc>
          <w:tcPr>
            <w:tcW w:w="808" w:type="dxa"/>
            <w:tcBorders>
              <w:top w:val="single" w:sz="4" w:space="0" w:color="auto"/>
              <w:left w:val="single" w:sz="4" w:space="0" w:color="auto"/>
              <w:bottom w:val="single" w:sz="4" w:space="0" w:color="auto"/>
              <w:right w:val="single" w:sz="4" w:space="0" w:color="auto"/>
            </w:tcBorders>
            <w:vAlign w:val="center"/>
            <w:hideMark/>
          </w:tcPr>
          <w:p w14:paraId="1D98A5C9"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6.689</w:t>
            </w:r>
          </w:p>
        </w:tc>
        <w:tc>
          <w:tcPr>
            <w:tcW w:w="807" w:type="dxa"/>
            <w:tcBorders>
              <w:top w:val="single" w:sz="4" w:space="0" w:color="auto"/>
              <w:left w:val="single" w:sz="4" w:space="0" w:color="auto"/>
              <w:bottom w:val="single" w:sz="4" w:space="0" w:color="auto"/>
              <w:right w:val="single" w:sz="4" w:space="0" w:color="auto"/>
            </w:tcBorders>
            <w:vAlign w:val="center"/>
            <w:hideMark/>
          </w:tcPr>
          <w:p w14:paraId="041CCEBD"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6.595</w:t>
            </w:r>
          </w:p>
        </w:tc>
        <w:tc>
          <w:tcPr>
            <w:tcW w:w="808" w:type="dxa"/>
            <w:tcBorders>
              <w:top w:val="single" w:sz="4" w:space="0" w:color="auto"/>
              <w:left w:val="single" w:sz="4" w:space="0" w:color="auto"/>
              <w:bottom w:val="single" w:sz="4" w:space="0" w:color="auto"/>
              <w:right w:val="single" w:sz="4" w:space="0" w:color="auto"/>
            </w:tcBorders>
            <w:vAlign w:val="center"/>
            <w:hideMark/>
          </w:tcPr>
          <w:p w14:paraId="6033DD68"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6.496</w:t>
            </w:r>
          </w:p>
        </w:tc>
        <w:tc>
          <w:tcPr>
            <w:tcW w:w="807" w:type="dxa"/>
            <w:tcBorders>
              <w:top w:val="single" w:sz="4" w:space="0" w:color="auto"/>
              <w:left w:val="single" w:sz="4" w:space="0" w:color="auto"/>
              <w:bottom w:val="single" w:sz="4" w:space="0" w:color="auto"/>
              <w:right w:val="single" w:sz="4" w:space="0" w:color="auto"/>
            </w:tcBorders>
            <w:vAlign w:val="center"/>
            <w:hideMark/>
          </w:tcPr>
          <w:p w14:paraId="40C1DA30"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6.392</w:t>
            </w:r>
          </w:p>
        </w:tc>
        <w:tc>
          <w:tcPr>
            <w:tcW w:w="916" w:type="dxa"/>
            <w:tcBorders>
              <w:top w:val="single" w:sz="4" w:space="0" w:color="auto"/>
              <w:left w:val="single" w:sz="4" w:space="0" w:color="auto"/>
              <w:bottom w:val="single" w:sz="4" w:space="0" w:color="auto"/>
              <w:right w:val="single" w:sz="4" w:space="0" w:color="auto"/>
            </w:tcBorders>
            <w:vAlign w:val="center"/>
            <w:hideMark/>
          </w:tcPr>
          <w:p w14:paraId="67DC437E"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6.283</w:t>
            </w:r>
          </w:p>
        </w:tc>
      </w:tr>
      <w:tr w:rsidR="00EA0FD7" w:rsidRPr="00EA0FD7" w14:paraId="1772F746" w14:textId="77777777" w:rsidTr="00EA0FD7">
        <w:trPr>
          <w:trHeight w:val="317"/>
          <w:jc w:val="center"/>
        </w:trPr>
        <w:tc>
          <w:tcPr>
            <w:tcW w:w="127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6CB698B" w14:textId="77777777"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Број запослених</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49CE6D1"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16.506</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24FBA4B"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16.791</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7AA84F8"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17.157</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3BC0101"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17.485</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E7F2DD9"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17.807</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00EB74B"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17.844</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F9AB3CE"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17.795</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CF0AD77"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18.044</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83BA0F3"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18.315</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29A4146"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18.608</w:t>
            </w:r>
          </w:p>
        </w:tc>
        <w:tc>
          <w:tcPr>
            <w:tcW w:w="91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2C700B5"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18.924</w:t>
            </w:r>
          </w:p>
        </w:tc>
      </w:tr>
      <w:tr w:rsidR="00EA0FD7" w:rsidRPr="00EA0FD7" w14:paraId="09CE003C" w14:textId="77777777" w:rsidTr="00EA0FD7">
        <w:trPr>
          <w:trHeight w:val="31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3084F1E7" w14:textId="77777777"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Просјечна</w:t>
            </w:r>
          </w:p>
          <w:p w14:paraId="7740EA9B" w14:textId="77777777"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нето плата</w:t>
            </w:r>
          </w:p>
        </w:tc>
        <w:tc>
          <w:tcPr>
            <w:tcW w:w="807" w:type="dxa"/>
            <w:tcBorders>
              <w:top w:val="single" w:sz="4" w:space="0" w:color="auto"/>
              <w:left w:val="single" w:sz="4" w:space="0" w:color="auto"/>
              <w:bottom w:val="single" w:sz="4" w:space="0" w:color="auto"/>
              <w:right w:val="single" w:sz="4" w:space="0" w:color="auto"/>
            </w:tcBorders>
            <w:vAlign w:val="center"/>
            <w:hideMark/>
          </w:tcPr>
          <w:p w14:paraId="10752549"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820,52</w:t>
            </w:r>
          </w:p>
        </w:tc>
        <w:tc>
          <w:tcPr>
            <w:tcW w:w="807" w:type="dxa"/>
            <w:tcBorders>
              <w:top w:val="single" w:sz="4" w:space="0" w:color="auto"/>
              <w:left w:val="single" w:sz="4" w:space="0" w:color="auto"/>
              <w:bottom w:val="single" w:sz="4" w:space="0" w:color="auto"/>
              <w:right w:val="single" w:sz="4" w:space="0" w:color="auto"/>
            </w:tcBorders>
            <w:vAlign w:val="center"/>
            <w:hideMark/>
          </w:tcPr>
          <w:p w14:paraId="7924276D"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829,70</w:t>
            </w:r>
          </w:p>
        </w:tc>
        <w:tc>
          <w:tcPr>
            <w:tcW w:w="808" w:type="dxa"/>
            <w:tcBorders>
              <w:top w:val="single" w:sz="4" w:space="0" w:color="auto"/>
              <w:left w:val="single" w:sz="4" w:space="0" w:color="auto"/>
              <w:bottom w:val="single" w:sz="4" w:space="0" w:color="auto"/>
              <w:right w:val="single" w:sz="4" w:space="0" w:color="auto"/>
            </w:tcBorders>
            <w:vAlign w:val="center"/>
            <w:hideMark/>
          </w:tcPr>
          <w:p w14:paraId="7B096C7E"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838,45</w:t>
            </w:r>
          </w:p>
        </w:tc>
        <w:tc>
          <w:tcPr>
            <w:tcW w:w="807" w:type="dxa"/>
            <w:tcBorders>
              <w:top w:val="single" w:sz="4" w:space="0" w:color="auto"/>
              <w:left w:val="single" w:sz="4" w:space="0" w:color="auto"/>
              <w:bottom w:val="single" w:sz="4" w:space="0" w:color="auto"/>
              <w:right w:val="single" w:sz="4" w:space="0" w:color="auto"/>
            </w:tcBorders>
            <w:vAlign w:val="center"/>
            <w:hideMark/>
          </w:tcPr>
          <w:p w14:paraId="33940D31"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872,35</w:t>
            </w:r>
          </w:p>
        </w:tc>
        <w:tc>
          <w:tcPr>
            <w:tcW w:w="808" w:type="dxa"/>
            <w:tcBorders>
              <w:top w:val="single" w:sz="4" w:space="0" w:color="auto"/>
              <w:left w:val="single" w:sz="4" w:space="0" w:color="auto"/>
              <w:bottom w:val="single" w:sz="4" w:space="0" w:color="auto"/>
              <w:right w:val="single" w:sz="4" w:space="0" w:color="auto"/>
            </w:tcBorders>
            <w:vAlign w:val="center"/>
            <w:hideMark/>
          </w:tcPr>
          <w:p w14:paraId="51CAEE89"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914,87</w:t>
            </w:r>
          </w:p>
        </w:tc>
        <w:tc>
          <w:tcPr>
            <w:tcW w:w="807" w:type="dxa"/>
            <w:tcBorders>
              <w:top w:val="single" w:sz="4" w:space="0" w:color="auto"/>
              <w:left w:val="single" w:sz="4" w:space="0" w:color="auto"/>
              <w:bottom w:val="single" w:sz="4" w:space="0" w:color="auto"/>
              <w:right w:val="single" w:sz="4" w:space="0" w:color="auto"/>
            </w:tcBorders>
            <w:vAlign w:val="center"/>
            <w:hideMark/>
          </w:tcPr>
          <w:p w14:paraId="712DE086"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948,04</w:t>
            </w:r>
          </w:p>
        </w:tc>
        <w:tc>
          <w:tcPr>
            <w:tcW w:w="808" w:type="dxa"/>
            <w:tcBorders>
              <w:top w:val="single" w:sz="4" w:space="0" w:color="auto"/>
              <w:left w:val="single" w:sz="4" w:space="0" w:color="auto"/>
              <w:bottom w:val="single" w:sz="4" w:space="0" w:color="auto"/>
              <w:right w:val="single" w:sz="4" w:space="0" w:color="auto"/>
            </w:tcBorders>
            <w:vAlign w:val="center"/>
            <w:hideMark/>
          </w:tcPr>
          <w:p w14:paraId="080B5DF5"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961,23</w:t>
            </w:r>
          </w:p>
        </w:tc>
        <w:tc>
          <w:tcPr>
            <w:tcW w:w="807" w:type="dxa"/>
            <w:tcBorders>
              <w:top w:val="single" w:sz="4" w:space="0" w:color="auto"/>
              <w:left w:val="single" w:sz="4" w:space="0" w:color="auto"/>
              <w:bottom w:val="single" w:sz="4" w:space="0" w:color="auto"/>
              <w:right w:val="single" w:sz="4" w:space="0" w:color="auto"/>
            </w:tcBorders>
            <w:vAlign w:val="center"/>
            <w:hideMark/>
          </w:tcPr>
          <w:p w14:paraId="37203B6C"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1.021,79</w:t>
            </w:r>
          </w:p>
        </w:tc>
        <w:tc>
          <w:tcPr>
            <w:tcW w:w="808" w:type="dxa"/>
            <w:tcBorders>
              <w:top w:val="single" w:sz="4" w:space="0" w:color="auto"/>
              <w:left w:val="single" w:sz="4" w:space="0" w:color="auto"/>
              <w:bottom w:val="single" w:sz="4" w:space="0" w:color="auto"/>
              <w:right w:val="single" w:sz="4" w:space="0" w:color="auto"/>
            </w:tcBorders>
            <w:vAlign w:val="center"/>
            <w:hideMark/>
          </w:tcPr>
          <w:p w14:paraId="6A9479A5"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1.053,47</w:t>
            </w:r>
          </w:p>
        </w:tc>
        <w:tc>
          <w:tcPr>
            <w:tcW w:w="807" w:type="dxa"/>
            <w:tcBorders>
              <w:top w:val="single" w:sz="4" w:space="0" w:color="auto"/>
              <w:left w:val="single" w:sz="4" w:space="0" w:color="auto"/>
              <w:bottom w:val="single" w:sz="4" w:space="0" w:color="auto"/>
              <w:right w:val="single" w:sz="4" w:space="0" w:color="auto"/>
            </w:tcBorders>
            <w:vAlign w:val="center"/>
            <w:hideMark/>
          </w:tcPr>
          <w:p w14:paraId="5D0B9FDB"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1.086,13</w:t>
            </w:r>
          </w:p>
        </w:tc>
        <w:tc>
          <w:tcPr>
            <w:tcW w:w="916" w:type="dxa"/>
            <w:tcBorders>
              <w:top w:val="single" w:sz="4" w:space="0" w:color="auto"/>
              <w:left w:val="single" w:sz="4" w:space="0" w:color="auto"/>
              <w:bottom w:val="single" w:sz="4" w:space="0" w:color="auto"/>
              <w:right w:val="single" w:sz="4" w:space="0" w:color="auto"/>
            </w:tcBorders>
            <w:vAlign w:val="center"/>
            <w:hideMark/>
          </w:tcPr>
          <w:p w14:paraId="22008A7F"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1.119,80</w:t>
            </w:r>
          </w:p>
        </w:tc>
      </w:tr>
      <w:tr w:rsidR="00EA0FD7" w:rsidRPr="00EA0FD7" w14:paraId="2E938B9A" w14:textId="77777777" w:rsidTr="00EA0FD7">
        <w:trPr>
          <w:trHeight w:val="314"/>
          <w:jc w:val="center"/>
        </w:trPr>
        <w:tc>
          <w:tcPr>
            <w:tcW w:w="127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EEBA5F5" w14:textId="77777777"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Просјечна</w:t>
            </w:r>
          </w:p>
          <w:p w14:paraId="714A8FA1" w14:textId="77777777"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бруто плата</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474F558"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1.275,27</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5F51380"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1.289,87</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5F9E9DF"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1.304,40</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F8DD7B8"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1.363,43</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F99812B"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1.431,97</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EFD017F"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1.476,80</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B2F4BCA"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1.489,44</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07B5860"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1.583,77</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6FA4C78"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1.632.88</w:t>
            </w:r>
          </w:p>
        </w:tc>
        <w:tc>
          <w:tcPr>
            <w:tcW w:w="8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B545927"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1.683,50</w:t>
            </w:r>
          </w:p>
        </w:tc>
        <w:tc>
          <w:tcPr>
            <w:tcW w:w="91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DED2AE6"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1.735,69</w:t>
            </w:r>
          </w:p>
        </w:tc>
      </w:tr>
      <w:tr w:rsidR="00EA0FD7" w:rsidRPr="00EA0FD7" w14:paraId="1272CC83" w14:textId="77777777" w:rsidTr="00EA0FD7">
        <w:trPr>
          <w:trHeight w:val="655"/>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D5F68D0" w14:textId="77777777" w:rsidR="00EA0FD7" w:rsidRPr="00AE5455" w:rsidRDefault="00EA0FD7" w:rsidP="00EA0FD7">
            <w:pPr>
              <w:spacing w:after="0" w:line="240" w:lineRule="auto"/>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kern w:val="28"/>
                <w:sz w:val="16"/>
                <w:szCs w:val="16"/>
                <w:vertAlign w:val="superscript"/>
                <w:lang w:val="sr-Cyrl-RS" w:eastAsia="hr-HR"/>
              </w:rPr>
              <w:footnoteReference w:id="37"/>
            </w:r>
            <w:r w:rsidRPr="00AE5455">
              <w:rPr>
                <w:rFonts w:ascii="Times New Roman" w:eastAsia="Times New Roman" w:hAnsi="Times New Roman" w:cs="Times New Roman"/>
                <w:bCs/>
                <w:spacing w:val="-4"/>
                <w:sz w:val="16"/>
                <w:szCs w:val="16"/>
                <w:lang w:val="sr-Cyrl-RS" w:eastAsia="hr-HR"/>
              </w:rPr>
              <w:t>Унутрашњи дуг Брчко дистрикта БиХ (у 000 КМ)</w:t>
            </w:r>
          </w:p>
        </w:tc>
        <w:tc>
          <w:tcPr>
            <w:tcW w:w="807" w:type="dxa"/>
            <w:tcBorders>
              <w:top w:val="single" w:sz="4" w:space="0" w:color="auto"/>
              <w:left w:val="single" w:sz="4" w:space="0" w:color="auto"/>
              <w:bottom w:val="single" w:sz="4" w:space="0" w:color="auto"/>
              <w:right w:val="single" w:sz="4" w:space="0" w:color="auto"/>
            </w:tcBorders>
            <w:vAlign w:val="center"/>
            <w:hideMark/>
          </w:tcPr>
          <w:p w14:paraId="0044D38D"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17.212</w:t>
            </w:r>
          </w:p>
        </w:tc>
        <w:tc>
          <w:tcPr>
            <w:tcW w:w="807" w:type="dxa"/>
            <w:tcBorders>
              <w:top w:val="single" w:sz="4" w:space="0" w:color="auto"/>
              <w:left w:val="single" w:sz="4" w:space="0" w:color="auto"/>
              <w:bottom w:val="single" w:sz="4" w:space="0" w:color="auto"/>
              <w:right w:val="single" w:sz="4" w:space="0" w:color="auto"/>
            </w:tcBorders>
            <w:vAlign w:val="center"/>
            <w:hideMark/>
          </w:tcPr>
          <w:p w14:paraId="6B746F8F"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6.054</w:t>
            </w:r>
          </w:p>
        </w:tc>
        <w:tc>
          <w:tcPr>
            <w:tcW w:w="808" w:type="dxa"/>
            <w:tcBorders>
              <w:top w:val="single" w:sz="4" w:space="0" w:color="auto"/>
              <w:left w:val="single" w:sz="4" w:space="0" w:color="auto"/>
              <w:bottom w:val="single" w:sz="4" w:space="0" w:color="auto"/>
              <w:right w:val="single" w:sz="4" w:space="0" w:color="auto"/>
            </w:tcBorders>
            <w:vAlign w:val="center"/>
            <w:hideMark/>
          </w:tcPr>
          <w:p w14:paraId="6CE8A8A6"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5.411</w:t>
            </w:r>
          </w:p>
        </w:tc>
        <w:tc>
          <w:tcPr>
            <w:tcW w:w="807" w:type="dxa"/>
            <w:tcBorders>
              <w:top w:val="single" w:sz="4" w:space="0" w:color="auto"/>
              <w:left w:val="single" w:sz="4" w:space="0" w:color="auto"/>
              <w:bottom w:val="single" w:sz="4" w:space="0" w:color="auto"/>
              <w:right w:val="single" w:sz="4" w:space="0" w:color="auto"/>
            </w:tcBorders>
            <w:vAlign w:val="center"/>
            <w:hideMark/>
          </w:tcPr>
          <w:p w14:paraId="349ADF84"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7.952</w:t>
            </w:r>
          </w:p>
        </w:tc>
        <w:tc>
          <w:tcPr>
            <w:tcW w:w="808" w:type="dxa"/>
            <w:tcBorders>
              <w:top w:val="single" w:sz="4" w:space="0" w:color="auto"/>
              <w:left w:val="single" w:sz="4" w:space="0" w:color="auto"/>
              <w:bottom w:val="single" w:sz="4" w:space="0" w:color="auto"/>
              <w:right w:val="single" w:sz="4" w:space="0" w:color="auto"/>
            </w:tcBorders>
            <w:vAlign w:val="center"/>
            <w:hideMark/>
          </w:tcPr>
          <w:p w14:paraId="347DA47E"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9.343</w:t>
            </w:r>
          </w:p>
        </w:tc>
        <w:tc>
          <w:tcPr>
            <w:tcW w:w="807" w:type="dxa"/>
            <w:tcBorders>
              <w:top w:val="single" w:sz="4" w:space="0" w:color="auto"/>
              <w:left w:val="single" w:sz="4" w:space="0" w:color="auto"/>
              <w:bottom w:val="single" w:sz="4" w:space="0" w:color="auto"/>
              <w:right w:val="single" w:sz="4" w:space="0" w:color="auto"/>
            </w:tcBorders>
            <w:vAlign w:val="center"/>
            <w:hideMark/>
          </w:tcPr>
          <w:p w14:paraId="531C51EF"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9.786</w:t>
            </w:r>
          </w:p>
        </w:tc>
        <w:tc>
          <w:tcPr>
            <w:tcW w:w="808" w:type="dxa"/>
            <w:tcBorders>
              <w:top w:val="single" w:sz="4" w:space="0" w:color="auto"/>
              <w:left w:val="single" w:sz="4" w:space="0" w:color="auto"/>
              <w:bottom w:val="single" w:sz="4" w:space="0" w:color="auto"/>
              <w:right w:val="single" w:sz="4" w:space="0" w:color="auto"/>
            </w:tcBorders>
            <w:vAlign w:val="center"/>
            <w:hideMark/>
          </w:tcPr>
          <w:p w14:paraId="008027B4"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9.281</w:t>
            </w:r>
          </w:p>
        </w:tc>
        <w:tc>
          <w:tcPr>
            <w:tcW w:w="807" w:type="dxa"/>
            <w:tcBorders>
              <w:top w:val="single" w:sz="4" w:space="0" w:color="auto"/>
              <w:left w:val="single" w:sz="4" w:space="0" w:color="auto"/>
              <w:bottom w:val="single" w:sz="4" w:space="0" w:color="auto"/>
              <w:right w:val="single" w:sz="4" w:space="0" w:color="auto"/>
            </w:tcBorders>
            <w:vAlign w:val="center"/>
            <w:hideMark/>
          </w:tcPr>
          <w:p w14:paraId="4F7FCAC1"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10.270</w:t>
            </w:r>
          </w:p>
        </w:tc>
        <w:tc>
          <w:tcPr>
            <w:tcW w:w="808" w:type="dxa"/>
            <w:tcBorders>
              <w:top w:val="single" w:sz="4" w:space="0" w:color="auto"/>
              <w:left w:val="single" w:sz="4" w:space="0" w:color="auto"/>
              <w:bottom w:val="single" w:sz="4" w:space="0" w:color="auto"/>
              <w:right w:val="single" w:sz="4" w:space="0" w:color="auto"/>
            </w:tcBorders>
            <w:vAlign w:val="center"/>
            <w:hideMark/>
          </w:tcPr>
          <w:p w14:paraId="749227F3"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11.133</w:t>
            </w:r>
          </w:p>
        </w:tc>
        <w:tc>
          <w:tcPr>
            <w:tcW w:w="807" w:type="dxa"/>
            <w:tcBorders>
              <w:top w:val="single" w:sz="4" w:space="0" w:color="auto"/>
              <w:left w:val="single" w:sz="4" w:space="0" w:color="auto"/>
              <w:bottom w:val="single" w:sz="4" w:space="0" w:color="auto"/>
              <w:right w:val="single" w:sz="4" w:space="0" w:color="auto"/>
            </w:tcBorders>
            <w:vAlign w:val="center"/>
            <w:hideMark/>
          </w:tcPr>
          <w:p w14:paraId="261398C7"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12.846</w:t>
            </w:r>
          </w:p>
        </w:tc>
        <w:tc>
          <w:tcPr>
            <w:tcW w:w="916" w:type="dxa"/>
            <w:tcBorders>
              <w:top w:val="single" w:sz="4" w:space="0" w:color="auto"/>
              <w:left w:val="single" w:sz="4" w:space="0" w:color="auto"/>
              <w:bottom w:val="single" w:sz="4" w:space="0" w:color="auto"/>
              <w:right w:val="single" w:sz="4" w:space="0" w:color="auto"/>
            </w:tcBorders>
            <w:vAlign w:val="center"/>
            <w:hideMark/>
          </w:tcPr>
          <w:p w14:paraId="58D8DBBD"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11.441</w:t>
            </w:r>
          </w:p>
        </w:tc>
      </w:tr>
    </w:tbl>
    <w:p w14:paraId="591C71D0" w14:textId="77777777" w:rsidR="00EA0FD7" w:rsidRPr="00AE5455" w:rsidRDefault="00EA0FD7" w:rsidP="00EA0FD7">
      <w:pPr>
        <w:spacing w:after="0" w:line="240" w:lineRule="auto"/>
        <w:jc w:val="both"/>
        <w:rPr>
          <w:rFonts w:ascii="Times New Roman" w:eastAsia="Times New Roman" w:hAnsi="Times New Roman" w:cs="Times New Roman"/>
          <w:bCs/>
          <w:spacing w:val="-4"/>
          <w:sz w:val="16"/>
          <w:szCs w:val="16"/>
          <w:lang w:val="sr-Cyrl-RS" w:eastAsia="bs-Latn-BA"/>
        </w:rPr>
      </w:pPr>
      <w:r w:rsidRPr="00AE5455">
        <w:rPr>
          <w:rFonts w:ascii="Times New Roman" w:eastAsia="Times New Roman" w:hAnsi="Times New Roman" w:cs="Times New Roman"/>
          <w:bCs/>
          <w:spacing w:val="-4"/>
          <w:sz w:val="16"/>
          <w:szCs w:val="16"/>
          <w:lang w:val="sr-Cyrl-RS" w:eastAsia="hr-HR"/>
        </w:rPr>
        <w:lastRenderedPageBreak/>
        <w:t xml:space="preserve">  * Извор: Билтен статистичких података бр. 01/22, Агенција за статистику БиХ, Подружница/Експозитура Брчко.</w:t>
      </w:r>
    </w:p>
    <w:p w14:paraId="3347298E" w14:textId="129D780B" w:rsidR="00EA0FD7" w:rsidRPr="00AE5455" w:rsidRDefault="00EA0FD7" w:rsidP="00EA0FD7">
      <w:pPr>
        <w:spacing w:after="0" w:line="240" w:lineRule="auto"/>
        <w:jc w:val="both"/>
        <w:rPr>
          <w:rFonts w:ascii="Times New Roman" w:eastAsia="Times New Roman" w:hAnsi="Times New Roman" w:cs="Times New Roman"/>
          <w:bCs/>
          <w:spacing w:val="-4"/>
          <w:sz w:val="16"/>
          <w:szCs w:val="16"/>
          <w:lang w:val="sr-Cyrl-RS" w:eastAsia="hr-HR"/>
        </w:rPr>
      </w:pPr>
      <w:r w:rsidRPr="00AE5455">
        <w:rPr>
          <w:rFonts w:ascii="Times New Roman" w:eastAsia="Times New Roman" w:hAnsi="Times New Roman" w:cs="Times New Roman"/>
          <w:bCs/>
          <w:spacing w:val="-4"/>
          <w:sz w:val="16"/>
          <w:szCs w:val="16"/>
          <w:lang w:val="sr-Cyrl-RS" w:eastAsia="hr-HR"/>
        </w:rPr>
        <w:t>** Подаци за период 2021</w:t>
      </w:r>
      <w:r w:rsidR="0078010E">
        <w:rPr>
          <w:rFonts w:ascii="Times New Roman" w:eastAsia="Times New Roman" w:hAnsi="Times New Roman" w:cs="Times New Roman"/>
          <w:bCs/>
          <w:spacing w:val="-4"/>
          <w:sz w:val="16"/>
          <w:szCs w:val="16"/>
          <w:lang w:val="sr-Cyrl-RS" w:eastAsia="hr-HR"/>
        </w:rPr>
        <w:t>–</w:t>
      </w:r>
      <w:r w:rsidRPr="00AE5455">
        <w:rPr>
          <w:rFonts w:ascii="Times New Roman" w:eastAsia="Times New Roman" w:hAnsi="Times New Roman" w:cs="Times New Roman"/>
          <w:bCs/>
          <w:spacing w:val="-4"/>
          <w:sz w:val="16"/>
          <w:szCs w:val="16"/>
          <w:lang w:val="sr-Cyrl-RS" w:eastAsia="hr-HR"/>
        </w:rPr>
        <w:t>2025. године проц</w:t>
      </w:r>
      <w:r w:rsidR="00AE5455">
        <w:rPr>
          <w:rFonts w:ascii="Times New Roman" w:eastAsia="Times New Roman" w:hAnsi="Times New Roman" w:cs="Times New Roman"/>
          <w:bCs/>
          <w:spacing w:val="-4"/>
          <w:sz w:val="16"/>
          <w:szCs w:val="16"/>
          <w:lang w:val="sr-Cyrl-RS" w:eastAsia="hr-HR"/>
        </w:rPr>
        <w:t>и</w:t>
      </w:r>
      <w:r w:rsidRPr="00AE5455">
        <w:rPr>
          <w:rFonts w:ascii="Times New Roman" w:eastAsia="Times New Roman" w:hAnsi="Times New Roman" w:cs="Times New Roman"/>
          <w:bCs/>
          <w:spacing w:val="-4"/>
          <w:sz w:val="16"/>
          <w:szCs w:val="16"/>
          <w:lang w:val="sr-Cyrl-RS" w:eastAsia="hr-HR"/>
        </w:rPr>
        <w:t>јењени на основу стопа раста пројектованих од стране ДЕП, осим података у 2021. години о броју незапослених, броју запослених, просјечној нето и бруто плати  и инфлацији мјереној индексом потрошачких цијена, који су преузети од Агенциј</w:t>
      </w:r>
      <w:r w:rsidR="0078010E">
        <w:rPr>
          <w:rFonts w:ascii="Times New Roman" w:eastAsia="Times New Roman" w:hAnsi="Times New Roman" w:cs="Times New Roman"/>
          <w:bCs/>
          <w:spacing w:val="-4"/>
          <w:sz w:val="16"/>
          <w:szCs w:val="16"/>
          <w:lang w:val="sr-Cyrl-RS" w:eastAsia="hr-HR"/>
        </w:rPr>
        <w:t xml:space="preserve">е </w:t>
      </w:r>
      <w:r w:rsidRPr="00AE5455">
        <w:rPr>
          <w:rFonts w:ascii="Times New Roman" w:eastAsia="Times New Roman" w:hAnsi="Times New Roman" w:cs="Times New Roman"/>
          <w:bCs/>
          <w:spacing w:val="-4"/>
          <w:sz w:val="16"/>
          <w:szCs w:val="16"/>
          <w:lang w:val="sr-Cyrl-RS" w:eastAsia="hr-HR"/>
        </w:rPr>
        <w:t>за статистику БиХ, Подружница/Експозитура Брчко</w:t>
      </w:r>
    </w:p>
    <w:p w14:paraId="4C120321"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56F2DE44"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3E45BACF" w14:textId="2A48F3EB" w:rsidR="00EA0FD7" w:rsidRPr="00AE5455" w:rsidRDefault="00EA0FD7" w:rsidP="00EA0FD7">
      <w:pPr>
        <w:keepNext/>
        <w:keepLines/>
        <w:spacing w:before="40" w:after="0" w:line="240" w:lineRule="auto"/>
        <w:outlineLvl w:val="2"/>
        <w:rPr>
          <w:rFonts w:ascii="Times New Roman" w:eastAsia="Times New Roman" w:hAnsi="Times New Roman" w:cs="Times New Roman"/>
          <w:b/>
          <w:bCs/>
          <w:spacing w:val="-4"/>
          <w:sz w:val="24"/>
          <w:szCs w:val="24"/>
          <w:lang w:val="sr-Cyrl-RS" w:eastAsia="hr-HR"/>
        </w:rPr>
      </w:pPr>
      <w:r w:rsidRPr="00AE5455">
        <w:rPr>
          <w:rFonts w:ascii="Times New Roman" w:eastAsia="Times New Roman" w:hAnsi="Times New Roman" w:cs="Times New Roman"/>
          <w:b/>
          <w:bCs/>
          <w:spacing w:val="-4"/>
          <w:sz w:val="24"/>
          <w:szCs w:val="24"/>
          <w:lang w:val="sr-Cyrl-RS" w:eastAsia="hr-HR"/>
        </w:rPr>
        <w:t>Кретање БДП-а у Брчко дистрикту БиХ у периоду 2015</w:t>
      </w:r>
      <w:r w:rsidR="00AE5455">
        <w:rPr>
          <w:rFonts w:ascii="Times New Roman" w:eastAsia="Times New Roman" w:hAnsi="Times New Roman" w:cs="Times New Roman"/>
          <w:b/>
          <w:bCs/>
          <w:spacing w:val="-4"/>
          <w:sz w:val="24"/>
          <w:szCs w:val="24"/>
          <w:lang w:val="sr-Cyrl-RS" w:eastAsia="hr-HR"/>
        </w:rPr>
        <w:t>–</w:t>
      </w:r>
      <w:r w:rsidRPr="00AE5455">
        <w:rPr>
          <w:rFonts w:ascii="Times New Roman" w:eastAsia="Times New Roman" w:hAnsi="Times New Roman" w:cs="Times New Roman"/>
          <w:b/>
          <w:bCs/>
          <w:spacing w:val="-4"/>
          <w:sz w:val="24"/>
          <w:szCs w:val="24"/>
          <w:lang w:val="sr-Cyrl-RS" w:eastAsia="hr-HR"/>
        </w:rPr>
        <w:t>2021, пројекције за 2022. и  претпоставке кретања у периоду 2023</w:t>
      </w:r>
      <w:r w:rsidR="00AE5455">
        <w:rPr>
          <w:rFonts w:ascii="Times New Roman" w:eastAsia="Times New Roman" w:hAnsi="Times New Roman" w:cs="Times New Roman"/>
          <w:b/>
          <w:bCs/>
          <w:spacing w:val="-4"/>
          <w:sz w:val="24"/>
          <w:szCs w:val="24"/>
          <w:lang w:val="sr-Cyrl-RS" w:eastAsia="hr-HR"/>
        </w:rPr>
        <w:t>–2</w:t>
      </w:r>
      <w:r w:rsidRPr="00AE5455">
        <w:rPr>
          <w:rFonts w:ascii="Times New Roman" w:eastAsia="Times New Roman" w:hAnsi="Times New Roman" w:cs="Times New Roman"/>
          <w:b/>
          <w:bCs/>
          <w:spacing w:val="-4"/>
          <w:sz w:val="24"/>
          <w:szCs w:val="24"/>
          <w:lang w:val="sr-Cyrl-RS" w:eastAsia="hr-HR"/>
        </w:rPr>
        <w:t>025. године</w:t>
      </w:r>
    </w:p>
    <w:p w14:paraId="141C6474"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20467409" w14:textId="417DE582"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Стопе раста номиналног БДП-а у периоду 2021</w:t>
      </w:r>
      <w:r w:rsidR="00AE5455">
        <w:rPr>
          <w:rFonts w:ascii="Times New Roman" w:eastAsia="Times New Roman" w:hAnsi="Times New Roman" w:cs="Times New Roman"/>
          <w:bCs/>
          <w:spacing w:val="-4"/>
          <w:sz w:val="24"/>
          <w:szCs w:val="24"/>
          <w:lang w:val="sr-Cyrl-RS" w:eastAsia="hr-HR"/>
        </w:rPr>
        <w:t>–</w:t>
      </w:r>
      <w:r w:rsidRPr="00AE5455">
        <w:rPr>
          <w:rFonts w:ascii="Times New Roman" w:eastAsia="Times New Roman" w:hAnsi="Times New Roman" w:cs="Times New Roman"/>
          <w:bCs/>
          <w:spacing w:val="-4"/>
          <w:sz w:val="24"/>
          <w:szCs w:val="24"/>
          <w:lang w:val="sr-Cyrl-RS" w:eastAsia="hr-HR"/>
        </w:rPr>
        <w:t>2025. године, пројектоване од стране Дирекције за економско планирање БиХ, узете су као прихватљиве, те је Дирекција за финансије исте користила за процјену БДП-а Брчко дист</w:t>
      </w:r>
      <w:r w:rsidR="00AE5455">
        <w:rPr>
          <w:rFonts w:ascii="Times New Roman" w:eastAsia="Times New Roman" w:hAnsi="Times New Roman" w:cs="Times New Roman"/>
          <w:bCs/>
          <w:spacing w:val="-4"/>
          <w:sz w:val="24"/>
          <w:szCs w:val="24"/>
          <w:lang w:val="sr-Cyrl-RS" w:eastAsia="hr-HR"/>
        </w:rPr>
        <w:t>р</w:t>
      </w:r>
      <w:r w:rsidRPr="00AE5455">
        <w:rPr>
          <w:rFonts w:ascii="Times New Roman" w:eastAsia="Times New Roman" w:hAnsi="Times New Roman" w:cs="Times New Roman"/>
          <w:bCs/>
          <w:spacing w:val="-4"/>
          <w:sz w:val="24"/>
          <w:szCs w:val="24"/>
          <w:lang w:val="sr-Cyrl-RS" w:eastAsia="hr-HR"/>
        </w:rPr>
        <w:t xml:space="preserve">икта БиХ за наведени период.   </w:t>
      </w:r>
    </w:p>
    <w:p w14:paraId="49DE3218"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6C349EBA" w14:textId="15DA8565"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 xml:space="preserve">У 2021. години је дошло до повећања БДП-а у односу на 2020. годину за 6,0%. У 2022. години се планира увећање за 5,4%, док се у 2023, 2024. и 2025. години очекује раст БДП-а од 4,4%, 4,7% и 5,0% (г/г). </w:t>
      </w:r>
    </w:p>
    <w:p w14:paraId="39BA47DF" w14:textId="77777777" w:rsidR="00EA0FD7" w:rsidRPr="00AE5455" w:rsidRDefault="00EA0FD7" w:rsidP="00EA0FD7">
      <w:pPr>
        <w:spacing w:after="0" w:line="240" w:lineRule="auto"/>
        <w:ind w:left="-540" w:firstLine="540"/>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 xml:space="preserve"> </w:t>
      </w:r>
    </w:p>
    <w:p w14:paraId="2B08F825" w14:textId="20D049C2" w:rsidR="00EA0FD7" w:rsidRPr="00AE5455" w:rsidRDefault="00EA0FD7" w:rsidP="00AE5455">
      <w:pPr>
        <w:spacing w:after="0" w:line="240" w:lineRule="auto"/>
        <w:rPr>
          <w:rFonts w:ascii="Times New Roman" w:eastAsia="Times New Roman" w:hAnsi="Times New Roman" w:cs="Times New Roman"/>
          <w:b/>
          <w:bCs/>
          <w:spacing w:val="-4"/>
          <w:sz w:val="24"/>
          <w:szCs w:val="24"/>
          <w:lang w:val="sr-Cyrl-RS" w:eastAsia="hr-HR"/>
        </w:rPr>
      </w:pPr>
      <w:r w:rsidRPr="00AE5455">
        <w:rPr>
          <w:rFonts w:ascii="Times New Roman" w:eastAsia="Times New Roman" w:hAnsi="Times New Roman" w:cs="Times New Roman"/>
          <w:b/>
          <w:bCs/>
          <w:spacing w:val="-4"/>
          <w:sz w:val="24"/>
          <w:szCs w:val="24"/>
          <w:lang w:val="sr-Cyrl-RS" w:eastAsia="hr-HR"/>
        </w:rPr>
        <w:t xml:space="preserve">Графикон 2.6. </w:t>
      </w:r>
      <w:r w:rsidRPr="00AE5455">
        <w:rPr>
          <w:rFonts w:ascii="Times New Roman" w:eastAsia="Times New Roman" w:hAnsi="Times New Roman" w:cs="Times New Roman"/>
          <w:bCs/>
          <w:spacing w:val="-4"/>
          <w:sz w:val="24"/>
          <w:szCs w:val="24"/>
          <w:lang w:val="sr-Cyrl-RS" w:eastAsia="hr-HR"/>
        </w:rPr>
        <w:t>Тренд раста номиналног  БДП у Брчко дистрикту БиХ за период 2015</w:t>
      </w:r>
      <w:r w:rsidR="00AE5455">
        <w:rPr>
          <w:rFonts w:ascii="Times New Roman" w:eastAsia="Times New Roman" w:hAnsi="Times New Roman" w:cs="Times New Roman"/>
          <w:bCs/>
          <w:spacing w:val="-4"/>
          <w:sz w:val="24"/>
          <w:szCs w:val="24"/>
          <w:lang w:val="sr-Cyrl-RS" w:eastAsia="hr-HR"/>
        </w:rPr>
        <w:t>–</w:t>
      </w:r>
      <w:r w:rsidRPr="00AE5455">
        <w:rPr>
          <w:rFonts w:ascii="Times New Roman" w:eastAsia="Times New Roman" w:hAnsi="Times New Roman" w:cs="Times New Roman"/>
          <w:bCs/>
          <w:spacing w:val="-4"/>
          <w:sz w:val="24"/>
          <w:szCs w:val="24"/>
          <w:lang w:val="sr-Cyrl-RS" w:eastAsia="hr-HR"/>
        </w:rPr>
        <w:t>2025. године</w:t>
      </w:r>
    </w:p>
    <w:p w14:paraId="1224780A" w14:textId="77777777" w:rsidR="00EA0FD7" w:rsidRPr="00AE5455" w:rsidRDefault="00EA0FD7" w:rsidP="00EA0FD7">
      <w:pPr>
        <w:spacing w:after="0" w:line="240" w:lineRule="auto"/>
        <w:ind w:left="-540" w:firstLine="540"/>
        <w:rPr>
          <w:rFonts w:ascii="Times New Roman" w:eastAsia="Times New Roman" w:hAnsi="Times New Roman" w:cs="Times New Roman"/>
          <w:b/>
          <w:bCs/>
          <w:spacing w:val="-4"/>
          <w:lang w:val="sr-Cyrl-RS" w:eastAsia="hr-HR"/>
        </w:rPr>
      </w:pPr>
      <w:r w:rsidRPr="00EA0FD7">
        <w:rPr>
          <w:rFonts w:ascii="Times New Roman" w:eastAsia="Times New Roman" w:hAnsi="Times New Roman" w:cs="Times New Roman"/>
          <w:noProof/>
          <w:sz w:val="24"/>
          <w:szCs w:val="24"/>
          <w:lang w:val="sr-Cyrl-RS"/>
        </w:rPr>
        <w:drawing>
          <wp:inline distT="0" distB="0" distL="0" distR="0" wp14:anchorId="326D108C" wp14:editId="1D208FCC">
            <wp:extent cx="5373370" cy="3313430"/>
            <wp:effectExtent l="0" t="0" r="0" b="127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3370" cy="3313430"/>
                    </a:xfrm>
                    <a:prstGeom prst="rect">
                      <a:avLst/>
                    </a:prstGeom>
                    <a:noFill/>
                    <a:ln>
                      <a:noFill/>
                    </a:ln>
                  </pic:spPr>
                </pic:pic>
              </a:graphicData>
            </a:graphic>
          </wp:inline>
        </w:drawing>
      </w:r>
    </w:p>
    <w:p w14:paraId="1C1DCDE2" w14:textId="77777777" w:rsidR="00EA0FD7" w:rsidRPr="00AE5455" w:rsidRDefault="00EA0FD7" w:rsidP="00EA0FD7">
      <w:pPr>
        <w:spacing w:after="0" w:line="240" w:lineRule="auto"/>
        <w:rPr>
          <w:rFonts w:ascii="Times New Roman" w:eastAsia="Times New Roman" w:hAnsi="Times New Roman" w:cs="Times New Roman"/>
          <w:b/>
          <w:bCs/>
          <w:spacing w:val="-4"/>
          <w:lang w:val="sr-Cyrl-RS" w:eastAsia="hr-HR"/>
        </w:rPr>
      </w:pPr>
    </w:p>
    <w:p w14:paraId="3E701E0F" w14:textId="77777777" w:rsidR="00EA0FD7" w:rsidRPr="00AE5455" w:rsidRDefault="00EA0FD7" w:rsidP="00EA0FD7">
      <w:pPr>
        <w:keepNext/>
        <w:keepLines/>
        <w:spacing w:before="40" w:after="0" w:line="240" w:lineRule="auto"/>
        <w:outlineLvl w:val="2"/>
        <w:rPr>
          <w:rFonts w:ascii="Times New Roman" w:eastAsia="Times New Roman" w:hAnsi="Times New Roman" w:cs="Times New Roman"/>
          <w:b/>
          <w:sz w:val="24"/>
          <w:szCs w:val="24"/>
          <w:lang w:val="sr-Cyrl-RS" w:eastAsia="hr-HR"/>
        </w:rPr>
      </w:pPr>
    </w:p>
    <w:p w14:paraId="6E3DFFCF" w14:textId="46BEC140" w:rsidR="00EA0FD7" w:rsidRPr="00AE5455" w:rsidRDefault="00EA0FD7" w:rsidP="00EA0FD7">
      <w:pPr>
        <w:keepNext/>
        <w:keepLines/>
        <w:spacing w:before="40" w:after="0" w:line="240" w:lineRule="auto"/>
        <w:outlineLvl w:val="2"/>
        <w:rPr>
          <w:rFonts w:ascii="Times New Roman" w:eastAsia="Times New Roman" w:hAnsi="Times New Roman" w:cs="Times New Roman"/>
          <w:b/>
          <w:sz w:val="24"/>
          <w:szCs w:val="24"/>
          <w:lang w:val="sr-Cyrl-RS" w:eastAsia="hr-HR"/>
        </w:rPr>
      </w:pPr>
      <w:r w:rsidRPr="00AE5455">
        <w:rPr>
          <w:rFonts w:ascii="Times New Roman" w:eastAsia="Times New Roman" w:hAnsi="Times New Roman" w:cs="Times New Roman"/>
          <w:b/>
          <w:sz w:val="24"/>
          <w:szCs w:val="24"/>
          <w:lang w:val="sr-Cyrl-RS" w:eastAsia="hr-HR"/>
        </w:rPr>
        <w:t xml:space="preserve">  Цијене/Инфлација у 2021, пројекције 2022</w:t>
      </w:r>
      <w:r w:rsidR="00AE5455">
        <w:rPr>
          <w:rFonts w:ascii="Times New Roman" w:eastAsia="Times New Roman" w:hAnsi="Times New Roman" w:cs="Times New Roman"/>
          <w:b/>
          <w:sz w:val="24"/>
          <w:szCs w:val="24"/>
          <w:lang w:val="sr-Cyrl-RS" w:eastAsia="hr-HR"/>
        </w:rPr>
        <w:t>–</w:t>
      </w:r>
      <w:r w:rsidRPr="00AE5455">
        <w:rPr>
          <w:rFonts w:ascii="Times New Roman" w:eastAsia="Times New Roman" w:hAnsi="Times New Roman" w:cs="Times New Roman"/>
          <w:b/>
          <w:sz w:val="24"/>
          <w:szCs w:val="24"/>
          <w:lang w:val="sr-Cyrl-RS" w:eastAsia="hr-HR"/>
        </w:rPr>
        <w:t>2025. године</w:t>
      </w:r>
    </w:p>
    <w:p w14:paraId="5B8BAAA6" w14:textId="77777777" w:rsidR="00EA0FD7" w:rsidRPr="00EA0FD7" w:rsidRDefault="00EA0FD7" w:rsidP="00EA0FD7">
      <w:pPr>
        <w:spacing w:after="0" w:line="240" w:lineRule="auto"/>
        <w:rPr>
          <w:rFonts w:ascii="Times New Roman" w:eastAsia="Calibri" w:hAnsi="Times New Roman" w:cs="Times New Roman"/>
          <w:sz w:val="24"/>
          <w:szCs w:val="24"/>
          <w:lang w:val="sr-Cyrl-RS" w:eastAsia="hr-HR"/>
        </w:rPr>
      </w:pPr>
    </w:p>
    <w:p w14:paraId="181E854A" w14:textId="1F0884E0" w:rsidR="00EA0FD7" w:rsidRPr="00AE5455"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Calibri" w:hAnsi="Times New Roman" w:cs="Times New Roman"/>
          <w:sz w:val="24"/>
          <w:szCs w:val="24"/>
          <w:lang w:val="sr-Cyrl-RS" w:eastAsia="hr-HR"/>
        </w:rPr>
        <w:t xml:space="preserve">Као и у осталом дијелу Босне и Херцеговине, тако и у Брчко дистрикту БиХ, кретање инфлације значајно одређује ниво цијена енергената, односно нафте, хране, акциза, цијена комуналија и слично. Предвиђања ДЕП-а у овом дијелу су узета као релевантна и за Брчко дистрикт, тако да се у 2022. години очекује раст инфлације за 6,0%, </w:t>
      </w:r>
      <w:r w:rsidRPr="00AE5455">
        <w:rPr>
          <w:rFonts w:ascii="Times New Roman" w:eastAsia="Times New Roman" w:hAnsi="Times New Roman" w:cs="Times New Roman"/>
          <w:bCs/>
          <w:spacing w:val="-4"/>
          <w:sz w:val="24"/>
          <w:szCs w:val="24"/>
          <w:lang w:val="sr-Cyrl-RS" w:eastAsia="hr-HR"/>
        </w:rPr>
        <w:t xml:space="preserve">док се у 2023, 2024. и 2025. години  очекује раст од 1,8%, 1,7% и 3,5% (г/г). </w:t>
      </w:r>
    </w:p>
    <w:p w14:paraId="65EC1955" w14:textId="77777777" w:rsidR="00EA0FD7" w:rsidRPr="00AE5455" w:rsidRDefault="00EA0FD7" w:rsidP="00EA0FD7">
      <w:pPr>
        <w:spacing w:after="0" w:line="240" w:lineRule="auto"/>
        <w:rPr>
          <w:rFonts w:ascii="Times New Roman" w:eastAsia="Times New Roman" w:hAnsi="Times New Roman" w:cs="Times New Roman"/>
          <w:bCs/>
          <w:spacing w:val="-4"/>
          <w:sz w:val="24"/>
          <w:szCs w:val="24"/>
          <w:lang w:val="sr-Cyrl-RS" w:eastAsia="hr-HR"/>
        </w:rPr>
      </w:pPr>
    </w:p>
    <w:p w14:paraId="7913F1A0" w14:textId="77777777" w:rsidR="0078010E" w:rsidRDefault="0078010E" w:rsidP="00EA0FD7">
      <w:pPr>
        <w:spacing w:after="0" w:line="240" w:lineRule="auto"/>
        <w:jc w:val="both"/>
        <w:rPr>
          <w:rFonts w:ascii="Times New Roman" w:eastAsia="Times New Roman" w:hAnsi="Times New Roman" w:cs="Times New Roman"/>
          <w:bCs/>
          <w:spacing w:val="-4"/>
          <w:sz w:val="24"/>
          <w:szCs w:val="24"/>
          <w:lang w:val="sr-Cyrl-RS" w:eastAsia="hr-HR"/>
        </w:rPr>
      </w:pPr>
    </w:p>
    <w:p w14:paraId="0A81D290" w14:textId="77777777" w:rsidR="0078010E" w:rsidRDefault="0078010E"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54151910" w14:textId="77777777" w:rsidR="0078010E" w:rsidRDefault="0078010E"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713D85C7" w14:textId="77777777" w:rsidR="0078010E" w:rsidRDefault="0078010E"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635E7C0F" w14:textId="77777777" w:rsidR="0078010E" w:rsidRDefault="0078010E"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79F0E370" w14:textId="77777777" w:rsidR="0078010E" w:rsidRDefault="0078010E"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513958B8" w14:textId="77777777" w:rsidR="0078010E" w:rsidRDefault="0078010E"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3C7D8384" w14:textId="77777777" w:rsidR="0078010E" w:rsidRDefault="0078010E"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409FC910" w14:textId="200D6236" w:rsidR="00EA0FD7" w:rsidRPr="00AE5455" w:rsidRDefault="00EA0FD7" w:rsidP="00EA0FD7">
      <w:pPr>
        <w:spacing w:after="0" w:line="240" w:lineRule="auto"/>
        <w:jc w:val="both"/>
        <w:rPr>
          <w:rFonts w:ascii="Times New Roman" w:eastAsia="Times New Roman" w:hAnsi="Times New Roman" w:cs="Times New Roman"/>
          <w:sz w:val="24"/>
          <w:szCs w:val="24"/>
          <w:lang w:val="sr-Cyrl-RS" w:eastAsia="hr-HR"/>
        </w:rPr>
      </w:pPr>
      <w:r w:rsidRPr="00AE5455">
        <w:rPr>
          <w:rFonts w:ascii="Times New Roman" w:eastAsia="Times New Roman" w:hAnsi="Times New Roman" w:cs="Times New Roman"/>
          <w:b/>
          <w:bCs/>
          <w:spacing w:val="-4"/>
          <w:sz w:val="24"/>
          <w:szCs w:val="24"/>
          <w:lang w:val="sr-Cyrl-RS" w:eastAsia="hr-HR"/>
        </w:rPr>
        <w:lastRenderedPageBreak/>
        <w:t>Графикон 2.7:</w:t>
      </w:r>
      <w:r w:rsidRPr="00AE5455">
        <w:rPr>
          <w:rFonts w:ascii="Times New Roman" w:eastAsia="Times New Roman" w:hAnsi="Times New Roman" w:cs="Times New Roman"/>
          <w:bCs/>
          <w:spacing w:val="-4"/>
          <w:sz w:val="24"/>
          <w:szCs w:val="24"/>
          <w:lang w:val="sr-Cyrl-RS" w:eastAsia="hr-HR"/>
        </w:rPr>
        <w:t xml:space="preserve"> Кретање инфлације у Брчко дистрикту БиХ мјерено индексом потр</w:t>
      </w:r>
      <w:r w:rsidR="00AE5455">
        <w:rPr>
          <w:rFonts w:ascii="Times New Roman" w:eastAsia="Times New Roman" w:hAnsi="Times New Roman" w:cs="Times New Roman"/>
          <w:bCs/>
          <w:spacing w:val="-4"/>
          <w:sz w:val="24"/>
          <w:szCs w:val="24"/>
          <w:lang w:val="sr-Cyrl-RS" w:eastAsia="hr-HR"/>
        </w:rPr>
        <w:t>о</w:t>
      </w:r>
      <w:r w:rsidRPr="00AE5455">
        <w:rPr>
          <w:rFonts w:ascii="Times New Roman" w:eastAsia="Times New Roman" w:hAnsi="Times New Roman" w:cs="Times New Roman"/>
          <w:bCs/>
          <w:spacing w:val="-4"/>
          <w:sz w:val="24"/>
          <w:szCs w:val="24"/>
          <w:lang w:val="sr-Cyrl-RS" w:eastAsia="hr-HR"/>
        </w:rPr>
        <w:t xml:space="preserve">шачких цијена </w:t>
      </w:r>
    </w:p>
    <w:p w14:paraId="4CF12EEC" w14:textId="77777777" w:rsidR="00EA0FD7" w:rsidRPr="00EA0FD7" w:rsidRDefault="00EA0FD7" w:rsidP="00EA0FD7">
      <w:pPr>
        <w:spacing w:after="0" w:line="240" w:lineRule="auto"/>
        <w:ind w:left="-540" w:firstLine="540"/>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05393CC9" wp14:editId="7FDD9CEB">
            <wp:extent cx="5563870" cy="327787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3870" cy="3277870"/>
                    </a:xfrm>
                    <a:prstGeom prst="rect">
                      <a:avLst/>
                    </a:prstGeom>
                    <a:noFill/>
                    <a:ln>
                      <a:noFill/>
                    </a:ln>
                  </pic:spPr>
                </pic:pic>
              </a:graphicData>
            </a:graphic>
          </wp:inline>
        </w:drawing>
      </w:r>
    </w:p>
    <w:p w14:paraId="5BA1F1D8" w14:textId="77777777" w:rsidR="00EA0FD7" w:rsidRPr="00AE5455" w:rsidRDefault="00EA0FD7" w:rsidP="00EA0FD7">
      <w:pPr>
        <w:spacing w:after="0" w:line="240" w:lineRule="auto"/>
        <w:ind w:left="-540" w:firstLine="540"/>
        <w:jc w:val="both"/>
        <w:rPr>
          <w:rFonts w:ascii="Times New Roman" w:eastAsia="Times New Roman" w:hAnsi="Times New Roman" w:cs="Times New Roman"/>
          <w:bCs/>
          <w:spacing w:val="-4"/>
          <w:sz w:val="24"/>
          <w:szCs w:val="24"/>
          <w:lang w:val="sr-Cyrl-RS" w:eastAsia="hr-HR"/>
        </w:rPr>
      </w:pPr>
    </w:p>
    <w:p w14:paraId="126C3147" w14:textId="77777777" w:rsidR="00AE5455" w:rsidRDefault="00AE5455" w:rsidP="00EA0FD7">
      <w:pPr>
        <w:spacing w:after="0" w:line="240" w:lineRule="auto"/>
        <w:contextualSpacing/>
        <w:jc w:val="both"/>
        <w:rPr>
          <w:rFonts w:ascii="Times New Roman" w:eastAsia="Times New Roman" w:hAnsi="Times New Roman" w:cs="Times New Roman"/>
          <w:bCs/>
          <w:spacing w:val="-4"/>
          <w:sz w:val="24"/>
          <w:szCs w:val="24"/>
          <w:lang w:val="sr-Cyrl-RS" w:eastAsia="hr-HR"/>
        </w:rPr>
      </w:pPr>
    </w:p>
    <w:p w14:paraId="01B83010" w14:textId="2C7EAAD3" w:rsidR="00EA0FD7" w:rsidRPr="00AE5455" w:rsidRDefault="00EA0FD7" w:rsidP="00EA0FD7">
      <w:pPr>
        <w:spacing w:after="0" w:line="240" w:lineRule="auto"/>
        <w:contextualSpacing/>
        <w:jc w:val="both"/>
        <w:rPr>
          <w:rFonts w:ascii="Times New Roman" w:eastAsia="Times New Roman" w:hAnsi="Times New Roman" w:cs="Times New Roman"/>
          <w:b/>
          <w:bCs/>
          <w:spacing w:val="-4"/>
          <w:sz w:val="24"/>
          <w:szCs w:val="24"/>
          <w:lang w:val="sr-Cyrl-RS" w:eastAsia="hr-HR"/>
        </w:rPr>
      </w:pPr>
      <w:r w:rsidRPr="00AE5455">
        <w:rPr>
          <w:rFonts w:ascii="Times New Roman" w:eastAsia="Times New Roman" w:hAnsi="Times New Roman" w:cs="Times New Roman"/>
          <w:b/>
          <w:bCs/>
          <w:spacing w:val="-4"/>
          <w:sz w:val="24"/>
          <w:szCs w:val="24"/>
          <w:lang w:val="sr-Cyrl-RS" w:eastAsia="hr-HR"/>
        </w:rPr>
        <w:t>Становништво и демографија Брчко дистрикта БиХ</w:t>
      </w:r>
    </w:p>
    <w:p w14:paraId="1218932F" w14:textId="77777777" w:rsidR="00EA0FD7" w:rsidRPr="00AE5455" w:rsidRDefault="00EA0FD7" w:rsidP="00EA0FD7">
      <w:pPr>
        <w:spacing w:after="0" w:line="240" w:lineRule="auto"/>
        <w:ind w:left="-540" w:firstLine="540"/>
        <w:jc w:val="both"/>
        <w:rPr>
          <w:rFonts w:ascii="Times New Roman" w:eastAsia="Times New Roman" w:hAnsi="Times New Roman" w:cs="Times New Roman"/>
          <w:bCs/>
          <w:spacing w:val="-4"/>
          <w:sz w:val="24"/>
          <w:szCs w:val="24"/>
          <w:lang w:val="sr-Cyrl-RS" w:eastAsia="hr-HR"/>
        </w:rPr>
      </w:pPr>
    </w:p>
    <w:p w14:paraId="53D31C7C"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 xml:space="preserve">Један од основних фактора привредног раста и развоја је становништво, његова квалификациона и старосна структура. Процијењени број становника на подручју Брчко дистрикта БиХ, према процјени Агенције за статистику – подружница/експозитура Брчко у 2021. години износио је 82,68 хиљада. Према  статистичким подацима, број рођених у 2021. години је био 846, а број умрлих 1.594 становника. </w:t>
      </w:r>
    </w:p>
    <w:p w14:paraId="64F8AA8B"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32B38D1C" w14:textId="1068CB8E"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У 2022. години процијењени број становника је такође 82,68 хиљада становника.  Подаци о броју становника у 2022. години, као и у периоду 2023</w:t>
      </w:r>
      <w:r w:rsidR="00AE5455">
        <w:rPr>
          <w:rFonts w:ascii="Times New Roman" w:eastAsia="Times New Roman" w:hAnsi="Times New Roman" w:cs="Times New Roman"/>
          <w:bCs/>
          <w:spacing w:val="-4"/>
          <w:sz w:val="24"/>
          <w:szCs w:val="24"/>
          <w:lang w:val="sr-Cyrl-RS" w:eastAsia="hr-HR"/>
        </w:rPr>
        <w:t>–</w:t>
      </w:r>
      <w:r w:rsidRPr="00AE5455">
        <w:rPr>
          <w:rFonts w:ascii="Times New Roman" w:eastAsia="Times New Roman" w:hAnsi="Times New Roman" w:cs="Times New Roman"/>
          <w:bCs/>
          <w:spacing w:val="-4"/>
          <w:sz w:val="24"/>
          <w:szCs w:val="24"/>
          <w:lang w:val="sr-Cyrl-RS" w:eastAsia="hr-HR"/>
        </w:rPr>
        <w:t>2025. године су пројектовани на основу планираног природног кретања становништва (број рођених, број умрлих), као и процјене повратка становништва у мјесто пребивалишта (Брчко дистрикт БиХ) и одласка становништва из Брчко дистрикта БиХ.</w:t>
      </w:r>
    </w:p>
    <w:p w14:paraId="2D393341"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0670146A"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14CBEB25" w14:textId="77777777" w:rsidR="00EA0FD7" w:rsidRPr="00AE5455" w:rsidRDefault="00EA0FD7" w:rsidP="00EA0FD7">
      <w:pPr>
        <w:spacing w:after="0" w:line="240" w:lineRule="auto"/>
        <w:jc w:val="both"/>
        <w:rPr>
          <w:rFonts w:ascii="Times New Roman" w:eastAsia="Times New Roman" w:hAnsi="Times New Roman" w:cs="Times New Roman"/>
          <w:b/>
          <w:bCs/>
          <w:spacing w:val="-4"/>
          <w:sz w:val="24"/>
          <w:szCs w:val="24"/>
          <w:lang w:val="sr-Cyrl-RS" w:eastAsia="hr-HR"/>
        </w:rPr>
      </w:pPr>
      <w:r w:rsidRPr="00AE5455">
        <w:rPr>
          <w:rFonts w:ascii="Times New Roman" w:eastAsia="Times New Roman" w:hAnsi="Times New Roman" w:cs="Times New Roman"/>
          <w:b/>
          <w:bCs/>
          <w:spacing w:val="-4"/>
          <w:sz w:val="24"/>
          <w:szCs w:val="24"/>
          <w:lang w:val="sr-Cyrl-RS" w:eastAsia="hr-HR"/>
        </w:rPr>
        <w:t xml:space="preserve">Тржиште рада </w:t>
      </w:r>
    </w:p>
    <w:p w14:paraId="6E08AC9A"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5DD278B2" w14:textId="38A17489"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Према  статистичким подацима, у 2021. години  у Брчко дистрикту БиХ је било 6.689 незапослена лица, што је у односу на 2020. годину мање за 205 лица или 2,97%. У 2022. години, проц</w:t>
      </w:r>
      <w:r w:rsidR="00AE5455">
        <w:rPr>
          <w:rFonts w:ascii="Times New Roman" w:eastAsia="Times New Roman" w:hAnsi="Times New Roman" w:cs="Times New Roman"/>
          <w:bCs/>
          <w:spacing w:val="-4"/>
          <w:sz w:val="24"/>
          <w:szCs w:val="24"/>
          <w:lang w:val="sr-Cyrl-RS" w:eastAsia="hr-HR"/>
        </w:rPr>
        <w:t>и</w:t>
      </w:r>
      <w:r w:rsidRPr="00AE5455">
        <w:rPr>
          <w:rFonts w:ascii="Times New Roman" w:eastAsia="Times New Roman" w:hAnsi="Times New Roman" w:cs="Times New Roman"/>
          <w:bCs/>
          <w:spacing w:val="-4"/>
          <w:sz w:val="24"/>
          <w:szCs w:val="24"/>
          <w:lang w:val="sr-Cyrl-RS" w:eastAsia="hr-HR"/>
        </w:rPr>
        <w:t>јењена је стопа повећања броја запослених од 1,4%, због чега се очекује тренд смањења броја незапослених особа у односу на 2021. годину (подаци о процјени стопа су преузети од ДЕП-а).</w:t>
      </w:r>
    </w:p>
    <w:p w14:paraId="6E6D1C1A"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6ADC10AC" w14:textId="2D3B1395"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У  периоду 2023</w:t>
      </w:r>
      <w:r w:rsidR="00AE5455">
        <w:rPr>
          <w:rFonts w:ascii="Times New Roman" w:eastAsia="Times New Roman" w:hAnsi="Times New Roman" w:cs="Times New Roman"/>
          <w:bCs/>
          <w:spacing w:val="-4"/>
          <w:sz w:val="24"/>
          <w:szCs w:val="24"/>
          <w:lang w:val="sr-Cyrl-RS" w:eastAsia="hr-HR"/>
        </w:rPr>
        <w:t>–</w:t>
      </w:r>
      <w:r w:rsidRPr="00AE5455">
        <w:rPr>
          <w:rFonts w:ascii="Times New Roman" w:eastAsia="Times New Roman" w:hAnsi="Times New Roman" w:cs="Times New Roman"/>
          <w:bCs/>
          <w:spacing w:val="-4"/>
          <w:sz w:val="24"/>
          <w:szCs w:val="24"/>
          <w:lang w:val="sr-Cyrl-RS" w:eastAsia="hr-HR"/>
        </w:rPr>
        <w:t>2025. године се предвиђа тренд увећања броја запослених од 1,5% до 1,7% г/г уз истовремено смањење броја незапослених лица.</w:t>
      </w:r>
    </w:p>
    <w:p w14:paraId="177880CF"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04F25574"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Стопе раста запошљавања су знатно ниже него стопе БДП-а,  што говори да је стварна запосленост већа од званичне, али су запослена лица дијелом непријављена надлежним органима и за њих се не уплаћују прописане обавезе.</w:t>
      </w:r>
    </w:p>
    <w:p w14:paraId="5FC4E4DB"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1F8C9BB9" w14:textId="5473590A"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Број запослених  лица у Брчко дистрикту  БиХ у 2021. години се  смањио у односу на 2020. годину за 0,27%  и износи 49 лица, док се у периоду од 2022</w:t>
      </w:r>
      <w:r w:rsidR="00AE5455">
        <w:rPr>
          <w:rFonts w:ascii="Times New Roman" w:eastAsia="Times New Roman" w:hAnsi="Times New Roman" w:cs="Times New Roman"/>
          <w:bCs/>
          <w:spacing w:val="-4"/>
          <w:sz w:val="24"/>
          <w:szCs w:val="24"/>
          <w:lang w:val="sr-Cyrl-RS" w:eastAsia="hr-HR"/>
        </w:rPr>
        <w:t>–</w:t>
      </w:r>
      <w:r w:rsidRPr="00AE5455">
        <w:rPr>
          <w:rFonts w:ascii="Times New Roman" w:eastAsia="Times New Roman" w:hAnsi="Times New Roman" w:cs="Times New Roman"/>
          <w:bCs/>
          <w:spacing w:val="-4"/>
          <w:sz w:val="24"/>
          <w:szCs w:val="24"/>
          <w:lang w:val="sr-Cyrl-RS" w:eastAsia="hr-HR"/>
        </w:rPr>
        <w:t>2025. године очекује тренд повећања броја запослених.</w:t>
      </w:r>
    </w:p>
    <w:p w14:paraId="703ECCD7"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34453CA2" w14:textId="1836641B"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lastRenderedPageBreak/>
        <w:t xml:space="preserve">Као запослени, а по подацима Агенције за статистику – подружница/експозитура Брчко, приказани су сви запослени у пословним субјектима или дијеловима пословних субјеката који су засновали радни однос на неодређено или одређено радно вријеме, без обзира да ли раде пуно или краће од пуног радног времена, као и приправници. Нису обухваћени спољни сарадници, а као запослени на чекању су приказани само они према којима нису извршене законом прописане обавезе. Као самостални предузетници и особе које самостално обављају професију приказана су лица која су у Пореској управи регистрована да дјелатност обављају као основну дјелатност – самозапосленици, а као </w:t>
      </w:r>
      <w:r w:rsidR="00AE5455">
        <w:rPr>
          <w:rFonts w:ascii="Times New Roman" w:eastAsia="Times New Roman" w:hAnsi="Times New Roman" w:cs="Times New Roman"/>
          <w:bCs/>
          <w:spacing w:val="-4"/>
          <w:sz w:val="24"/>
          <w:szCs w:val="24"/>
          <w:lang w:val="sr-Cyrl-RS" w:eastAsia="hr-HR"/>
        </w:rPr>
        <w:t>за</w:t>
      </w:r>
      <w:r w:rsidRPr="00AE5455">
        <w:rPr>
          <w:rFonts w:ascii="Times New Roman" w:eastAsia="Times New Roman" w:hAnsi="Times New Roman" w:cs="Times New Roman"/>
          <w:bCs/>
          <w:spacing w:val="-4"/>
          <w:sz w:val="24"/>
          <w:szCs w:val="24"/>
          <w:lang w:val="sr-Cyrl-RS" w:eastAsia="hr-HR"/>
        </w:rPr>
        <w:t>послена лица код самосталних предузетника и особе које самостално обављају дјелатност, приказана су лица регистрована у Фонду здравственог осигурања. Нису обухваћени самостални пољопривредници и запослени у вантериторијалним организацијама и тијелима.</w:t>
      </w:r>
    </w:p>
    <w:p w14:paraId="5F33D550"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628B3C52" w14:textId="77777777" w:rsidR="00EA0FD7" w:rsidRPr="00AE5455" w:rsidRDefault="00EA0FD7" w:rsidP="00EA0FD7">
      <w:pPr>
        <w:spacing w:after="0" w:line="240" w:lineRule="auto"/>
        <w:ind w:left="-540" w:firstLine="540"/>
        <w:jc w:val="center"/>
        <w:rPr>
          <w:rFonts w:ascii="Times New Roman" w:eastAsia="Times New Roman" w:hAnsi="Times New Roman" w:cs="Times New Roman"/>
          <w:bCs/>
          <w:spacing w:val="-4"/>
          <w:sz w:val="24"/>
          <w:szCs w:val="24"/>
          <w:lang w:val="sr-Cyrl-RS" w:eastAsia="hr-HR"/>
        </w:rPr>
      </w:pPr>
    </w:p>
    <w:p w14:paraId="129602F6" w14:textId="424D9421" w:rsidR="00EA0FD7" w:rsidRPr="00AE5455" w:rsidRDefault="00EA0FD7" w:rsidP="00AE5455">
      <w:pPr>
        <w:spacing w:after="0" w:line="240" w:lineRule="auto"/>
        <w:ind w:left="-540"/>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
          <w:bCs/>
          <w:spacing w:val="-4"/>
          <w:sz w:val="24"/>
          <w:szCs w:val="24"/>
          <w:lang w:val="sr-Cyrl-RS" w:eastAsia="hr-HR"/>
        </w:rPr>
        <w:t>Графикон 2.8:</w:t>
      </w:r>
      <w:r w:rsidRPr="00AE5455">
        <w:rPr>
          <w:rFonts w:ascii="Times New Roman" w:eastAsia="Times New Roman" w:hAnsi="Times New Roman" w:cs="Times New Roman"/>
          <w:bCs/>
          <w:spacing w:val="-4"/>
          <w:sz w:val="24"/>
          <w:szCs w:val="24"/>
          <w:lang w:val="sr-Cyrl-RS" w:eastAsia="hr-HR"/>
        </w:rPr>
        <w:t xml:space="preserve"> Кретање броја запослених и незапослених у Брчко дистрикту БиХ 2015</w:t>
      </w:r>
      <w:r w:rsidR="00AE5455">
        <w:rPr>
          <w:rFonts w:ascii="Times New Roman" w:eastAsia="Times New Roman" w:hAnsi="Times New Roman" w:cs="Times New Roman"/>
          <w:bCs/>
          <w:spacing w:val="-4"/>
          <w:sz w:val="24"/>
          <w:szCs w:val="24"/>
          <w:lang w:val="sr-Cyrl-RS" w:eastAsia="hr-HR"/>
        </w:rPr>
        <w:t>–</w:t>
      </w:r>
      <w:r w:rsidRPr="00AE5455">
        <w:rPr>
          <w:rFonts w:ascii="Times New Roman" w:eastAsia="Times New Roman" w:hAnsi="Times New Roman" w:cs="Times New Roman"/>
          <w:bCs/>
          <w:spacing w:val="-4"/>
          <w:sz w:val="24"/>
          <w:szCs w:val="24"/>
          <w:lang w:val="sr-Cyrl-RS" w:eastAsia="hr-HR"/>
        </w:rPr>
        <w:t>2025. године</w:t>
      </w:r>
    </w:p>
    <w:p w14:paraId="1FFC63CC" w14:textId="77777777" w:rsidR="00EA0FD7" w:rsidRPr="00AE5455" w:rsidRDefault="00EA0FD7" w:rsidP="00EA0FD7">
      <w:pPr>
        <w:spacing w:after="0" w:line="240" w:lineRule="auto"/>
        <w:ind w:left="-540" w:firstLine="540"/>
        <w:jc w:val="both"/>
        <w:rPr>
          <w:rFonts w:ascii="Times New Roman" w:eastAsia="Times New Roman" w:hAnsi="Times New Roman" w:cs="Times New Roman"/>
          <w:b/>
          <w:bCs/>
          <w:spacing w:val="-4"/>
          <w:sz w:val="24"/>
          <w:szCs w:val="24"/>
          <w:lang w:val="sr-Cyrl-RS" w:eastAsia="hr-HR"/>
        </w:rPr>
      </w:pPr>
      <w:r w:rsidRPr="00EA0FD7">
        <w:rPr>
          <w:rFonts w:ascii="Times New Roman" w:eastAsia="Times New Roman" w:hAnsi="Times New Roman" w:cs="Times New Roman"/>
          <w:noProof/>
          <w:sz w:val="24"/>
          <w:szCs w:val="24"/>
          <w:lang w:val="sr-Cyrl-RS"/>
        </w:rPr>
        <w:drawing>
          <wp:inline distT="0" distB="0" distL="0" distR="0" wp14:anchorId="73D9E286" wp14:editId="08D411F7">
            <wp:extent cx="5860415" cy="382968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0415" cy="3829685"/>
                    </a:xfrm>
                    <a:prstGeom prst="rect">
                      <a:avLst/>
                    </a:prstGeom>
                    <a:noFill/>
                    <a:ln>
                      <a:noFill/>
                    </a:ln>
                  </pic:spPr>
                </pic:pic>
              </a:graphicData>
            </a:graphic>
          </wp:inline>
        </w:drawing>
      </w:r>
    </w:p>
    <w:p w14:paraId="308D4714" w14:textId="77777777" w:rsidR="00EA0FD7" w:rsidRPr="00AE5455" w:rsidRDefault="00EA0FD7"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36EC860F" w14:textId="77777777" w:rsidR="00EA0FD7" w:rsidRPr="00AE5455" w:rsidRDefault="00EA0FD7" w:rsidP="00EA0FD7">
      <w:pPr>
        <w:spacing w:after="0" w:line="240" w:lineRule="auto"/>
        <w:ind w:left="-540" w:firstLine="540"/>
        <w:jc w:val="both"/>
        <w:rPr>
          <w:rFonts w:ascii="Times New Roman" w:eastAsia="Times New Roman" w:hAnsi="Times New Roman" w:cs="Times New Roman"/>
          <w:b/>
          <w:bCs/>
          <w:spacing w:val="-4"/>
          <w:sz w:val="24"/>
          <w:szCs w:val="24"/>
          <w:lang w:val="sr-Cyrl-RS" w:eastAsia="hr-HR"/>
        </w:rPr>
      </w:pPr>
    </w:p>
    <w:p w14:paraId="2ADFC557" w14:textId="42516752" w:rsidR="00EA0FD7" w:rsidRPr="00AE5455" w:rsidRDefault="00EA0FD7" w:rsidP="00EA0FD7">
      <w:pPr>
        <w:spacing w:after="0" w:line="240" w:lineRule="auto"/>
        <w:ind w:left="-540" w:firstLine="540"/>
        <w:jc w:val="both"/>
        <w:rPr>
          <w:rFonts w:ascii="Times New Roman" w:eastAsia="Times New Roman" w:hAnsi="Times New Roman" w:cs="Times New Roman"/>
          <w:b/>
          <w:bCs/>
          <w:spacing w:val="-4"/>
          <w:sz w:val="24"/>
          <w:szCs w:val="24"/>
          <w:lang w:val="sr-Cyrl-RS" w:eastAsia="hr-HR"/>
        </w:rPr>
      </w:pPr>
      <w:r w:rsidRPr="00AE5455">
        <w:rPr>
          <w:rFonts w:ascii="Times New Roman" w:eastAsia="Times New Roman" w:hAnsi="Times New Roman" w:cs="Times New Roman"/>
          <w:b/>
          <w:bCs/>
          <w:spacing w:val="-4"/>
          <w:sz w:val="24"/>
          <w:szCs w:val="24"/>
          <w:lang w:val="sr-Cyrl-RS" w:eastAsia="hr-HR"/>
        </w:rPr>
        <w:t>Бруто и нето плате и пензије у периоду 2015</w:t>
      </w:r>
      <w:r w:rsidR="00AE5455">
        <w:rPr>
          <w:rFonts w:ascii="Times New Roman" w:eastAsia="Times New Roman" w:hAnsi="Times New Roman" w:cs="Times New Roman"/>
          <w:b/>
          <w:bCs/>
          <w:spacing w:val="-4"/>
          <w:sz w:val="24"/>
          <w:szCs w:val="24"/>
          <w:lang w:val="sr-Cyrl-RS" w:eastAsia="hr-HR"/>
        </w:rPr>
        <w:t>–</w:t>
      </w:r>
      <w:r w:rsidRPr="00AE5455">
        <w:rPr>
          <w:rFonts w:ascii="Times New Roman" w:eastAsia="Times New Roman" w:hAnsi="Times New Roman" w:cs="Times New Roman"/>
          <w:b/>
          <w:bCs/>
          <w:spacing w:val="-4"/>
          <w:sz w:val="24"/>
          <w:szCs w:val="24"/>
          <w:lang w:val="sr-Cyrl-RS" w:eastAsia="hr-HR"/>
        </w:rPr>
        <w:t>2021. и њихове процјене 2022</w:t>
      </w:r>
      <w:r w:rsidR="00AE5455">
        <w:rPr>
          <w:rFonts w:ascii="Times New Roman" w:eastAsia="Times New Roman" w:hAnsi="Times New Roman" w:cs="Times New Roman"/>
          <w:b/>
          <w:bCs/>
          <w:spacing w:val="-4"/>
          <w:sz w:val="24"/>
          <w:szCs w:val="24"/>
          <w:lang w:val="sr-Cyrl-RS" w:eastAsia="hr-HR"/>
        </w:rPr>
        <w:t>–</w:t>
      </w:r>
      <w:r w:rsidRPr="00AE5455">
        <w:rPr>
          <w:rFonts w:ascii="Times New Roman" w:eastAsia="Times New Roman" w:hAnsi="Times New Roman" w:cs="Times New Roman"/>
          <w:b/>
          <w:bCs/>
          <w:spacing w:val="-4"/>
          <w:sz w:val="24"/>
          <w:szCs w:val="24"/>
          <w:lang w:val="sr-Cyrl-RS" w:eastAsia="hr-HR"/>
        </w:rPr>
        <w:t>2025. године</w:t>
      </w:r>
    </w:p>
    <w:p w14:paraId="65A276EA" w14:textId="77777777" w:rsidR="00EA0FD7" w:rsidRPr="00AE5455" w:rsidRDefault="00EA0FD7" w:rsidP="00EA0FD7">
      <w:pPr>
        <w:spacing w:after="0" w:line="240" w:lineRule="auto"/>
        <w:ind w:left="-540" w:firstLine="540"/>
        <w:jc w:val="both"/>
        <w:rPr>
          <w:rFonts w:ascii="Times New Roman" w:eastAsia="Times New Roman" w:hAnsi="Times New Roman" w:cs="Times New Roman"/>
          <w:b/>
          <w:bCs/>
          <w:spacing w:val="-4"/>
          <w:sz w:val="24"/>
          <w:szCs w:val="24"/>
          <w:lang w:val="sr-Cyrl-RS" w:eastAsia="hr-HR"/>
        </w:rPr>
      </w:pPr>
    </w:p>
    <w:p w14:paraId="24B8E6D2"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 xml:space="preserve">Веома значајни показатељи макроекономских кретања су просјечне нето и бруто плате и висина пензија. </w:t>
      </w:r>
    </w:p>
    <w:p w14:paraId="647BCAC6"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7C1EE884" w14:textId="77777777" w:rsidR="00EA0FD7" w:rsidRPr="00AE5455" w:rsidRDefault="00EA0FD7" w:rsidP="00EA0FD7">
      <w:pPr>
        <w:spacing w:after="0" w:line="240" w:lineRule="auto"/>
        <w:jc w:val="both"/>
        <w:rPr>
          <w:rFonts w:ascii="Times New Roman" w:eastAsia="Times New Roman" w:hAnsi="Times New Roman" w:cs="Times New Roman"/>
          <w:sz w:val="24"/>
          <w:szCs w:val="24"/>
          <w:lang w:val="sr-Cyrl-RS" w:eastAsia="hr-HR"/>
        </w:rPr>
      </w:pPr>
      <w:r w:rsidRPr="00AE5455">
        <w:rPr>
          <w:rFonts w:ascii="Times New Roman" w:eastAsia="Times New Roman" w:hAnsi="Times New Roman" w:cs="Times New Roman"/>
          <w:bCs/>
          <w:spacing w:val="-4"/>
          <w:sz w:val="24"/>
          <w:szCs w:val="24"/>
          <w:lang w:val="sr-Cyrl-RS" w:eastAsia="hr-HR"/>
        </w:rPr>
        <w:t>Код утврђивања просјечне нето и бруто плате обухваћени су пословни субјекти који своју дјелатност обављају на територији Брчко дистрикта БиХ и дијелови пословних субјеката који дјелатност обављају на територији Брчко дистрикта БиХ, а сједиште основног пословног субјекта је на територији једног од ентитета. Нису обухваћени дијелови пословних субјеката који дјелатност обављају на територији једног од ентитета, а сједиште основног пословног субјекта је на територији Брчко дистрикта БиХ.</w:t>
      </w:r>
    </w:p>
    <w:p w14:paraId="48CB00F2" w14:textId="77777777" w:rsidR="00EA0FD7" w:rsidRPr="00AE5455" w:rsidRDefault="00EA0FD7" w:rsidP="00EA0FD7">
      <w:pPr>
        <w:spacing w:after="0" w:line="240" w:lineRule="auto"/>
        <w:ind w:firstLine="540"/>
        <w:jc w:val="both"/>
        <w:rPr>
          <w:rFonts w:ascii="Times New Roman" w:eastAsia="Times New Roman" w:hAnsi="Times New Roman" w:cs="Times New Roman"/>
          <w:bCs/>
          <w:spacing w:val="-4"/>
          <w:sz w:val="24"/>
          <w:szCs w:val="24"/>
          <w:lang w:val="sr-Cyrl-RS" w:eastAsia="hr-HR"/>
        </w:rPr>
      </w:pPr>
    </w:p>
    <w:p w14:paraId="2EF01A75" w14:textId="785E9EC5"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 xml:space="preserve">Исплаћене нето и бруто плате у одређеном периоду обухватају све исплате без обзира на који период се односе: заостале исплате из ранијих </w:t>
      </w:r>
      <w:r w:rsidR="00AE5455">
        <w:rPr>
          <w:rFonts w:ascii="Times New Roman" w:eastAsia="Times New Roman" w:hAnsi="Times New Roman" w:cs="Times New Roman"/>
          <w:bCs/>
          <w:spacing w:val="-4"/>
          <w:sz w:val="24"/>
          <w:szCs w:val="24"/>
          <w:lang w:val="sr-Cyrl-RS" w:eastAsia="hr-HR"/>
        </w:rPr>
        <w:t>периода</w:t>
      </w:r>
      <w:r w:rsidRPr="00AE5455">
        <w:rPr>
          <w:rFonts w:ascii="Times New Roman" w:eastAsia="Times New Roman" w:hAnsi="Times New Roman" w:cs="Times New Roman"/>
          <w:bCs/>
          <w:spacing w:val="-4"/>
          <w:sz w:val="24"/>
          <w:szCs w:val="24"/>
          <w:lang w:val="sr-Cyrl-RS" w:eastAsia="hr-HR"/>
        </w:rPr>
        <w:t xml:space="preserve">, а исплаћене у току посматраног периода, исплате разлика из ранијих периода, исплате по основу добити по периодичном обрачуну и завршном рачуну без обзира на који се период односе. Исплаћене нето плате обухватају исплате за рад са пуним, са краћим од пуног или дужим од пуног радног времена, исплате за годишњи </w:t>
      </w:r>
      <w:r w:rsidRPr="00AE5455">
        <w:rPr>
          <w:rFonts w:ascii="Times New Roman" w:eastAsia="Times New Roman" w:hAnsi="Times New Roman" w:cs="Times New Roman"/>
          <w:bCs/>
          <w:spacing w:val="-4"/>
          <w:sz w:val="24"/>
          <w:szCs w:val="24"/>
          <w:lang w:val="sr-Cyrl-RS" w:eastAsia="hr-HR"/>
        </w:rPr>
        <w:lastRenderedPageBreak/>
        <w:t xml:space="preserve">одмор, државне празнике, плаћено одсуство за стручно образовање, за боловање на терет послодавца и сл. Нису обухваћене исплате запосленима по основу уговора о дјелу.  </w:t>
      </w:r>
    </w:p>
    <w:p w14:paraId="4C33CC7A" w14:textId="77777777" w:rsidR="00EA0FD7" w:rsidRPr="00AE5455" w:rsidRDefault="00EA0FD7" w:rsidP="00EA0FD7">
      <w:pPr>
        <w:spacing w:after="0" w:line="240" w:lineRule="auto"/>
        <w:ind w:firstLine="540"/>
        <w:jc w:val="both"/>
        <w:rPr>
          <w:rFonts w:ascii="Times New Roman" w:eastAsia="Times New Roman" w:hAnsi="Times New Roman" w:cs="Times New Roman"/>
          <w:bCs/>
          <w:spacing w:val="-4"/>
          <w:sz w:val="24"/>
          <w:szCs w:val="24"/>
          <w:lang w:val="sr-Cyrl-RS" w:eastAsia="hr-HR"/>
        </w:rPr>
      </w:pPr>
    </w:p>
    <w:p w14:paraId="7A383337"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Бруто плата обухвата све нето исплате и сва законом прописана издвајања на терет запослених и послодаваца.</w:t>
      </w:r>
    </w:p>
    <w:p w14:paraId="5911CF72"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1B503C08" w14:textId="1B7BCAAB"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Величине од 2015</w:t>
      </w:r>
      <w:r w:rsidR="00AE5455">
        <w:rPr>
          <w:rFonts w:ascii="Times New Roman" w:eastAsia="Times New Roman" w:hAnsi="Times New Roman" w:cs="Times New Roman"/>
          <w:bCs/>
          <w:spacing w:val="-4"/>
          <w:sz w:val="24"/>
          <w:szCs w:val="24"/>
          <w:lang w:val="sr-Cyrl-RS" w:eastAsia="hr-HR"/>
        </w:rPr>
        <w:t xml:space="preserve">. до </w:t>
      </w:r>
      <w:r w:rsidRPr="00AE5455">
        <w:rPr>
          <w:rFonts w:ascii="Times New Roman" w:eastAsia="Times New Roman" w:hAnsi="Times New Roman" w:cs="Times New Roman"/>
          <w:bCs/>
          <w:spacing w:val="-4"/>
          <w:sz w:val="24"/>
          <w:szCs w:val="24"/>
          <w:lang w:val="sr-Cyrl-RS" w:eastAsia="hr-HR"/>
        </w:rPr>
        <w:t xml:space="preserve">2021. године су преузете од Агенције за статистику БиХ подружница/експозитура Брчко, а величине у 2022, 2023, 2024. и 2025.  години су пројектоване на основу стопа утврђених од стране ДЕП-а. </w:t>
      </w:r>
    </w:p>
    <w:p w14:paraId="701BBCCB" w14:textId="77777777" w:rsidR="00EA0FD7" w:rsidRPr="00AE5455" w:rsidRDefault="00EA0FD7"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7326B94B" w14:textId="77777777" w:rsidR="00EA0FD7" w:rsidRPr="00AE5455" w:rsidRDefault="00EA0FD7" w:rsidP="00EA0FD7">
      <w:pPr>
        <w:spacing w:after="0" w:line="240" w:lineRule="auto"/>
        <w:ind w:left="-540" w:firstLine="540"/>
        <w:rPr>
          <w:rFonts w:ascii="Times New Roman" w:eastAsia="Times New Roman" w:hAnsi="Times New Roman" w:cs="Times New Roman"/>
          <w:spacing w:val="-4"/>
          <w:sz w:val="24"/>
          <w:szCs w:val="24"/>
          <w:lang w:val="sr-Cyrl-RS" w:eastAsia="hr-HR"/>
        </w:rPr>
      </w:pPr>
    </w:p>
    <w:p w14:paraId="2F9F74B3" w14:textId="77777777" w:rsidR="00EA0FD7" w:rsidRPr="00AE5455" w:rsidRDefault="00EA0FD7" w:rsidP="00EA0FD7">
      <w:pPr>
        <w:spacing w:after="0" w:line="240" w:lineRule="auto"/>
        <w:ind w:left="-540" w:firstLine="540"/>
        <w:rPr>
          <w:rFonts w:ascii="Times New Roman" w:eastAsia="Times New Roman" w:hAnsi="Times New Roman" w:cs="Times New Roman"/>
          <w:spacing w:val="-4"/>
          <w:sz w:val="24"/>
          <w:szCs w:val="24"/>
          <w:lang w:val="sr-Cyrl-RS" w:eastAsia="hr-HR"/>
        </w:rPr>
      </w:pPr>
    </w:p>
    <w:p w14:paraId="134CB3A6" w14:textId="77777777" w:rsidR="00EA0FD7" w:rsidRPr="00AE5455" w:rsidRDefault="00EA0FD7" w:rsidP="00EA0FD7">
      <w:pPr>
        <w:spacing w:after="0" w:line="240" w:lineRule="auto"/>
        <w:ind w:left="-540" w:firstLine="540"/>
        <w:rPr>
          <w:rFonts w:ascii="Times New Roman" w:eastAsia="Times New Roman" w:hAnsi="Times New Roman" w:cs="Times New Roman"/>
          <w:spacing w:val="-4"/>
          <w:sz w:val="24"/>
          <w:szCs w:val="24"/>
          <w:lang w:val="sr-Cyrl-RS" w:eastAsia="hr-HR"/>
        </w:rPr>
      </w:pPr>
      <w:r w:rsidRPr="00AE5455">
        <w:rPr>
          <w:rFonts w:ascii="Times New Roman" w:eastAsia="Times New Roman" w:hAnsi="Times New Roman" w:cs="Times New Roman"/>
          <w:b/>
          <w:spacing w:val="-4"/>
          <w:sz w:val="24"/>
          <w:szCs w:val="24"/>
          <w:lang w:val="sr-Cyrl-RS" w:eastAsia="hr-HR"/>
        </w:rPr>
        <w:t xml:space="preserve">            Табела 2. 3:</w:t>
      </w:r>
      <w:r w:rsidRPr="00AE5455">
        <w:rPr>
          <w:rFonts w:ascii="Times New Roman" w:eastAsia="Times New Roman" w:hAnsi="Times New Roman" w:cs="Times New Roman"/>
          <w:spacing w:val="-4"/>
          <w:sz w:val="24"/>
          <w:szCs w:val="24"/>
          <w:lang w:val="sr-Cyrl-RS" w:eastAsia="hr-HR"/>
        </w:rPr>
        <w:t xml:space="preserve">  Просјечне нето, бруто плате и просјечне пензије у Брчко дистрикту БиХ</w:t>
      </w:r>
    </w:p>
    <w:tbl>
      <w:tblPr>
        <w:tblW w:w="8205" w:type="dxa"/>
        <w:tblInd w:w="718" w:type="dxa"/>
        <w:tblLayout w:type="fixed"/>
        <w:tblLook w:val="01E0" w:firstRow="1" w:lastRow="1" w:firstColumn="1" w:lastColumn="1" w:noHBand="0" w:noVBand="0"/>
      </w:tblPr>
      <w:tblGrid>
        <w:gridCol w:w="2253"/>
        <w:gridCol w:w="1994"/>
        <w:gridCol w:w="2159"/>
        <w:gridCol w:w="1799"/>
      </w:tblGrid>
      <w:tr w:rsidR="00EA0FD7" w:rsidRPr="00EA0FD7" w14:paraId="68F29C59" w14:textId="77777777" w:rsidTr="00EA0FD7">
        <w:trPr>
          <w:trHeight w:val="535"/>
        </w:trPr>
        <w:tc>
          <w:tcPr>
            <w:tcW w:w="2253" w:type="dxa"/>
            <w:tcBorders>
              <w:top w:val="single" w:sz="12" w:space="0" w:color="auto"/>
              <w:left w:val="single" w:sz="12" w:space="0" w:color="auto"/>
              <w:bottom w:val="single" w:sz="12" w:space="0" w:color="auto"/>
              <w:right w:val="single" w:sz="12" w:space="0" w:color="auto"/>
            </w:tcBorders>
            <w:shd w:val="clear" w:color="auto" w:fill="5B9BD5"/>
            <w:vAlign w:val="center"/>
          </w:tcPr>
          <w:p w14:paraId="009498C3" w14:textId="77777777" w:rsidR="00EA0FD7" w:rsidRPr="00EA0FD7" w:rsidRDefault="00EA0FD7" w:rsidP="00EA0FD7">
            <w:pPr>
              <w:spacing w:after="0" w:line="240" w:lineRule="auto"/>
              <w:jc w:val="center"/>
              <w:rPr>
                <w:rFonts w:ascii="Times New Roman" w:eastAsia="Times New Roman" w:hAnsi="Times New Roman" w:cs="Times New Roman"/>
                <w:b/>
                <w:color w:val="FFFFFF"/>
                <w:sz w:val="20"/>
                <w:szCs w:val="20"/>
                <w:lang w:val="sr-Cyrl-RS" w:eastAsia="hr-HR"/>
              </w:rPr>
            </w:pPr>
          </w:p>
          <w:p w14:paraId="5FB51FD1" w14:textId="77777777" w:rsidR="00EA0FD7" w:rsidRPr="00EA0FD7" w:rsidRDefault="00EA0FD7" w:rsidP="00EA0FD7">
            <w:pPr>
              <w:spacing w:after="0" w:line="240" w:lineRule="auto"/>
              <w:jc w:val="center"/>
              <w:rPr>
                <w:rFonts w:ascii="Times New Roman" w:eastAsia="Times New Roman" w:hAnsi="Times New Roman" w:cs="Times New Roman"/>
                <w:b/>
                <w:color w:val="FFFFFF"/>
                <w:spacing w:val="-4"/>
                <w:sz w:val="20"/>
                <w:szCs w:val="20"/>
                <w:lang w:val="sr-Cyrl-RS" w:eastAsia="hr-HR"/>
              </w:rPr>
            </w:pPr>
            <w:r w:rsidRPr="00EA0FD7">
              <w:rPr>
                <w:rFonts w:ascii="Times New Roman" w:eastAsia="Times New Roman" w:hAnsi="Times New Roman" w:cs="Times New Roman"/>
                <w:b/>
                <w:color w:val="FFFFFF"/>
                <w:spacing w:val="-4"/>
                <w:sz w:val="20"/>
                <w:szCs w:val="20"/>
                <w:lang w:val="sr-Cyrl-RS" w:eastAsia="hr-HR"/>
              </w:rPr>
              <w:t>ПЕРИОД</w:t>
            </w:r>
          </w:p>
        </w:tc>
        <w:tc>
          <w:tcPr>
            <w:tcW w:w="1995" w:type="dxa"/>
            <w:tcBorders>
              <w:top w:val="single" w:sz="12" w:space="0" w:color="auto"/>
              <w:left w:val="single" w:sz="12" w:space="0" w:color="auto"/>
              <w:bottom w:val="single" w:sz="12" w:space="0" w:color="auto"/>
              <w:right w:val="single" w:sz="12" w:space="0" w:color="auto"/>
            </w:tcBorders>
            <w:shd w:val="clear" w:color="auto" w:fill="5B9BD5"/>
            <w:vAlign w:val="center"/>
            <w:hideMark/>
          </w:tcPr>
          <w:p w14:paraId="429290DC" w14:textId="77777777" w:rsidR="00EA0FD7" w:rsidRPr="00EA0FD7" w:rsidRDefault="00EA0FD7" w:rsidP="00EA0FD7">
            <w:pPr>
              <w:spacing w:after="0" w:line="240" w:lineRule="auto"/>
              <w:jc w:val="center"/>
              <w:rPr>
                <w:rFonts w:ascii="Times New Roman" w:eastAsia="Times New Roman" w:hAnsi="Times New Roman" w:cs="Times New Roman"/>
                <w:b/>
                <w:color w:val="FFFFFF"/>
                <w:spacing w:val="-4"/>
                <w:sz w:val="20"/>
                <w:szCs w:val="20"/>
                <w:lang w:val="sr-Cyrl-RS" w:eastAsia="hr-HR"/>
              </w:rPr>
            </w:pPr>
            <w:r w:rsidRPr="00EA0FD7">
              <w:rPr>
                <w:rFonts w:ascii="Times New Roman" w:eastAsia="Times New Roman" w:hAnsi="Times New Roman" w:cs="Times New Roman"/>
                <w:b/>
                <w:color w:val="FFFFFF"/>
                <w:spacing w:val="-4"/>
                <w:sz w:val="20"/>
                <w:szCs w:val="20"/>
                <w:lang w:val="sr-Cyrl-RS" w:eastAsia="hr-HR"/>
              </w:rPr>
              <w:t>ПРОСЈЕЧНА      НЕТО ПЛАТА</w:t>
            </w:r>
          </w:p>
          <w:p w14:paraId="0BCC1780" w14:textId="77777777" w:rsidR="00EA0FD7" w:rsidRPr="00EA0FD7" w:rsidRDefault="00EA0FD7" w:rsidP="00EA0FD7">
            <w:pPr>
              <w:spacing w:after="0" w:line="240" w:lineRule="auto"/>
              <w:jc w:val="center"/>
              <w:rPr>
                <w:rFonts w:ascii="Times New Roman" w:eastAsia="Times New Roman" w:hAnsi="Times New Roman" w:cs="Times New Roman"/>
                <w:b/>
                <w:color w:val="FFFFFF"/>
                <w:spacing w:val="-4"/>
                <w:sz w:val="20"/>
                <w:szCs w:val="20"/>
                <w:lang w:val="sr-Cyrl-RS" w:eastAsia="hr-HR"/>
              </w:rPr>
            </w:pPr>
            <w:r w:rsidRPr="00EA0FD7">
              <w:rPr>
                <w:rFonts w:ascii="Times New Roman" w:eastAsia="Times New Roman" w:hAnsi="Times New Roman" w:cs="Times New Roman"/>
                <w:b/>
                <w:color w:val="FFFFFF"/>
                <w:spacing w:val="-4"/>
                <w:sz w:val="20"/>
                <w:szCs w:val="20"/>
                <w:lang w:val="sr-Cyrl-RS" w:eastAsia="hr-HR"/>
              </w:rPr>
              <w:t>(у КМ)</w:t>
            </w:r>
          </w:p>
        </w:tc>
        <w:tc>
          <w:tcPr>
            <w:tcW w:w="2160" w:type="dxa"/>
            <w:tcBorders>
              <w:top w:val="single" w:sz="12" w:space="0" w:color="auto"/>
              <w:left w:val="single" w:sz="12" w:space="0" w:color="auto"/>
              <w:bottom w:val="single" w:sz="12" w:space="0" w:color="auto"/>
              <w:right w:val="single" w:sz="12" w:space="0" w:color="auto"/>
            </w:tcBorders>
            <w:shd w:val="clear" w:color="auto" w:fill="5B9BD5"/>
            <w:vAlign w:val="center"/>
            <w:hideMark/>
          </w:tcPr>
          <w:p w14:paraId="2FAE393B" w14:textId="77777777" w:rsidR="00EA0FD7" w:rsidRPr="00EA0FD7" w:rsidRDefault="00EA0FD7" w:rsidP="00EA0FD7">
            <w:pPr>
              <w:spacing w:after="0" w:line="240" w:lineRule="auto"/>
              <w:jc w:val="center"/>
              <w:rPr>
                <w:rFonts w:ascii="Times New Roman" w:eastAsia="Times New Roman" w:hAnsi="Times New Roman" w:cs="Times New Roman"/>
                <w:b/>
                <w:color w:val="FFFFFF"/>
                <w:spacing w:val="-4"/>
                <w:sz w:val="20"/>
                <w:szCs w:val="20"/>
                <w:lang w:val="sr-Cyrl-RS" w:eastAsia="hr-HR"/>
              </w:rPr>
            </w:pPr>
            <w:r w:rsidRPr="00EA0FD7">
              <w:rPr>
                <w:rFonts w:ascii="Times New Roman" w:eastAsia="Times New Roman" w:hAnsi="Times New Roman" w:cs="Times New Roman"/>
                <w:b/>
                <w:color w:val="FFFFFF"/>
                <w:spacing w:val="-4"/>
                <w:sz w:val="20"/>
                <w:szCs w:val="20"/>
                <w:lang w:val="sr-Cyrl-RS" w:eastAsia="hr-HR"/>
              </w:rPr>
              <w:t>ПРОСЈЕЧНА БРУТО ПЛАТА</w:t>
            </w:r>
          </w:p>
          <w:p w14:paraId="49D65AF5" w14:textId="77777777" w:rsidR="00EA0FD7" w:rsidRPr="00EA0FD7" w:rsidRDefault="00EA0FD7" w:rsidP="00EA0FD7">
            <w:pPr>
              <w:spacing w:after="0" w:line="240" w:lineRule="auto"/>
              <w:jc w:val="center"/>
              <w:rPr>
                <w:rFonts w:ascii="Times New Roman" w:eastAsia="Times New Roman" w:hAnsi="Times New Roman" w:cs="Times New Roman"/>
                <w:b/>
                <w:color w:val="FFFFFF"/>
                <w:spacing w:val="-4"/>
                <w:sz w:val="20"/>
                <w:szCs w:val="20"/>
                <w:lang w:val="sr-Cyrl-RS" w:eastAsia="hr-HR"/>
              </w:rPr>
            </w:pPr>
            <w:r w:rsidRPr="00EA0FD7">
              <w:rPr>
                <w:rFonts w:ascii="Times New Roman" w:eastAsia="Times New Roman" w:hAnsi="Times New Roman" w:cs="Times New Roman"/>
                <w:b/>
                <w:color w:val="FFFFFF"/>
                <w:spacing w:val="-4"/>
                <w:sz w:val="20"/>
                <w:szCs w:val="20"/>
                <w:lang w:val="sr-Cyrl-RS" w:eastAsia="hr-HR"/>
              </w:rPr>
              <w:t>(у КМ)</w:t>
            </w:r>
          </w:p>
        </w:tc>
        <w:tc>
          <w:tcPr>
            <w:tcW w:w="1800" w:type="dxa"/>
            <w:tcBorders>
              <w:top w:val="single" w:sz="12" w:space="0" w:color="auto"/>
              <w:left w:val="single" w:sz="12" w:space="0" w:color="auto"/>
              <w:bottom w:val="single" w:sz="12" w:space="0" w:color="auto"/>
              <w:right w:val="single" w:sz="12" w:space="0" w:color="auto"/>
            </w:tcBorders>
            <w:shd w:val="clear" w:color="auto" w:fill="5B9BD5"/>
            <w:vAlign w:val="center"/>
            <w:hideMark/>
          </w:tcPr>
          <w:p w14:paraId="3F6C50A1" w14:textId="77777777" w:rsidR="00EA0FD7" w:rsidRPr="00EA0FD7" w:rsidRDefault="00EA0FD7" w:rsidP="00EA0FD7">
            <w:pPr>
              <w:spacing w:after="0" w:line="240" w:lineRule="auto"/>
              <w:jc w:val="center"/>
              <w:rPr>
                <w:rFonts w:ascii="Times New Roman" w:eastAsia="Times New Roman" w:hAnsi="Times New Roman" w:cs="Times New Roman"/>
                <w:b/>
                <w:color w:val="FFFFFF"/>
                <w:spacing w:val="-4"/>
                <w:sz w:val="20"/>
                <w:szCs w:val="20"/>
                <w:lang w:val="sr-Cyrl-RS" w:eastAsia="hr-HR"/>
              </w:rPr>
            </w:pPr>
            <w:r w:rsidRPr="00EA0FD7">
              <w:rPr>
                <w:rFonts w:ascii="Times New Roman" w:eastAsia="Times New Roman" w:hAnsi="Times New Roman" w:cs="Times New Roman"/>
                <w:b/>
                <w:color w:val="FFFFFF"/>
                <w:spacing w:val="-4"/>
                <w:sz w:val="20"/>
                <w:szCs w:val="20"/>
                <w:lang w:val="sr-Cyrl-RS" w:eastAsia="hr-HR"/>
              </w:rPr>
              <w:t>ПРОСЈЕЧНА   ПЕНЗИЈА</w:t>
            </w:r>
          </w:p>
          <w:p w14:paraId="395E1258" w14:textId="77777777" w:rsidR="00EA0FD7" w:rsidRPr="00EA0FD7" w:rsidRDefault="00EA0FD7" w:rsidP="00EA0FD7">
            <w:pPr>
              <w:spacing w:after="0" w:line="240" w:lineRule="auto"/>
              <w:jc w:val="center"/>
              <w:rPr>
                <w:rFonts w:ascii="Times New Roman" w:eastAsia="Times New Roman" w:hAnsi="Times New Roman" w:cs="Times New Roman"/>
                <w:b/>
                <w:color w:val="FFFFFF"/>
                <w:spacing w:val="-4"/>
                <w:sz w:val="20"/>
                <w:szCs w:val="20"/>
                <w:lang w:val="sr-Cyrl-RS" w:eastAsia="hr-HR"/>
              </w:rPr>
            </w:pPr>
            <w:r w:rsidRPr="00EA0FD7">
              <w:rPr>
                <w:rFonts w:ascii="Times New Roman" w:eastAsia="Times New Roman" w:hAnsi="Times New Roman" w:cs="Times New Roman"/>
                <w:b/>
                <w:color w:val="FFFFFF"/>
                <w:spacing w:val="-4"/>
                <w:sz w:val="20"/>
                <w:szCs w:val="20"/>
                <w:lang w:val="sr-Cyrl-RS" w:eastAsia="hr-HR"/>
              </w:rPr>
              <w:t>(у КМ)</w:t>
            </w:r>
          </w:p>
        </w:tc>
      </w:tr>
      <w:tr w:rsidR="00EA0FD7" w:rsidRPr="00EA0FD7" w14:paraId="6DB69AF9" w14:textId="77777777" w:rsidTr="00EA0FD7">
        <w:trPr>
          <w:trHeight w:val="283"/>
        </w:trPr>
        <w:tc>
          <w:tcPr>
            <w:tcW w:w="2253"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3E64EF21" w14:textId="77777777" w:rsidR="00EA0FD7" w:rsidRPr="00EA0FD7" w:rsidRDefault="00EA0FD7" w:rsidP="00EA0FD7">
            <w:pPr>
              <w:spacing w:after="0" w:line="240" w:lineRule="auto"/>
              <w:ind w:left="-540" w:firstLine="540"/>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*2015. година</w:t>
            </w:r>
          </w:p>
        </w:tc>
        <w:tc>
          <w:tcPr>
            <w:tcW w:w="1995"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413694F0"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820,52</w:t>
            </w:r>
          </w:p>
        </w:tc>
        <w:tc>
          <w:tcPr>
            <w:tcW w:w="2160"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65FC8DC2"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1.275,27</w:t>
            </w:r>
          </w:p>
        </w:tc>
        <w:tc>
          <w:tcPr>
            <w:tcW w:w="1800"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24D72BC3"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326,60</w:t>
            </w:r>
          </w:p>
        </w:tc>
      </w:tr>
      <w:tr w:rsidR="00EA0FD7" w:rsidRPr="00EA0FD7" w14:paraId="5E815AA4" w14:textId="77777777" w:rsidTr="00EA0FD7">
        <w:trPr>
          <w:trHeight w:val="283"/>
        </w:trPr>
        <w:tc>
          <w:tcPr>
            <w:tcW w:w="2253" w:type="dxa"/>
            <w:tcBorders>
              <w:top w:val="single" w:sz="12" w:space="0" w:color="auto"/>
              <w:left w:val="single" w:sz="12" w:space="0" w:color="auto"/>
              <w:bottom w:val="single" w:sz="12" w:space="0" w:color="auto"/>
              <w:right w:val="single" w:sz="12" w:space="0" w:color="auto"/>
            </w:tcBorders>
            <w:vAlign w:val="center"/>
            <w:hideMark/>
          </w:tcPr>
          <w:p w14:paraId="11643912" w14:textId="77777777" w:rsidR="00EA0FD7" w:rsidRPr="00EA0FD7" w:rsidRDefault="00EA0FD7" w:rsidP="00EA0FD7">
            <w:pPr>
              <w:spacing w:after="0" w:line="240" w:lineRule="auto"/>
              <w:ind w:left="-540" w:firstLine="540"/>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*2016. година</w:t>
            </w:r>
          </w:p>
        </w:tc>
        <w:tc>
          <w:tcPr>
            <w:tcW w:w="1995" w:type="dxa"/>
            <w:tcBorders>
              <w:top w:val="single" w:sz="12" w:space="0" w:color="auto"/>
              <w:left w:val="single" w:sz="12" w:space="0" w:color="auto"/>
              <w:bottom w:val="single" w:sz="12" w:space="0" w:color="auto"/>
              <w:right w:val="single" w:sz="12" w:space="0" w:color="auto"/>
            </w:tcBorders>
            <w:vAlign w:val="center"/>
            <w:hideMark/>
          </w:tcPr>
          <w:p w14:paraId="4CEE2FB2"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829,70</w:t>
            </w:r>
          </w:p>
        </w:tc>
        <w:tc>
          <w:tcPr>
            <w:tcW w:w="2160" w:type="dxa"/>
            <w:tcBorders>
              <w:top w:val="single" w:sz="12" w:space="0" w:color="auto"/>
              <w:left w:val="single" w:sz="12" w:space="0" w:color="auto"/>
              <w:bottom w:val="single" w:sz="12" w:space="0" w:color="auto"/>
              <w:right w:val="single" w:sz="12" w:space="0" w:color="auto"/>
            </w:tcBorders>
            <w:vAlign w:val="center"/>
            <w:hideMark/>
          </w:tcPr>
          <w:p w14:paraId="68A8966E"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1.289,87</w:t>
            </w:r>
          </w:p>
        </w:tc>
        <w:tc>
          <w:tcPr>
            <w:tcW w:w="1800" w:type="dxa"/>
            <w:tcBorders>
              <w:top w:val="single" w:sz="12" w:space="0" w:color="auto"/>
              <w:left w:val="single" w:sz="12" w:space="0" w:color="auto"/>
              <w:bottom w:val="single" w:sz="12" w:space="0" w:color="auto"/>
              <w:right w:val="single" w:sz="12" w:space="0" w:color="auto"/>
            </w:tcBorders>
            <w:vAlign w:val="center"/>
            <w:hideMark/>
          </w:tcPr>
          <w:p w14:paraId="269FE0D7"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326,26</w:t>
            </w:r>
          </w:p>
        </w:tc>
      </w:tr>
      <w:tr w:rsidR="00EA0FD7" w:rsidRPr="00EA0FD7" w14:paraId="5B20E224" w14:textId="77777777" w:rsidTr="00EA0FD7">
        <w:trPr>
          <w:trHeight w:val="283"/>
        </w:trPr>
        <w:tc>
          <w:tcPr>
            <w:tcW w:w="2253"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237F2ACF" w14:textId="77777777" w:rsidR="00EA0FD7" w:rsidRPr="00EA0FD7" w:rsidRDefault="00EA0FD7" w:rsidP="00EA0FD7">
            <w:pPr>
              <w:spacing w:after="0" w:line="240" w:lineRule="auto"/>
              <w:ind w:left="-540" w:firstLine="540"/>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*2017. година</w:t>
            </w:r>
          </w:p>
        </w:tc>
        <w:tc>
          <w:tcPr>
            <w:tcW w:w="1995"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609A09E2"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838,45</w:t>
            </w:r>
          </w:p>
        </w:tc>
        <w:tc>
          <w:tcPr>
            <w:tcW w:w="2160"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107A1645"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1.304,40</w:t>
            </w:r>
          </w:p>
        </w:tc>
        <w:tc>
          <w:tcPr>
            <w:tcW w:w="1800"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36B50F83"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325,96</w:t>
            </w:r>
          </w:p>
        </w:tc>
      </w:tr>
      <w:tr w:rsidR="00EA0FD7" w:rsidRPr="00EA0FD7" w14:paraId="05329C30" w14:textId="77777777" w:rsidTr="00EA0FD7">
        <w:trPr>
          <w:trHeight w:val="283"/>
        </w:trPr>
        <w:tc>
          <w:tcPr>
            <w:tcW w:w="2253" w:type="dxa"/>
            <w:tcBorders>
              <w:top w:val="single" w:sz="12" w:space="0" w:color="auto"/>
              <w:left w:val="single" w:sz="12" w:space="0" w:color="auto"/>
              <w:bottom w:val="single" w:sz="12" w:space="0" w:color="auto"/>
              <w:right w:val="single" w:sz="12" w:space="0" w:color="auto"/>
            </w:tcBorders>
            <w:vAlign w:val="center"/>
            <w:hideMark/>
          </w:tcPr>
          <w:p w14:paraId="179058D8" w14:textId="77777777" w:rsidR="00EA0FD7" w:rsidRPr="00EA0FD7" w:rsidRDefault="00EA0FD7" w:rsidP="00EA0FD7">
            <w:pPr>
              <w:spacing w:after="0" w:line="240" w:lineRule="auto"/>
              <w:ind w:left="-540" w:firstLine="540"/>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2018. година</w:t>
            </w:r>
          </w:p>
        </w:tc>
        <w:tc>
          <w:tcPr>
            <w:tcW w:w="1995" w:type="dxa"/>
            <w:tcBorders>
              <w:top w:val="single" w:sz="12" w:space="0" w:color="auto"/>
              <w:left w:val="single" w:sz="12" w:space="0" w:color="auto"/>
              <w:bottom w:val="single" w:sz="12" w:space="0" w:color="auto"/>
              <w:right w:val="single" w:sz="12" w:space="0" w:color="auto"/>
            </w:tcBorders>
            <w:vAlign w:val="center"/>
            <w:hideMark/>
          </w:tcPr>
          <w:p w14:paraId="17AD212D"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872,35</w:t>
            </w:r>
          </w:p>
        </w:tc>
        <w:tc>
          <w:tcPr>
            <w:tcW w:w="2160" w:type="dxa"/>
            <w:tcBorders>
              <w:top w:val="single" w:sz="12" w:space="0" w:color="auto"/>
              <w:left w:val="single" w:sz="12" w:space="0" w:color="auto"/>
              <w:bottom w:val="single" w:sz="12" w:space="0" w:color="auto"/>
              <w:right w:val="single" w:sz="12" w:space="0" w:color="auto"/>
            </w:tcBorders>
            <w:vAlign w:val="center"/>
            <w:hideMark/>
          </w:tcPr>
          <w:p w14:paraId="67DE727E"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1.363,43</w:t>
            </w:r>
          </w:p>
        </w:tc>
        <w:tc>
          <w:tcPr>
            <w:tcW w:w="1800" w:type="dxa"/>
            <w:tcBorders>
              <w:top w:val="single" w:sz="12" w:space="0" w:color="auto"/>
              <w:left w:val="single" w:sz="12" w:space="0" w:color="auto"/>
              <w:bottom w:val="single" w:sz="12" w:space="0" w:color="auto"/>
              <w:right w:val="single" w:sz="12" w:space="0" w:color="auto"/>
            </w:tcBorders>
            <w:vAlign w:val="center"/>
            <w:hideMark/>
          </w:tcPr>
          <w:p w14:paraId="5BDB3FFC"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342,07</w:t>
            </w:r>
          </w:p>
        </w:tc>
      </w:tr>
      <w:tr w:rsidR="00EA0FD7" w:rsidRPr="00EA0FD7" w14:paraId="179A472A" w14:textId="77777777" w:rsidTr="00EA0FD7">
        <w:trPr>
          <w:trHeight w:val="283"/>
        </w:trPr>
        <w:tc>
          <w:tcPr>
            <w:tcW w:w="2253"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019E97A9" w14:textId="77777777" w:rsidR="00EA0FD7" w:rsidRPr="00EA0FD7" w:rsidRDefault="00EA0FD7" w:rsidP="00EA0FD7">
            <w:pPr>
              <w:spacing w:after="0" w:line="240" w:lineRule="auto"/>
              <w:ind w:left="-540" w:firstLine="540"/>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2019. година</w:t>
            </w:r>
          </w:p>
        </w:tc>
        <w:tc>
          <w:tcPr>
            <w:tcW w:w="1995"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3C2CE70A"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914,87</w:t>
            </w:r>
          </w:p>
        </w:tc>
        <w:tc>
          <w:tcPr>
            <w:tcW w:w="2160"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21A850C3"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1.431,97</w:t>
            </w:r>
          </w:p>
        </w:tc>
        <w:tc>
          <w:tcPr>
            <w:tcW w:w="1800"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512F1DE2"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358,31</w:t>
            </w:r>
          </w:p>
        </w:tc>
      </w:tr>
      <w:tr w:rsidR="00EA0FD7" w:rsidRPr="00EA0FD7" w14:paraId="4CD0C15A" w14:textId="77777777" w:rsidTr="00EA0FD7">
        <w:trPr>
          <w:trHeight w:val="283"/>
        </w:trPr>
        <w:tc>
          <w:tcPr>
            <w:tcW w:w="2253" w:type="dxa"/>
            <w:tcBorders>
              <w:top w:val="single" w:sz="12" w:space="0" w:color="auto"/>
              <w:left w:val="single" w:sz="12" w:space="0" w:color="auto"/>
              <w:bottom w:val="single" w:sz="12" w:space="0" w:color="auto"/>
              <w:right w:val="single" w:sz="12" w:space="0" w:color="auto"/>
            </w:tcBorders>
            <w:vAlign w:val="center"/>
            <w:hideMark/>
          </w:tcPr>
          <w:p w14:paraId="14A8C47E" w14:textId="77777777" w:rsidR="00EA0FD7" w:rsidRPr="00EA0FD7" w:rsidRDefault="00EA0FD7" w:rsidP="00EA0FD7">
            <w:pPr>
              <w:spacing w:after="0" w:line="240" w:lineRule="auto"/>
              <w:ind w:left="-540" w:firstLine="540"/>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bCs/>
                <w:spacing w:val="-4"/>
                <w:sz w:val="20"/>
                <w:szCs w:val="20"/>
                <w:lang w:val="sr-Cyrl-RS" w:eastAsia="hr-HR"/>
              </w:rPr>
              <w:t>* 2020. година</w:t>
            </w:r>
          </w:p>
        </w:tc>
        <w:tc>
          <w:tcPr>
            <w:tcW w:w="1995" w:type="dxa"/>
            <w:tcBorders>
              <w:top w:val="single" w:sz="12" w:space="0" w:color="auto"/>
              <w:left w:val="single" w:sz="12" w:space="0" w:color="auto"/>
              <w:bottom w:val="single" w:sz="12" w:space="0" w:color="auto"/>
              <w:right w:val="single" w:sz="12" w:space="0" w:color="auto"/>
            </w:tcBorders>
            <w:vAlign w:val="center"/>
            <w:hideMark/>
          </w:tcPr>
          <w:p w14:paraId="2986CC06" w14:textId="77777777" w:rsidR="00EA0FD7" w:rsidRPr="00EA0FD7" w:rsidRDefault="00EA0FD7" w:rsidP="00EA0FD7">
            <w:pPr>
              <w:spacing w:after="0" w:line="240" w:lineRule="auto"/>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948,04</w:t>
            </w:r>
          </w:p>
        </w:tc>
        <w:tc>
          <w:tcPr>
            <w:tcW w:w="2160" w:type="dxa"/>
            <w:tcBorders>
              <w:top w:val="single" w:sz="12" w:space="0" w:color="auto"/>
              <w:left w:val="single" w:sz="12" w:space="0" w:color="auto"/>
              <w:bottom w:val="single" w:sz="12" w:space="0" w:color="auto"/>
              <w:right w:val="single" w:sz="12" w:space="0" w:color="auto"/>
            </w:tcBorders>
            <w:vAlign w:val="center"/>
            <w:hideMark/>
          </w:tcPr>
          <w:p w14:paraId="334DC923" w14:textId="77777777" w:rsidR="00EA0FD7" w:rsidRPr="00EA0FD7" w:rsidRDefault="00EA0FD7" w:rsidP="00EA0FD7">
            <w:pPr>
              <w:spacing w:after="0" w:line="240" w:lineRule="auto"/>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1.476,80</w:t>
            </w:r>
          </w:p>
        </w:tc>
        <w:tc>
          <w:tcPr>
            <w:tcW w:w="1800" w:type="dxa"/>
            <w:tcBorders>
              <w:top w:val="single" w:sz="12" w:space="0" w:color="auto"/>
              <w:left w:val="single" w:sz="12" w:space="0" w:color="auto"/>
              <w:bottom w:val="single" w:sz="12" w:space="0" w:color="auto"/>
              <w:right w:val="single" w:sz="12" w:space="0" w:color="auto"/>
            </w:tcBorders>
            <w:vAlign w:val="center"/>
            <w:hideMark/>
          </w:tcPr>
          <w:p w14:paraId="4A2A1E14" w14:textId="77777777" w:rsidR="00EA0FD7" w:rsidRPr="00EA0FD7" w:rsidRDefault="00EA0FD7" w:rsidP="00EA0FD7">
            <w:pPr>
              <w:spacing w:after="0" w:line="240" w:lineRule="auto"/>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367,49</w:t>
            </w:r>
          </w:p>
        </w:tc>
      </w:tr>
      <w:tr w:rsidR="00EA0FD7" w:rsidRPr="00EA0FD7" w14:paraId="7090F615" w14:textId="77777777" w:rsidTr="00EA0FD7">
        <w:trPr>
          <w:trHeight w:val="283"/>
        </w:trPr>
        <w:tc>
          <w:tcPr>
            <w:tcW w:w="2253"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7F967C99" w14:textId="77777777" w:rsidR="00EA0FD7" w:rsidRPr="00EA0FD7" w:rsidRDefault="00EA0FD7" w:rsidP="00EA0FD7">
            <w:pPr>
              <w:spacing w:after="0" w:line="240" w:lineRule="auto"/>
              <w:ind w:left="-540" w:firstLine="540"/>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*2021. година</w:t>
            </w:r>
          </w:p>
        </w:tc>
        <w:tc>
          <w:tcPr>
            <w:tcW w:w="1995"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4B36F0CB" w14:textId="77777777" w:rsidR="00EA0FD7" w:rsidRPr="00EA0FD7" w:rsidRDefault="00EA0FD7" w:rsidP="00EA0FD7">
            <w:pPr>
              <w:spacing w:after="0" w:line="240" w:lineRule="auto"/>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961,23</w:t>
            </w:r>
          </w:p>
        </w:tc>
        <w:tc>
          <w:tcPr>
            <w:tcW w:w="2160"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15C0754A" w14:textId="77777777" w:rsidR="00EA0FD7" w:rsidRPr="00EA0FD7" w:rsidRDefault="00EA0FD7" w:rsidP="00EA0FD7">
            <w:pPr>
              <w:spacing w:after="0" w:line="240" w:lineRule="auto"/>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1.489,44</w:t>
            </w:r>
          </w:p>
        </w:tc>
        <w:tc>
          <w:tcPr>
            <w:tcW w:w="1800"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13604DAF" w14:textId="77777777" w:rsidR="00EA0FD7" w:rsidRPr="00EA0FD7" w:rsidRDefault="00EA0FD7" w:rsidP="00EA0FD7">
            <w:pPr>
              <w:spacing w:after="0" w:line="240" w:lineRule="auto"/>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374,64</w:t>
            </w:r>
          </w:p>
        </w:tc>
      </w:tr>
      <w:tr w:rsidR="00EA0FD7" w:rsidRPr="00EA0FD7" w14:paraId="2BC46905" w14:textId="77777777" w:rsidTr="00EA0FD7">
        <w:trPr>
          <w:trHeight w:val="283"/>
        </w:trPr>
        <w:tc>
          <w:tcPr>
            <w:tcW w:w="2253" w:type="dxa"/>
            <w:tcBorders>
              <w:top w:val="single" w:sz="12" w:space="0" w:color="auto"/>
              <w:left w:val="single" w:sz="12" w:space="0" w:color="auto"/>
              <w:bottom w:val="single" w:sz="12" w:space="0" w:color="auto"/>
              <w:right w:val="single" w:sz="12" w:space="0" w:color="auto"/>
            </w:tcBorders>
            <w:vAlign w:val="center"/>
            <w:hideMark/>
          </w:tcPr>
          <w:p w14:paraId="043D76B9" w14:textId="77777777" w:rsidR="00EA0FD7" w:rsidRPr="00EA0FD7" w:rsidRDefault="00EA0FD7" w:rsidP="00EA0FD7">
            <w:pPr>
              <w:spacing w:after="0" w:line="240" w:lineRule="auto"/>
              <w:ind w:left="-540" w:firstLine="540"/>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2022. година – процјена</w:t>
            </w:r>
          </w:p>
        </w:tc>
        <w:tc>
          <w:tcPr>
            <w:tcW w:w="1995" w:type="dxa"/>
            <w:tcBorders>
              <w:top w:val="single" w:sz="12" w:space="0" w:color="auto"/>
              <w:left w:val="single" w:sz="12" w:space="0" w:color="auto"/>
              <w:bottom w:val="single" w:sz="12" w:space="0" w:color="auto"/>
              <w:right w:val="single" w:sz="12" w:space="0" w:color="auto"/>
            </w:tcBorders>
            <w:vAlign w:val="center"/>
            <w:hideMark/>
          </w:tcPr>
          <w:p w14:paraId="45004AAF" w14:textId="77777777" w:rsidR="00EA0FD7" w:rsidRPr="00EA0FD7" w:rsidRDefault="00EA0FD7" w:rsidP="00EA0FD7">
            <w:pPr>
              <w:spacing w:after="0" w:line="240" w:lineRule="auto"/>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1.021,79</w:t>
            </w:r>
          </w:p>
        </w:tc>
        <w:tc>
          <w:tcPr>
            <w:tcW w:w="2160" w:type="dxa"/>
            <w:tcBorders>
              <w:top w:val="single" w:sz="12" w:space="0" w:color="auto"/>
              <w:left w:val="single" w:sz="12" w:space="0" w:color="auto"/>
              <w:bottom w:val="single" w:sz="12" w:space="0" w:color="auto"/>
              <w:right w:val="single" w:sz="12" w:space="0" w:color="auto"/>
            </w:tcBorders>
            <w:vAlign w:val="center"/>
            <w:hideMark/>
          </w:tcPr>
          <w:p w14:paraId="373DED3F" w14:textId="77777777" w:rsidR="00EA0FD7" w:rsidRPr="00EA0FD7" w:rsidRDefault="00EA0FD7" w:rsidP="00EA0FD7">
            <w:pPr>
              <w:spacing w:after="0" w:line="240" w:lineRule="auto"/>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1.583,77</w:t>
            </w:r>
          </w:p>
        </w:tc>
        <w:tc>
          <w:tcPr>
            <w:tcW w:w="1800" w:type="dxa"/>
            <w:tcBorders>
              <w:top w:val="single" w:sz="12" w:space="0" w:color="auto"/>
              <w:left w:val="single" w:sz="12" w:space="0" w:color="auto"/>
              <w:bottom w:val="single" w:sz="12" w:space="0" w:color="auto"/>
              <w:right w:val="single" w:sz="12" w:space="0" w:color="auto"/>
            </w:tcBorders>
            <w:vAlign w:val="center"/>
            <w:hideMark/>
          </w:tcPr>
          <w:p w14:paraId="5DC36346" w14:textId="77777777" w:rsidR="00EA0FD7" w:rsidRPr="00EA0FD7" w:rsidRDefault="00EA0FD7" w:rsidP="00EA0FD7">
            <w:pPr>
              <w:spacing w:after="0" w:line="240" w:lineRule="auto"/>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378,39</w:t>
            </w:r>
          </w:p>
        </w:tc>
      </w:tr>
      <w:tr w:rsidR="00EA0FD7" w:rsidRPr="00EA0FD7" w14:paraId="3A14647C" w14:textId="77777777" w:rsidTr="00EA0FD7">
        <w:trPr>
          <w:trHeight w:val="283"/>
        </w:trPr>
        <w:tc>
          <w:tcPr>
            <w:tcW w:w="2253"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28FDB092" w14:textId="77777777" w:rsidR="00EA0FD7" w:rsidRPr="00EA0FD7" w:rsidRDefault="00EA0FD7" w:rsidP="00EA0FD7">
            <w:pPr>
              <w:spacing w:after="0" w:line="240" w:lineRule="auto"/>
              <w:ind w:left="-540" w:firstLine="540"/>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2023. година – процјена</w:t>
            </w:r>
          </w:p>
        </w:tc>
        <w:tc>
          <w:tcPr>
            <w:tcW w:w="1995"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276B9D05" w14:textId="77777777" w:rsidR="00EA0FD7" w:rsidRPr="00EA0FD7" w:rsidRDefault="00EA0FD7" w:rsidP="00EA0FD7">
            <w:pPr>
              <w:spacing w:after="0" w:line="240" w:lineRule="auto"/>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1.053,47</w:t>
            </w:r>
          </w:p>
        </w:tc>
        <w:tc>
          <w:tcPr>
            <w:tcW w:w="2160"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66738355" w14:textId="77777777" w:rsidR="00EA0FD7" w:rsidRPr="00EA0FD7" w:rsidRDefault="00EA0FD7" w:rsidP="00EA0FD7">
            <w:pPr>
              <w:spacing w:after="0" w:line="240" w:lineRule="auto"/>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1.632,88</w:t>
            </w:r>
          </w:p>
        </w:tc>
        <w:tc>
          <w:tcPr>
            <w:tcW w:w="1800"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78824EC2" w14:textId="77777777" w:rsidR="00EA0FD7" w:rsidRPr="00EA0FD7" w:rsidRDefault="00EA0FD7" w:rsidP="00EA0FD7">
            <w:pPr>
              <w:spacing w:after="0" w:line="240" w:lineRule="auto"/>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382,17</w:t>
            </w:r>
          </w:p>
        </w:tc>
      </w:tr>
      <w:tr w:rsidR="00EA0FD7" w:rsidRPr="00EA0FD7" w14:paraId="23A6DAB3" w14:textId="77777777" w:rsidTr="00EA0FD7">
        <w:trPr>
          <w:trHeight w:val="283"/>
        </w:trPr>
        <w:tc>
          <w:tcPr>
            <w:tcW w:w="2253" w:type="dxa"/>
            <w:tcBorders>
              <w:top w:val="single" w:sz="12" w:space="0" w:color="auto"/>
              <w:left w:val="single" w:sz="12" w:space="0" w:color="auto"/>
              <w:bottom w:val="single" w:sz="12" w:space="0" w:color="auto"/>
              <w:right w:val="single" w:sz="12" w:space="0" w:color="auto"/>
            </w:tcBorders>
            <w:vAlign w:val="center"/>
            <w:hideMark/>
          </w:tcPr>
          <w:p w14:paraId="3B5FB433" w14:textId="77777777" w:rsidR="00EA0FD7" w:rsidRPr="00EA0FD7" w:rsidRDefault="00EA0FD7" w:rsidP="00EA0FD7">
            <w:pPr>
              <w:spacing w:after="0" w:line="240" w:lineRule="auto"/>
              <w:ind w:left="-540" w:firstLine="540"/>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2024. година – процјена</w:t>
            </w:r>
          </w:p>
        </w:tc>
        <w:tc>
          <w:tcPr>
            <w:tcW w:w="1995" w:type="dxa"/>
            <w:tcBorders>
              <w:top w:val="single" w:sz="12" w:space="0" w:color="auto"/>
              <w:left w:val="single" w:sz="12" w:space="0" w:color="auto"/>
              <w:bottom w:val="single" w:sz="12" w:space="0" w:color="auto"/>
              <w:right w:val="single" w:sz="12" w:space="0" w:color="auto"/>
            </w:tcBorders>
            <w:vAlign w:val="center"/>
            <w:hideMark/>
          </w:tcPr>
          <w:p w14:paraId="6190E97C"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1.086,13</w:t>
            </w:r>
          </w:p>
        </w:tc>
        <w:tc>
          <w:tcPr>
            <w:tcW w:w="2160" w:type="dxa"/>
            <w:tcBorders>
              <w:top w:val="single" w:sz="12" w:space="0" w:color="auto"/>
              <w:left w:val="single" w:sz="12" w:space="0" w:color="auto"/>
              <w:bottom w:val="single" w:sz="12" w:space="0" w:color="auto"/>
              <w:right w:val="single" w:sz="12" w:space="0" w:color="auto"/>
            </w:tcBorders>
            <w:vAlign w:val="center"/>
            <w:hideMark/>
          </w:tcPr>
          <w:p w14:paraId="0F5A158A"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1.683,50</w:t>
            </w:r>
          </w:p>
        </w:tc>
        <w:tc>
          <w:tcPr>
            <w:tcW w:w="1800" w:type="dxa"/>
            <w:tcBorders>
              <w:top w:val="single" w:sz="12" w:space="0" w:color="auto"/>
              <w:left w:val="single" w:sz="12" w:space="0" w:color="auto"/>
              <w:bottom w:val="single" w:sz="12" w:space="0" w:color="auto"/>
              <w:right w:val="single" w:sz="12" w:space="0" w:color="auto"/>
            </w:tcBorders>
            <w:vAlign w:val="center"/>
            <w:hideMark/>
          </w:tcPr>
          <w:p w14:paraId="0DF8FA4B"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386,00</w:t>
            </w:r>
          </w:p>
        </w:tc>
      </w:tr>
      <w:tr w:rsidR="00EA0FD7" w:rsidRPr="00EA0FD7" w14:paraId="284FB856" w14:textId="77777777" w:rsidTr="00EA0FD7">
        <w:trPr>
          <w:trHeight w:val="283"/>
        </w:trPr>
        <w:tc>
          <w:tcPr>
            <w:tcW w:w="2253"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5320DB7E" w14:textId="77777777" w:rsidR="00EA0FD7" w:rsidRPr="00EA0FD7" w:rsidRDefault="00EA0FD7" w:rsidP="00EA0FD7">
            <w:pPr>
              <w:spacing w:after="0" w:line="240" w:lineRule="auto"/>
              <w:ind w:left="-540" w:firstLine="540"/>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2025. година – процјена</w:t>
            </w:r>
          </w:p>
        </w:tc>
        <w:tc>
          <w:tcPr>
            <w:tcW w:w="1995"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2E916224"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1.119,80</w:t>
            </w:r>
          </w:p>
        </w:tc>
        <w:tc>
          <w:tcPr>
            <w:tcW w:w="2160"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1A6ED21A"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1.735,69</w:t>
            </w:r>
          </w:p>
        </w:tc>
        <w:tc>
          <w:tcPr>
            <w:tcW w:w="1800" w:type="dxa"/>
            <w:tcBorders>
              <w:top w:val="single" w:sz="12" w:space="0" w:color="auto"/>
              <w:left w:val="single" w:sz="12" w:space="0" w:color="auto"/>
              <w:bottom w:val="single" w:sz="12" w:space="0" w:color="auto"/>
              <w:right w:val="single" w:sz="12" w:space="0" w:color="auto"/>
            </w:tcBorders>
            <w:shd w:val="clear" w:color="auto" w:fill="BDD6EE"/>
            <w:vAlign w:val="center"/>
            <w:hideMark/>
          </w:tcPr>
          <w:p w14:paraId="287EECD0" w14:textId="77777777" w:rsidR="00EA0FD7" w:rsidRPr="00EA0FD7" w:rsidRDefault="00EA0FD7" w:rsidP="00EA0FD7">
            <w:pPr>
              <w:spacing w:after="0" w:line="240" w:lineRule="auto"/>
              <w:ind w:left="-540" w:firstLine="540"/>
              <w:jc w:val="right"/>
              <w:rPr>
                <w:rFonts w:ascii="Times New Roman" w:eastAsia="Times New Roman" w:hAnsi="Times New Roman" w:cs="Times New Roman"/>
                <w:bCs/>
                <w:spacing w:val="-4"/>
                <w:sz w:val="20"/>
                <w:szCs w:val="20"/>
                <w:lang w:val="sr-Cyrl-RS" w:eastAsia="hr-HR"/>
              </w:rPr>
            </w:pPr>
            <w:r w:rsidRPr="00EA0FD7">
              <w:rPr>
                <w:rFonts w:ascii="Times New Roman" w:eastAsia="Times New Roman" w:hAnsi="Times New Roman" w:cs="Times New Roman"/>
                <w:bCs/>
                <w:spacing w:val="-4"/>
                <w:sz w:val="20"/>
                <w:szCs w:val="20"/>
                <w:lang w:val="sr-Cyrl-RS" w:eastAsia="hr-HR"/>
              </w:rPr>
              <w:t>390,00</w:t>
            </w:r>
          </w:p>
        </w:tc>
      </w:tr>
    </w:tbl>
    <w:p w14:paraId="155F8DBE" w14:textId="0D78B12B" w:rsidR="00EA0FD7" w:rsidRPr="00AE5455" w:rsidRDefault="00AE5455" w:rsidP="00AE5455">
      <w:pPr>
        <w:tabs>
          <w:tab w:val="left" w:pos="0"/>
        </w:tabs>
        <w:spacing w:after="0" w:line="240" w:lineRule="auto"/>
        <w:ind w:left="-540" w:firstLine="540"/>
        <w:jc w:val="both"/>
        <w:rPr>
          <w:rFonts w:ascii="Times New Roman" w:eastAsia="Times New Roman" w:hAnsi="Times New Roman" w:cs="Times New Roman"/>
          <w:bCs/>
          <w:spacing w:val="-4"/>
          <w:sz w:val="24"/>
          <w:szCs w:val="24"/>
          <w:lang w:val="sr-Cyrl-RS" w:eastAsia="bs-Latn-BA"/>
        </w:rPr>
      </w:pPr>
      <w:r>
        <w:rPr>
          <w:rFonts w:ascii="Times New Roman" w:eastAsia="Times New Roman" w:hAnsi="Times New Roman" w:cs="Times New Roman"/>
          <w:bCs/>
          <w:spacing w:val="-4"/>
          <w:sz w:val="24"/>
          <w:szCs w:val="24"/>
          <w:lang w:val="sr-Cyrl-RS" w:eastAsia="hr-HR"/>
        </w:rPr>
        <w:t xml:space="preserve">             </w:t>
      </w:r>
      <w:r w:rsidR="00EA0FD7" w:rsidRPr="00AE5455">
        <w:rPr>
          <w:rFonts w:ascii="Times New Roman" w:eastAsia="Times New Roman" w:hAnsi="Times New Roman" w:cs="Times New Roman"/>
          <w:bCs/>
          <w:spacing w:val="-4"/>
          <w:sz w:val="24"/>
          <w:szCs w:val="24"/>
          <w:lang w:val="sr-Cyrl-RS" w:eastAsia="hr-HR"/>
        </w:rPr>
        <w:t>* Извор Агенција за статистику БиХ подружница/експозитура Брчко</w:t>
      </w:r>
    </w:p>
    <w:p w14:paraId="0DCD64FA"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1BA79214" w14:textId="27D48E61"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Просјечне нето и бруто плате  у периоду 2015</w:t>
      </w:r>
      <w:r w:rsidR="00AE5455">
        <w:rPr>
          <w:rFonts w:ascii="Times New Roman" w:eastAsia="Times New Roman" w:hAnsi="Times New Roman" w:cs="Times New Roman"/>
          <w:bCs/>
          <w:spacing w:val="-4"/>
          <w:sz w:val="24"/>
          <w:szCs w:val="24"/>
          <w:lang w:val="sr-Cyrl-RS" w:eastAsia="hr-HR"/>
        </w:rPr>
        <w:t>–</w:t>
      </w:r>
      <w:r w:rsidRPr="00AE5455">
        <w:rPr>
          <w:rFonts w:ascii="Times New Roman" w:eastAsia="Times New Roman" w:hAnsi="Times New Roman" w:cs="Times New Roman"/>
          <w:bCs/>
          <w:spacing w:val="-4"/>
          <w:sz w:val="24"/>
          <w:szCs w:val="24"/>
          <w:lang w:val="sr-Cyrl-RS" w:eastAsia="hr-HR"/>
        </w:rPr>
        <w:t>2021. године биљеже стални раст, који се очекује и у периоду 2022</w:t>
      </w:r>
      <w:r w:rsidR="00AE5455">
        <w:rPr>
          <w:rFonts w:ascii="Times New Roman" w:eastAsia="Times New Roman" w:hAnsi="Times New Roman" w:cs="Times New Roman"/>
          <w:bCs/>
          <w:spacing w:val="-4"/>
          <w:sz w:val="24"/>
          <w:szCs w:val="24"/>
          <w:lang w:val="sr-Cyrl-RS" w:eastAsia="hr-HR"/>
        </w:rPr>
        <w:t>–</w:t>
      </w:r>
      <w:r w:rsidRPr="00AE5455">
        <w:rPr>
          <w:rFonts w:ascii="Times New Roman" w:eastAsia="Times New Roman" w:hAnsi="Times New Roman" w:cs="Times New Roman"/>
          <w:bCs/>
          <w:spacing w:val="-4"/>
          <w:sz w:val="24"/>
          <w:szCs w:val="24"/>
          <w:lang w:val="sr-Cyrl-RS" w:eastAsia="hr-HR"/>
        </w:rPr>
        <w:t>2025. године.</w:t>
      </w:r>
    </w:p>
    <w:p w14:paraId="069BD925" w14:textId="77777777" w:rsidR="00EA0FD7" w:rsidRPr="00AE5455" w:rsidRDefault="00EA0FD7" w:rsidP="00EA0FD7">
      <w:pPr>
        <w:tabs>
          <w:tab w:val="left" w:pos="1110"/>
        </w:tabs>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ab/>
      </w:r>
    </w:p>
    <w:p w14:paraId="23E605AF" w14:textId="30237F80"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Просјечне пензије 2015</w:t>
      </w:r>
      <w:r w:rsidR="00AE5455">
        <w:rPr>
          <w:rFonts w:ascii="Times New Roman" w:eastAsia="Times New Roman" w:hAnsi="Times New Roman" w:cs="Times New Roman"/>
          <w:bCs/>
          <w:spacing w:val="-4"/>
          <w:sz w:val="24"/>
          <w:szCs w:val="24"/>
          <w:lang w:val="sr-Cyrl-RS" w:eastAsia="hr-HR"/>
        </w:rPr>
        <w:t>–</w:t>
      </w:r>
      <w:r w:rsidRPr="00AE5455">
        <w:rPr>
          <w:rFonts w:ascii="Times New Roman" w:eastAsia="Times New Roman" w:hAnsi="Times New Roman" w:cs="Times New Roman"/>
          <w:bCs/>
          <w:spacing w:val="-4"/>
          <w:sz w:val="24"/>
          <w:szCs w:val="24"/>
          <w:lang w:val="sr-Cyrl-RS" w:eastAsia="hr-HR"/>
        </w:rPr>
        <w:t>2021. године, такође биљеже тренд раста</w:t>
      </w:r>
      <w:r w:rsidR="00AE5455">
        <w:rPr>
          <w:rFonts w:ascii="Times New Roman" w:eastAsia="Times New Roman" w:hAnsi="Times New Roman" w:cs="Times New Roman"/>
          <w:bCs/>
          <w:spacing w:val="-4"/>
          <w:sz w:val="24"/>
          <w:szCs w:val="24"/>
          <w:lang w:val="sr-Cyrl-RS" w:eastAsia="hr-HR"/>
        </w:rPr>
        <w:t xml:space="preserve">, </w:t>
      </w:r>
      <w:r w:rsidRPr="00AE5455">
        <w:rPr>
          <w:rFonts w:ascii="Times New Roman" w:eastAsia="Times New Roman" w:hAnsi="Times New Roman" w:cs="Times New Roman"/>
          <w:bCs/>
          <w:spacing w:val="-4"/>
          <w:sz w:val="24"/>
          <w:szCs w:val="24"/>
          <w:lang w:val="sr-Cyrl-RS" w:eastAsia="hr-HR"/>
        </w:rPr>
        <w:t>али знатно спорији него просјечне нето и бруто плате.</w:t>
      </w:r>
    </w:p>
    <w:p w14:paraId="4A74C89D"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7D411828" w14:textId="48E45671"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 xml:space="preserve"> У периоду 2022</w:t>
      </w:r>
      <w:r w:rsidR="00AE5455">
        <w:rPr>
          <w:rFonts w:ascii="Times New Roman" w:eastAsia="Times New Roman" w:hAnsi="Times New Roman" w:cs="Times New Roman"/>
          <w:bCs/>
          <w:spacing w:val="-4"/>
          <w:sz w:val="24"/>
          <w:szCs w:val="24"/>
          <w:lang w:val="sr-Cyrl-RS" w:eastAsia="hr-HR"/>
        </w:rPr>
        <w:t>–</w:t>
      </w:r>
      <w:r w:rsidRPr="00AE5455">
        <w:rPr>
          <w:rFonts w:ascii="Times New Roman" w:eastAsia="Times New Roman" w:hAnsi="Times New Roman" w:cs="Times New Roman"/>
          <w:bCs/>
          <w:spacing w:val="-4"/>
          <w:sz w:val="24"/>
          <w:szCs w:val="24"/>
          <w:lang w:val="sr-Cyrl-RS" w:eastAsia="hr-HR"/>
        </w:rPr>
        <w:t xml:space="preserve">2025. године предвиђа </w:t>
      </w:r>
      <w:r w:rsidR="00AE5455">
        <w:rPr>
          <w:rFonts w:ascii="Times New Roman" w:eastAsia="Times New Roman" w:hAnsi="Times New Roman" w:cs="Times New Roman"/>
          <w:bCs/>
          <w:spacing w:val="-4"/>
          <w:sz w:val="24"/>
          <w:szCs w:val="24"/>
          <w:lang w:val="sr-Cyrl-RS" w:eastAsia="hr-HR"/>
        </w:rPr>
        <w:t xml:space="preserve">се </w:t>
      </w:r>
      <w:r w:rsidRPr="00AE5455">
        <w:rPr>
          <w:rFonts w:ascii="Times New Roman" w:eastAsia="Times New Roman" w:hAnsi="Times New Roman" w:cs="Times New Roman"/>
          <w:bCs/>
          <w:spacing w:val="-4"/>
          <w:sz w:val="24"/>
          <w:szCs w:val="24"/>
          <w:lang w:val="sr-Cyrl-RS" w:eastAsia="hr-HR"/>
        </w:rPr>
        <w:t>тренд раста просјечних пензија  и то за 1% г/г.</w:t>
      </w:r>
    </w:p>
    <w:p w14:paraId="4548B0AA" w14:textId="77777777" w:rsidR="00EA0FD7" w:rsidRPr="00AE5455" w:rsidRDefault="00EA0FD7" w:rsidP="00EA0FD7">
      <w:pPr>
        <w:spacing w:after="0" w:line="240" w:lineRule="auto"/>
        <w:rPr>
          <w:rFonts w:ascii="Times New Roman" w:eastAsia="Times New Roman" w:hAnsi="Times New Roman" w:cs="Times New Roman"/>
          <w:bCs/>
          <w:spacing w:val="-4"/>
          <w:sz w:val="24"/>
          <w:szCs w:val="24"/>
          <w:lang w:val="sr-Cyrl-RS" w:eastAsia="hr-HR"/>
        </w:rPr>
      </w:pPr>
    </w:p>
    <w:p w14:paraId="5925AE1F"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2B51781E"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3404151C"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7B9FB612"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091B0E9E"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6FA39C42"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2DF5056D"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7ACFC7E1"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353C767D"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1FFF0785"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6E5EB8E6"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62BEF473"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7CD3F674"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7D360A44"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0E6681CA"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13DF5B48"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53E5DEBD" w14:textId="77777777" w:rsidR="00AE5455" w:rsidRDefault="00AE5455" w:rsidP="00EA0FD7">
      <w:pPr>
        <w:spacing w:after="0" w:line="240" w:lineRule="auto"/>
        <w:jc w:val="both"/>
        <w:rPr>
          <w:rFonts w:ascii="Times New Roman" w:eastAsia="Times New Roman" w:hAnsi="Times New Roman" w:cs="Times New Roman"/>
          <w:b/>
          <w:bCs/>
          <w:spacing w:val="-4"/>
          <w:sz w:val="24"/>
          <w:szCs w:val="24"/>
          <w:lang w:val="sr-Cyrl-RS" w:eastAsia="hr-HR"/>
        </w:rPr>
      </w:pPr>
    </w:p>
    <w:p w14:paraId="4D66D693" w14:textId="0C62D1B9"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
          <w:bCs/>
          <w:spacing w:val="-4"/>
          <w:sz w:val="24"/>
          <w:szCs w:val="24"/>
          <w:lang w:val="sr-Cyrl-RS" w:eastAsia="hr-HR"/>
        </w:rPr>
        <w:lastRenderedPageBreak/>
        <w:t>Графикон 2.9:</w:t>
      </w:r>
      <w:r w:rsidRPr="00AE5455">
        <w:rPr>
          <w:rFonts w:ascii="Times New Roman" w:eastAsia="Times New Roman" w:hAnsi="Times New Roman" w:cs="Times New Roman"/>
          <w:bCs/>
          <w:spacing w:val="-4"/>
          <w:sz w:val="24"/>
          <w:szCs w:val="24"/>
          <w:lang w:val="sr-Cyrl-RS" w:eastAsia="hr-HR"/>
        </w:rPr>
        <w:t xml:space="preserve">  Кретање просјечне нето плате и просјечне пензије у Брчко дистрикту БиХ</w:t>
      </w:r>
      <w:r w:rsidR="00AE5455">
        <w:rPr>
          <w:rFonts w:ascii="Times New Roman" w:eastAsia="Times New Roman" w:hAnsi="Times New Roman" w:cs="Times New Roman"/>
          <w:bCs/>
          <w:spacing w:val="-4"/>
          <w:sz w:val="24"/>
          <w:szCs w:val="24"/>
          <w:lang w:val="sr-Cyrl-RS" w:eastAsia="hr-HR"/>
        </w:rPr>
        <w:t xml:space="preserve">                </w:t>
      </w:r>
      <w:r w:rsidRPr="00AE5455">
        <w:rPr>
          <w:rFonts w:ascii="Times New Roman" w:eastAsia="Times New Roman" w:hAnsi="Times New Roman" w:cs="Times New Roman"/>
          <w:bCs/>
          <w:spacing w:val="-4"/>
          <w:sz w:val="24"/>
          <w:szCs w:val="24"/>
          <w:lang w:val="sr-Cyrl-RS" w:eastAsia="hr-HR"/>
        </w:rPr>
        <w:t>2015</w:t>
      </w:r>
      <w:r w:rsidR="00AE5455">
        <w:rPr>
          <w:rFonts w:ascii="Times New Roman" w:eastAsia="Times New Roman" w:hAnsi="Times New Roman" w:cs="Times New Roman"/>
          <w:bCs/>
          <w:spacing w:val="-4"/>
          <w:sz w:val="24"/>
          <w:szCs w:val="24"/>
          <w:lang w:val="sr-Cyrl-RS" w:eastAsia="hr-HR"/>
        </w:rPr>
        <w:t>–</w:t>
      </w:r>
      <w:r w:rsidRPr="00AE5455">
        <w:rPr>
          <w:rFonts w:ascii="Times New Roman" w:eastAsia="Times New Roman" w:hAnsi="Times New Roman" w:cs="Times New Roman"/>
          <w:bCs/>
          <w:spacing w:val="-4"/>
          <w:sz w:val="24"/>
          <w:szCs w:val="24"/>
          <w:lang w:val="sr-Cyrl-RS" w:eastAsia="hr-HR"/>
        </w:rPr>
        <w:t>2025. године</w:t>
      </w:r>
    </w:p>
    <w:p w14:paraId="7D429DF7" w14:textId="77777777" w:rsidR="00EA0FD7" w:rsidRPr="00AE5455" w:rsidRDefault="00EA0FD7" w:rsidP="00EA0FD7">
      <w:pPr>
        <w:spacing w:after="0" w:line="240" w:lineRule="auto"/>
        <w:rPr>
          <w:rFonts w:ascii="Times New Roman" w:eastAsia="Times New Roman" w:hAnsi="Times New Roman" w:cs="Times New Roman"/>
          <w:b/>
          <w:bCs/>
          <w:spacing w:val="-4"/>
          <w:lang w:val="sr-Cyrl-RS" w:eastAsia="hr-HR"/>
        </w:rPr>
      </w:pPr>
      <w:r w:rsidRPr="00EA0FD7">
        <w:rPr>
          <w:rFonts w:ascii="Times New Roman" w:eastAsia="Times New Roman" w:hAnsi="Times New Roman" w:cs="Times New Roman"/>
          <w:noProof/>
          <w:sz w:val="24"/>
          <w:szCs w:val="24"/>
          <w:lang w:val="sr-Cyrl-RS"/>
        </w:rPr>
        <w:drawing>
          <wp:inline distT="0" distB="0" distL="0" distR="0" wp14:anchorId="4AC1D7C5" wp14:editId="097F6C66">
            <wp:extent cx="6115685" cy="360997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3609975"/>
                    </a:xfrm>
                    <a:prstGeom prst="rect">
                      <a:avLst/>
                    </a:prstGeom>
                    <a:noFill/>
                    <a:ln>
                      <a:noFill/>
                    </a:ln>
                  </pic:spPr>
                </pic:pic>
              </a:graphicData>
            </a:graphic>
          </wp:inline>
        </w:drawing>
      </w:r>
    </w:p>
    <w:p w14:paraId="7FB30164" w14:textId="77777777" w:rsidR="00EA0FD7" w:rsidRPr="00AE5455" w:rsidRDefault="00EA0FD7" w:rsidP="00EA0FD7">
      <w:pPr>
        <w:spacing w:after="0" w:line="240" w:lineRule="auto"/>
        <w:rPr>
          <w:rFonts w:ascii="Times New Roman" w:eastAsia="Times New Roman" w:hAnsi="Times New Roman" w:cs="Times New Roman"/>
          <w:sz w:val="24"/>
          <w:szCs w:val="24"/>
          <w:lang w:val="sr-Cyrl-RS" w:eastAsia="hr-HR"/>
        </w:rPr>
      </w:pPr>
    </w:p>
    <w:p w14:paraId="1149527E"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44EE544F" w14:textId="6DCF2722"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У табели 2.2. – Пројекција  макроекономских показатеља у Брчко дистрикту БиХ су дати и подаци о исплаћеном дугу  Брчко дистрикта БиХ  у периоду 2015</w:t>
      </w:r>
      <w:r w:rsidR="00AE5455">
        <w:rPr>
          <w:rFonts w:ascii="Times New Roman" w:eastAsia="Times New Roman" w:hAnsi="Times New Roman" w:cs="Times New Roman"/>
          <w:bCs/>
          <w:spacing w:val="-4"/>
          <w:sz w:val="24"/>
          <w:szCs w:val="24"/>
          <w:lang w:val="sr-Cyrl-RS" w:eastAsia="hr-HR"/>
        </w:rPr>
        <w:t>–</w:t>
      </w:r>
      <w:r w:rsidRPr="00AE5455">
        <w:rPr>
          <w:rFonts w:ascii="Times New Roman" w:eastAsia="Times New Roman" w:hAnsi="Times New Roman" w:cs="Times New Roman"/>
          <w:bCs/>
          <w:spacing w:val="-4"/>
          <w:sz w:val="24"/>
          <w:szCs w:val="24"/>
          <w:lang w:val="sr-Cyrl-RS" w:eastAsia="hr-HR"/>
        </w:rPr>
        <w:t>2021. године,</w:t>
      </w:r>
      <w:r w:rsidR="00AE5455">
        <w:rPr>
          <w:rFonts w:ascii="Times New Roman" w:eastAsia="Times New Roman" w:hAnsi="Times New Roman" w:cs="Times New Roman"/>
          <w:bCs/>
          <w:spacing w:val="-4"/>
          <w:sz w:val="24"/>
          <w:szCs w:val="24"/>
          <w:lang w:val="sr-Cyrl-RS" w:eastAsia="hr-HR"/>
        </w:rPr>
        <w:t xml:space="preserve"> </w:t>
      </w:r>
      <w:r w:rsidRPr="00AE5455">
        <w:rPr>
          <w:rFonts w:ascii="Times New Roman" w:eastAsia="Times New Roman" w:hAnsi="Times New Roman" w:cs="Times New Roman"/>
          <w:bCs/>
          <w:spacing w:val="-4"/>
          <w:sz w:val="24"/>
          <w:szCs w:val="24"/>
          <w:lang w:val="sr-Cyrl-RS" w:eastAsia="hr-HR"/>
        </w:rPr>
        <w:t xml:space="preserve">као и план отплате дуга у периоду 2022–2025. године прерачунати у домаћој валути.  </w:t>
      </w:r>
    </w:p>
    <w:p w14:paraId="06253ECF" w14:textId="732DD4BD"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r w:rsidRPr="00AE5455">
        <w:rPr>
          <w:rFonts w:ascii="Times New Roman" w:eastAsia="Times New Roman" w:hAnsi="Times New Roman" w:cs="Times New Roman"/>
          <w:bCs/>
          <w:spacing w:val="-4"/>
          <w:sz w:val="24"/>
          <w:szCs w:val="24"/>
          <w:lang w:val="sr-Cyrl-RS" w:eastAsia="hr-HR"/>
        </w:rPr>
        <w:t>Преглед дуга Брчко дистрикта БиХ по кредитима за период од 2023</w:t>
      </w:r>
      <w:r w:rsidR="00AE5455">
        <w:rPr>
          <w:rFonts w:ascii="Times New Roman" w:eastAsia="Times New Roman" w:hAnsi="Times New Roman" w:cs="Times New Roman"/>
          <w:bCs/>
          <w:spacing w:val="-4"/>
          <w:sz w:val="24"/>
          <w:szCs w:val="24"/>
          <w:lang w:val="sr-Cyrl-RS" w:eastAsia="hr-HR"/>
        </w:rPr>
        <w:t>–</w:t>
      </w:r>
      <w:r w:rsidRPr="00AE5455">
        <w:rPr>
          <w:rFonts w:ascii="Times New Roman" w:eastAsia="Times New Roman" w:hAnsi="Times New Roman" w:cs="Times New Roman"/>
          <w:bCs/>
          <w:spacing w:val="-4"/>
          <w:sz w:val="24"/>
          <w:szCs w:val="24"/>
          <w:lang w:val="sr-Cyrl-RS" w:eastAsia="hr-HR"/>
        </w:rPr>
        <w:t>2025. године приказан је у табели 4.2.</w:t>
      </w:r>
      <w:bookmarkStart w:id="23" w:name="_Toc39049130"/>
      <w:bookmarkStart w:id="24" w:name="_Toc39048843"/>
    </w:p>
    <w:p w14:paraId="5DE73216" w14:textId="77777777" w:rsidR="00EA0FD7" w:rsidRPr="00AE5455" w:rsidRDefault="00EA0FD7" w:rsidP="00EA0FD7">
      <w:pPr>
        <w:spacing w:after="0" w:line="240" w:lineRule="auto"/>
        <w:jc w:val="both"/>
        <w:rPr>
          <w:rFonts w:ascii="Times New Roman" w:eastAsia="Times New Roman" w:hAnsi="Times New Roman" w:cs="Times New Roman"/>
          <w:bCs/>
          <w:spacing w:val="-4"/>
          <w:sz w:val="24"/>
          <w:szCs w:val="24"/>
          <w:lang w:val="sr-Cyrl-RS" w:eastAsia="hr-HR"/>
        </w:rPr>
      </w:pPr>
    </w:p>
    <w:p w14:paraId="05A5E79C" w14:textId="07F6BAD6" w:rsidR="00EA0FD7" w:rsidRPr="00EA0FD7" w:rsidRDefault="00EA0FD7" w:rsidP="00EA0FD7">
      <w:pPr>
        <w:spacing w:after="0" w:line="240" w:lineRule="auto"/>
        <w:rPr>
          <w:rFonts w:ascii="Times New Roman" w:eastAsia="Times New Roman" w:hAnsi="Times New Roman" w:cs="Times New Roman"/>
          <w:b/>
          <w:sz w:val="28"/>
          <w:szCs w:val="28"/>
          <w:lang w:val="sr-Cyrl-RS" w:eastAsia="hr-HR"/>
        </w:rPr>
      </w:pPr>
      <w:r w:rsidRPr="00EA0FD7">
        <w:rPr>
          <w:rFonts w:ascii="Times New Roman" w:eastAsia="Times New Roman" w:hAnsi="Times New Roman" w:cs="Times New Roman"/>
          <w:b/>
          <w:sz w:val="28"/>
          <w:szCs w:val="28"/>
          <w:lang w:val="sr-Cyrl-RS" w:eastAsia="hr-HR"/>
        </w:rPr>
        <w:t>ПОГЛАВЉЕ 3: СРЕДЊОРОЧНА ФИСКАЛНА ПОЛИТИКА И ПРОЈЕКЦИЈА ПРИХОДА</w:t>
      </w:r>
      <w:bookmarkEnd w:id="23"/>
      <w:bookmarkEnd w:id="24"/>
      <w:r w:rsidRPr="00EA0FD7">
        <w:rPr>
          <w:rFonts w:ascii="Times New Roman" w:eastAsia="Times New Roman" w:hAnsi="Times New Roman" w:cs="Times New Roman"/>
          <w:b/>
          <w:sz w:val="28"/>
          <w:szCs w:val="28"/>
          <w:lang w:val="sr-Cyrl-RS" w:eastAsia="hr-HR"/>
        </w:rPr>
        <w:t xml:space="preserve"> </w:t>
      </w:r>
    </w:p>
    <w:p w14:paraId="48B2ECF1"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1338A5E8"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7F416C46" w14:textId="39F3087B"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У овом поглављу су приказане пројекције прихода за финансирање јавне потрошње Брчко дистрикта БиХ које се очекују у току средњорочног периода 2023</w:t>
      </w:r>
      <w:r w:rsidR="00AE5455">
        <w:rPr>
          <w:rFonts w:ascii="Times New Roman" w:eastAsia="Times New Roman" w:hAnsi="Times New Roman" w:cs="Times New Roman"/>
          <w:sz w:val="24"/>
          <w:lang w:val="sr-Cyrl-RS" w:eastAsia="hr-HR"/>
        </w:rPr>
        <w:t>–</w:t>
      </w:r>
      <w:r w:rsidRPr="00EA0FD7">
        <w:rPr>
          <w:rFonts w:ascii="Times New Roman" w:eastAsia="Times New Roman" w:hAnsi="Times New Roman" w:cs="Times New Roman"/>
          <w:sz w:val="24"/>
          <w:lang w:val="sr-Cyrl-RS" w:eastAsia="hr-HR"/>
        </w:rPr>
        <w:t xml:space="preserve">2025. године. Изради се приступило на основу постојећих политика прихода и пројицираних макроекономских показатеља, процјене одјељења о наплативости прихода који се остварују по основу њихове активности и анализе наплате прихода по врстама у претходним и текућем периоду. </w:t>
      </w:r>
    </w:p>
    <w:p w14:paraId="0BE3C613"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3C327821"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Пројекцију прихода на државном нивоу за наредни трогодишњи период, коју такође садржи ово поглавље, а на основу које су пројицирани приходи од индиректних пореза који припадају Брчко дистрикту БиХ, израдило је Одјељење за макроекономску анализу Управе за индиректно опорезивање које је задужено за израду средњорочних пројекција прихода од индиректних пореза за потребе израде Документа оквирног буџета.</w:t>
      </w:r>
    </w:p>
    <w:p w14:paraId="773770C9" w14:textId="77777777" w:rsidR="00EA0FD7" w:rsidRPr="00EA0FD7" w:rsidRDefault="00EA0FD7" w:rsidP="00EA0FD7">
      <w:pPr>
        <w:widowControl w:val="0"/>
        <w:autoSpaceDE w:val="0"/>
        <w:autoSpaceDN w:val="0"/>
        <w:adjustRightInd w:val="0"/>
        <w:spacing w:before="15" w:after="0" w:line="230" w:lineRule="exact"/>
        <w:ind w:right="-22"/>
        <w:jc w:val="both"/>
        <w:rPr>
          <w:rFonts w:ascii="Times New Roman" w:eastAsia="Times New Roman" w:hAnsi="Times New Roman" w:cs="Times New Roman"/>
          <w:sz w:val="24"/>
          <w:lang w:val="sr-Cyrl-RS" w:eastAsia="hr-HR"/>
        </w:rPr>
      </w:pPr>
    </w:p>
    <w:p w14:paraId="24EED751" w14:textId="77777777" w:rsidR="00EA0FD7" w:rsidRPr="00EA0FD7" w:rsidRDefault="00EA0FD7" w:rsidP="00EA0FD7">
      <w:pPr>
        <w:widowControl w:val="0"/>
        <w:autoSpaceDE w:val="0"/>
        <w:autoSpaceDN w:val="0"/>
        <w:adjustRightInd w:val="0"/>
        <w:spacing w:before="15" w:after="0" w:line="230" w:lineRule="exact"/>
        <w:ind w:right="-22"/>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Порески систем у Босни и Херцеговини и политика опорезивања егзистирају на два нивоа: државном и  локалном.</w:t>
      </w:r>
    </w:p>
    <w:p w14:paraId="79C7017C"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6290E1B0" w14:textId="00A1E7F4"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У Буџет Брчко дистрикта БиХ се приливају приходи са оба нивоа. Држава је надлежна за царине, порез на додатну вриједност, акцизе и накнаде за путеве из цијена нафтних деривата (индиректни порези </w:t>
      </w:r>
      <w:r w:rsidR="00AE5455">
        <w:rPr>
          <w:rFonts w:ascii="Times New Roman" w:eastAsia="Times New Roman" w:hAnsi="Times New Roman" w:cs="Times New Roman"/>
          <w:sz w:val="24"/>
          <w:lang w:val="sr-Cyrl-RS" w:eastAsia="hr-HR"/>
        </w:rPr>
        <w:t>–</w:t>
      </w:r>
      <w:r w:rsidRPr="00EA0FD7">
        <w:rPr>
          <w:rFonts w:ascii="Times New Roman" w:eastAsia="Times New Roman" w:hAnsi="Times New Roman" w:cs="Times New Roman"/>
          <w:sz w:val="24"/>
          <w:lang w:val="sr-Cyrl-RS" w:eastAsia="hr-HR"/>
        </w:rPr>
        <w:t xml:space="preserve"> који чине већински дио укупних прихода Брчко дистрикта БиХ), док су у надлежности Брчко дистрикта БиХ остали: порез на доходак и добит, порези на плате, порези на игре на срећу као и порез на имовину. Брчко дистрикт БиХ је такође надлежан за </w:t>
      </w:r>
      <w:r w:rsidRPr="00EA0FD7">
        <w:rPr>
          <w:rFonts w:ascii="Times New Roman" w:eastAsia="Times New Roman" w:hAnsi="Times New Roman" w:cs="Times New Roman"/>
          <w:sz w:val="24"/>
          <w:lang w:val="sr-Cyrl-RS" w:eastAsia="hr-HR"/>
        </w:rPr>
        <w:lastRenderedPageBreak/>
        <w:t>прописивање, администрирање и убирање непореских прихода, прихода по основу облигационих односа, такси и различитих накнада.</w:t>
      </w:r>
    </w:p>
    <w:p w14:paraId="6B2F0FA7"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07785708"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С обзиром да се од увођења ПДВ-а, учешће индиректних пореза које дозначава Управа за индиректно опорезивање БиХ у корист Брчко дистрикта БиХ кретало око 80% и да приходовна страна Буџета Брчко дистрикта БиХ у највећој мјери зависи од висине индиректних пореза, у првом дијелу овог поглавља ће се основна пажња усмјерити на ову врсту прихода. </w:t>
      </w:r>
    </w:p>
    <w:p w14:paraId="2EAF8DF9" w14:textId="77777777" w:rsidR="00EA0FD7" w:rsidRPr="00EA0FD7" w:rsidRDefault="00EA0FD7" w:rsidP="00EA0FD7">
      <w:pPr>
        <w:spacing w:after="0" w:line="240" w:lineRule="auto"/>
        <w:jc w:val="both"/>
        <w:rPr>
          <w:rFonts w:ascii="Times New Roman" w:eastAsia="Times New Roman" w:hAnsi="Times New Roman" w:cs="Times New Roman"/>
          <w:color w:val="0000FF"/>
          <w:sz w:val="24"/>
          <w:lang w:val="sr-Cyrl-RS" w:eastAsia="hr-HR"/>
        </w:rPr>
      </w:pPr>
    </w:p>
    <w:p w14:paraId="1FE6488D"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6079FA73" w14:textId="2EE32A40" w:rsidR="00EA0FD7" w:rsidRPr="00EA0FD7" w:rsidRDefault="00EA0FD7" w:rsidP="00EA0FD7">
      <w:pPr>
        <w:keepNext/>
        <w:tabs>
          <w:tab w:val="left" w:pos="3010"/>
          <w:tab w:val="left" w:pos="3294"/>
          <w:tab w:val="left" w:pos="5196"/>
        </w:tabs>
        <w:spacing w:after="0" w:line="240" w:lineRule="auto"/>
        <w:outlineLvl w:val="1"/>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t>ПРОЈЕКЦИЈЕ ПРИХОДА ОД ИНДИРЕКТНИХ ПОРЕЗА 2022</w:t>
      </w:r>
      <w:r w:rsidR="00AE5455">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
          <w:sz w:val="24"/>
          <w:szCs w:val="24"/>
          <w:lang w:val="sr-Cyrl-RS" w:eastAsia="hr-HR"/>
        </w:rPr>
        <w:t>2025. ГОДИНЕ</w:t>
      </w:r>
    </w:p>
    <w:p w14:paraId="4289F494"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4178B3B2" w14:textId="77777777" w:rsidR="00EA0FD7" w:rsidRPr="00EA0FD7" w:rsidRDefault="00EA0FD7" w:rsidP="00EA0FD7">
      <w:pPr>
        <w:tabs>
          <w:tab w:val="left" w:pos="0"/>
        </w:tabs>
        <w:spacing w:after="0" w:line="240" w:lineRule="auto"/>
        <w:jc w:val="both"/>
        <w:rPr>
          <w:rFonts w:ascii="Times New Roman" w:eastAsia="Times New Roman" w:hAnsi="Times New Roman" w:cs="Times New Roman"/>
          <w:b/>
          <w:sz w:val="24"/>
          <w:szCs w:val="24"/>
          <w:lang w:val="sr-Cyrl-RS" w:eastAsia="hr-HR"/>
        </w:rPr>
      </w:pPr>
    </w:p>
    <w:p w14:paraId="4E929D03" w14:textId="77777777" w:rsidR="00EA0FD7" w:rsidRPr="00EA0FD7" w:rsidRDefault="00EA0FD7" w:rsidP="00EA0FD7">
      <w:pPr>
        <w:keepNext/>
        <w:spacing w:after="0" w:line="240" w:lineRule="auto"/>
        <w:jc w:val="both"/>
        <w:outlineLvl w:val="0"/>
        <w:rPr>
          <w:rFonts w:ascii="Times New Roman" w:eastAsia="Times New Roman" w:hAnsi="Times New Roman" w:cs="Times New Roman"/>
          <w:b/>
          <w:kern w:val="24"/>
          <w:sz w:val="24"/>
          <w:szCs w:val="24"/>
          <w:lang w:val="sr-Cyrl-RS" w:eastAsia="hr-HR"/>
        </w:rPr>
      </w:pPr>
      <w:bookmarkStart w:id="25" w:name="_Toc4666029"/>
      <w:bookmarkStart w:id="26" w:name="_Toc100751289"/>
      <w:r w:rsidRPr="00EA0FD7">
        <w:rPr>
          <w:rFonts w:ascii="Times New Roman" w:eastAsia="Times New Roman" w:hAnsi="Times New Roman" w:cs="Times New Roman"/>
          <w:b/>
          <w:kern w:val="24"/>
          <w:sz w:val="24"/>
          <w:szCs w:val="24"/>
          <w:lang w:val="sr-Cyrl-RS" w:eastAsia="hr-HR"/>
        </w:rPr>
        <w:t>Основе и претпоставке пројекција прихода од индиректних пореза</w:t>
      </w:r>
      <w:bookmarkEnd w:id="25"/>
      <w:r w:rsidRPr="00EA0FD7">
        <w:rPr>
          <w:rFonts w:ascii="Times New Roman" w:eastAsia="Times New Roman" w:hAnsi="Times New Roman" w:cs="Times New Roman"/>
          <w:b/>
          <w:kern w:val="24"/>
          <w:sz w:val="24"/>
          <w:szCs w:val="24"/>
          <w:lang w:val="sr-Cyrl-RS" w:eastAsia="hr-HR"/>
        </w:rPr>
        <w:t xml:space="preserve"> из основног сценарија</w:t>
      </w:r>
      <w:bookmarkEnd w:id="26"/>
    </w:p>
    <w:p w14:paraId="699E64C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7C8C8386" w14:textId="3B8A3EBE"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Пројекције прихода од индиректних пореза темеље се на пројекцијама макроекономских показатеља ДЕП-а из марта 2022. године, а узимају у обзир трендове наплате индиректних пореза,</w:t>
      </w:r>
      <w:r w:rsidR="00AE5455">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 xml:space="preserve">те текуће владине политике у области индиректног опорезивања (основни или </w:t>
      </w:r>
      <w:r w:rsidR="00AE5455">
        <w:rPr>
          <w:rFonts w:ascii="Times New Roman" w:eastAsia="Times New Roman" w:hAnsi="Times New Roman" w:cs="Times New Roman"/>
          <w:i/>
          <w:sz w:val="24"/>
          <w:szCs w:val="24"/>
          <w:lang w:val="sr-Cyrl-RS" w:eastAsia="hr-HR"/>
        </w:rPr>
        <w:t>baseline</w:t>
      </w:r>
      <w:r w:rsidRPr="00EA0FD7">
        <w:rPr>
          <w:rFonts w:ascii="Times New Roman" w:eastAsia="Times New Roman" w:hAnsi="Times New Roman" w:cs="Times New Roman"/>
          <w:sz w:val="24"/>
          <w:szCs w:val="24"/>
          <w:lang w:val="sr-Cyrl-RS" w:eastAsia="hr-HR"/>
        </w:rPr>
        <w:t xml:space="preserve"> сценарио).</w:t>
      </w:r>
    </w:p>
    <w:p w14:paraId="359EA118" w14:textId="77777777" w:rsidR="00EA0FD7" w:rsidRPr="00EA0FD7" w:rsidRDefault="00EA0FD7" w:rsidP="00EA0FD7">
      <w:pPr>
        <w:keepNext/>
        <w:tabs>
          <w:tab w:val="left" w:pos="3010"/>
          <w:tab w:val="left" w:pos="3294"/>
          <w:tab w:val="left" w:pos="5196"/>
        </w:tabs>
        <w:spacing w:after="0" w:line="240" w:lineRule="auto"/>
        <w:outlineLvl w:val="1"/>
        <w:rPr>
          <w:rFonts w:ascii="Times New Roman" w:eastAsia="Times New Roman" w:hAnsi="Times New Roman" w:cs="Times New Roman"/>
          <w:sz w:val="24"/>
          <w:szCs w:val="24"/>
          <w:lang w:val="sr-Cyrl-RS" w:eastAsia="hr-HR"/>
        </w:rPr>
      </w:pPr>
      <w:bookmarkStart w:id="27" w:name="_Toc4666030"/>
      <w:bookmarkStart w:id="28" w:name="_Toc100751290"/>
    </w:p>
    <w:p w14:paraId="2196E179" w14:textId="77777777" w:rsidR="00EA0FD7" w:rsidRPr="00EA0FD7" w:rsidRDefault="00EA0FD7" w:rsidP="00EA0FD7">
      <w:pPr>
        <w:keepNext/>
        <w:tabs>
          <w:tab w:val="left" w:pos="3010"/>
          <w:tab w:val="left" w:pos="3294"/>
          <w:tab w:val="left" w:pos="5196"/>
        </w:tabs>
        <w:spacing w:after="0" w:line="240" w:lineRule="auto"/>
        <w:outlineLvl w:val="1"/>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t>Пројекције макроекономских показатеља, ДЕП, март 20</w:t>
      </w:r>
      <w:bookmarkEnd w:id="27"/>
      <w:r w:rsidRPr="00EA0FD7">
        <w:rPr>
          <w:rFonts w:ascii="Times New Roman" w:eastAsia="Times New Roman" w:hAnsi="Times New Roman" w:cs="Times New Roman"/>
          <w:b/>
          <w:sz w:val="24"/>
          <w:szCs w:val="24"/>
          <w:lang w:val="sr-Cyrl-RS" w:eastAsia="hr-HR"/>
        </w:rPr>
        <w:t>22</w:t>
      </w:r>
      <w:bookmarkEnd w:id="28"/>
      <w:r w:rsidRPr="00EA0FD7">
        <w:rPr>
          <w:rFonts w:ascii="Times New Roman" w:eastAsia="Times New Roman" w:hAnsi="Times New Roman" w:cs="Times New Roman"/>
          <w:b/>
          <w:sz w:val="24"/>
          <w:szCs w:val="24"/>
          <w:lang w:val="sr-Cyrl-RS" w:eastAsia="hr-HR"/>
        </w:rPr>
        <w:t>. године</w:t>
      </w:r>
    </w:p>
    <w:p w14:paraId="3454AAE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F2E73B5" w14:textId="19729DF2"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bookmarkStart w:id="29" w:name="_Toc52447917"/>
      <w:r w:rsidRPr="00EA0FD7">
        <w:rPr>
          <w:rFonts w:ascii="Times New Roman" w:eastAsia="Times New Roman" w:hAnsi="Times New Roman" w:cs="Times New Roman"/>
          <w:bCs/>
          <w:sz w:val="24"/>
          <w:szCs w:val="24"/>
          <w:lang w:val="sr-Cyrl-RS" w:eastAsia="hr-HR"/>
        </w:rPr>
        <w:t>У Табели 3.1. су представљене посљедње пројекције</w:t>
      </w:r>
      <w:r w:rsidRPr="00EA0FD7">
        <w:rPr>
          <w:rFonts w:ascii="Times New Roman" w:eastAsia="Times New Roman" w:hAnsi="Times New Roman" w:cs="Times New Roman"/>
          <w:sz w:val="24"/>
          <w:szCs w:val="24"/>
          <w:lang w:val="sr-Cyrl-RS" w:eastAsia="hr-HR"/>
        </w:rPr>
        <w:t xml:space="preserve"> Дирекције за економско планирање БиХ (ДЕП, март, 2022) </w:t>
      </w:r>
      <w:r w:rsidRPr="00EA0FD7">
        <w:rPr>
          <w:rFonts w:ascii="Times New Roman" w:eastAsia="Times New Roman" w:hAnsi="Times New Roman" w:cs="Times New Roman"/>
          <w:bCs/>
          <w:sz w:val="24"/>
          <w:szCs w:val="24"/>
          <w:lang w:val="sr-Cyrl-RS" w:eastAsia="hr-HR"/>
        </w:rPr>
        <w:t>номиналног и реалног раста БДП-а за период 2022</w:t>
      </w:r>
      <w:r w:rsidR="00AE5455">
        <w:rPr>
          <w:rFonts w:ascii="Times New Roman" w:eastAsia="Times New Roman" w:hAnsi="Times New Roman" w:cs="Times New Roman"/>
          <w:bCs/>
          <w:sz w:val="24"/>
          <w:szCs w:val="24"/>
          <w:lang w:val="sr-Cyrl-RS" w:eastAsia="hr-HR"/>
        </w:rPr>
        <w:t>–</w:t>
      </w:r>
      <w:r w:rsidRPr="00EA0FD7">
        <w:rPr>
          <w:rFonts w:ascii="Times New Roman" w:eastAsia="Times New Roman" w:hAnsi="Times New Roman" w:cs="Times New Roman"/>
          <w:bCs/>
          <w:sz w:val="24"/>
          <w:szCs w:val="24"/>
          <w:lang w:val="sr-Cyrl-RS" w:eastAsia="hr-HR"/>
        </w:rPr>
        <w:t>2025. У ДЕП-у се позивају на званичне податке Агенције за статистику БиХ (БХАС, фебруар 2022. године) према којима је БиХ у 2020. години забиљежила реални пад БДП-а од 3,2% у односу на претходну годину.</w:t>
      </w:r>
      <w:r w:rsidRPr="00EA0FD7">
        <w:rPr>
          <w:rFonts w:ascii="Times New Roman" w:eastAsia="Times New Roman" w:hAnsi="Times New Roman" w:cs="Times New Roman"/>
          <w:sz w:val="24"/>
          <w:szCs w:val="24"/>
          <w:lang w:val="sr-Cyrl-RS" w:eastAsia="hr-HR"/>
        </w:rPr>
        <w:t xml:space="preserve"> На бази расположивих података националних рачуна за три квартала и краткорочних статистичких показатеља за четврти квартал 2021. године, ДЕП је процијенио да је БиХ у 2021. години забиљежила реални раст БДП-а од 5,4%. </w:t>
      </w:r>
    </w:p>
    <w:p w14:paraId="2419BB46"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p>
    <w:p w14:paraId="0A324214" w14:textId="77777777" w:rsidR="00EA0FD7" w:rsidRPr="00EA0FD7" w:rsidRDefault="00EA0FD7" w:rsidP="00EA0FD7">
      <w:pPr>
        <w:spacing w:after="0" w:line="240" w:lineRule="auto"/>
        <w:jc w:val="both"/>
        <w:rPr>
          <w:rFonts w:ascii="Times New Roman" w:eastAsia="Times New Roman" w:hAnsi="Times New Roman" w:cs="Times New Roman"/>
          <w:bCs/>
          <w:sz w:val="20"/>
          <w:szCs w:val="20"/>
          <w:lang w:val="sr-Cyrl-RS" w:eastAsia="hr-HR"/>
        </w:rPr>
      </w:pPr>
      <w:bookmarkStart w:id="30" w:name="_Toc100909148"/>
    </w:p>
    <w:p w14:paraId="451D9DFB"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
          <w:bCs/>
          <w:sz w:val="24"/>
          <w:szCs w:val="24"/>
          <w:lang w:val="sr-Cyrl-RS" w:eastAsia="hr-HR"/>
        </w:rPr>
        <w:t xml:space="preserve">Табела 3. </w:t>
      </w:r>
      <w:r w:rsidRPr="00EA0FD7">
        <w:rPr>
          <w:rFonts w:ascii="Times New Roman" w:eastAsia="Times New Roman" w:hAnsi="Times New Roman" w:cs="Times New Roman"/>
          <w:sz w:val="24"/>
          <w:szCs w:val="24"/>
          <w:lang w:val="sr-Cyrl-RS" w:eastAsia="hr-HR"/>
        </w:rPr>
        <w:fldChar w:fldCharType="begin"/>
      </w:r>
      <w:r w:rsidRPr="00EA0FD7">
        <w:rPr>
          <w:rFonts w:ascii="Times New Roman" w:eastAsia="Times New Roman" w:hAnsi="Times New Roman" w:cs="Times New Roman"/>
          <w:b/>
          <w:bCs/>
          <w:sz w:val="24"/>
          <w:szCs w:val="24"/>
          <w:lang w:val="sr-Cyrl-RS" w:eastAsia="hr-HR"/>
        </w:rPr>
        <w:instrText xml:space="preserve"> SEQ Tabela \* ARABIC </w:instrText>
      </w:r>
      <w:r w:rsidRPr="00EA0FD7">
        <w:rPr>
          <w:rFonts w:ascii="Times New Roman" w:eastAsia="Times New Roman" w:hAnsi="Times New Roman" w:cs="Times New Roman"/>
          <w:sz w:val="24"/>
          <w:szCs w:val="24"/>
          <w:lang w:val="sr-Cyrl-RS" w:eastAsia="hr-HR"/>
        </w:rPr>
        <w:fldChar w:fldCharType="separate"/>
      </w:r>
      <w:r w:rsidRPr="00EA0FD7">
        <w:rPr>
          <w:rFonts w:ascii="Times New Roman" w:eastAsia="Times New Roman" w:hAnsi="Times New Roman" w:cs="Times New Roman"/>
          <w:b/>
          <w:bCs/>
          <w:sz w:val="24"/>
          <w:szCs w:val="24"/>
          <w:lang w:val="sr-Cyrl-RS" w:eastAsia="hr-HR"/>
        </w:rPr>
        <w:t>1</w:t>
      </w:r>
      <w:r w:rsidRPr="00EA0FD7">
        <w:rPr>
          <w:rFonts w:ascii="Times New Roman" w:eastAsia="Times New Roman" w:hAnsi="Times New Roman" w:cs="Times New Roman"/>
          <w:sz w:val="24"/>
          <w:szCs w:val="24"/>
          <w:lang w:val="sr-Cyrl-RS" w:eastAsia="hr-HR"/>
        </w:rPr>
        <w:fldChar w:fldCharType="end"/>
      </w:r>
      <w:r w:rsidRPr="00EA0FD7">
        <w:rPr>
          <w:rFonts w:ascii="Times New Roman" w:eastAsia="Times New Roman" w:hAnsi="Times New Roman" w:cs="Times New Roman"/>
          <w:b/>
          <w:bCs/>
          <w:sz w:val="24"/>
          <w:szCs w:val="24"/>
          <w:lang w:val="sr-Cyrl-RS" w:eastAsia="hr-HR"/>
        </w:rPr>
        <w:t>.</w:t>
      </w:r>
      <w:r w:rsidRPr="00EA0FD7">
        <w:rPr>
          <w:rFonts w:ascii="Times New Roman" w:eastAsia="Times New Roman" w:hAnsi="Times New Roman" w:cs="Times New Roman"/>
          <w:bCs/>
          <w:sz w:val="24"/>
          <w:szCs w:val="24"/>
          <w:lang w:val="sr-Cyrl-RS" w:eastAsia="hr-HR"/>
        </w:rPr>
        <w:t xml:space="preserve"> Пројекција раста БДП-а</w:t>
      </w:r>
      <w:bookmarkEnd w:id="29"/>
      <w:r w:rsidRPr="00EA0FD7">
        <w:rPr>
          <w:rFonts w:ascii="Times New Roman" w:eastAsia="Times New Roman" w:hAnsi="Times New Roman" w:cs="Times New Roman"/>
          <w:bCs/>
          <w:sz w:val="24"/>
          <w:szCs w:val="24"/>
          <w:lang w:val="sr-Cyrl-RS" w:eastAsia="hr-HR"/>
        </w:rPr>
        <w:t>, ДЕП, март 2022</w:t>
      </w:r>
      <w:bookmarkEnd w:id="30"/>
      <w:r w:rsidRPr="00EA0FD7">
        <w:rPr>
          <w:rFonts w:ascii="Times New Roman" w:eastAsia="Times New Roman" w:hAnsi="Times New Roman" w:cs="Times New Roman"/>
          <w:bCs/>
          <w:sz w:val="24"/>
          <w:szCs w:val="24"/>
          <w:lang w:val="sr-Cyrl-RS" w:eastAsia="hr-HR"/>
        </w:rPr>
        <w:t>. године</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1048"/>
        <w:gridCol w:w="1100"/>
        <w:gridCol w:w="1100"/>
        <w:gridCol w:w="1100"/>
        <w:gridCol w:w="1100"/>
        <w:gridCol w:w="1100"/>
      </w:tblGrid>
      <w:tr w:rsidR="00EA0FD7" w:rsidRPr="00EA0FD7" w14:paraId="2B090C20" w14:textId="77777777" w:rsidTr="00EA0FD7">
        <w:trPr>
          <w:trHeight w:hRule="exact" w:val="452"/>
        </w:trPr>
        <w:tc>
          <w:tcPr>
            <w:tcW w:w="3096" w:type="dxa"/>
            <w:tcBorders>
              <w:top w:val="single" w:sz="4" w:space="0" w:color="auto"/>
              <w:left w:val="single" w:sz="4" w:space="0" w:color="auto"/>
              <w:bottom w:val="single" w:sz="4" w:space="0" w:color="auto"/>
              <w:right w:val="single" w:sz="4" w:space="0" w:color="auto"/>
            </w:tcBorders>
            <w:shd w:val="clear" w:color="auto" w:fill="FDE9D9"/>
            <w:noWrap/>
            <w:vAlign w:val="bottom"/>
          </w:tcPr>
          <w:p w14:paraId="1C42802D" w14:textId="77777777" w:rsidR="00EA0FD7" w:rsidRPr="00EA0FD7" w:rsidRDefault="00EA0FD7" w:rsidP="00EA0FD7">
            <w:pPr>
              <w:spacing w:after="0" w:line="240" w:lineRule="auto"/>
              <w:rPr>
                <w:rFonts w:ascii="Times New Roman" w:eastAsia="Times New Roman" w:hAnsi="Times New Roman" w:cs="Times New Roman"/>
                <w:color w:val="000000"/>
                <w:sz w:val="24"/>
                <w:szCs w:val="24"/>
                <w:lang w:val="sr-Cyrl-RS" w:eastAsia="sr-Latn-BA"/>
              </w:rPr>
            </w:pPr>
          </w:p>
        </w:tc>
        <w:tc>
          <w:tcPr>
            <w:tcW w:w="1048"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E3BF798" w14:textId="77777777" w:rsidR="00EA0FD7" w:rsidRPr="00EA0FD7" w:rsidRDefault="00EA0FD7" w:rsidP="00EA0FD7">
            <w:pPr>
              <w:spacing w:after="0" w:line="240" w:lineRule="auto"/>
              <w:jc w:val="center"/>
              <w:rPr>
                <w:rFonts w:ascii="Times New Roman" w:eastAsia="Times New Roman" w:hAnsi="Times New Roman" w:cs="Times New Roman"/>
                <w:color w:val="000000"/>
                <w:sz w:val="20"/>
                <w:szCs w:val="20"/>
                <w:lang w:val="sr-Cyrl-RS" w:eastAsia="sr-Latn-BA"/>
              </w:rPr>
            </w:pPr>
            <w:r w:rsidRPr="00EA0FD7">
              <w:rPr>
                <w:rFonts w:ascii="Times New Roman" w:eastAsia="Times New Roman" w:hAnsi="Times New Roman" w:cs="Times New Roman"/>
                <w:color w:val="000000"/>
                <w:sz w:val="20"/>
                <w:szCs w:val="20"/>
                <w:lang w:val="sr-Cyrl-RS" w:eastAsia="sr-Latn-BA"/>
              </w:rPr>
              <w:t>званични подаци</w:t>
            </w:r>
          </w:p>
        </w:tc>
        <w:tc>
          <w:tcPr>
            <w:tcW w:w="5495" w:type="dxa"/>
            <w:gridSpan w:val="5"/>
            <w:tcBorders>
              <w:top w:val="single" w:sz="4" w:space="0" w:color="auto"/>
              <w:left w:val="single" w:sz="4" w:space="0" w:color="auto"/>
              <w:bottom w:val="single" w:sz="4" w:space="0" w:color="auto"/>
              <w:right w:val="single" w:sz="4" w:space="0" w:color="auto"/>
            </w:tcBorders>
            <w:shd w:val="clear" w:color="auto" w:fill="FDE9D9"/>
            <w:vAlign w:val="center"/>
            <w:hideMark/>
          </w:tcPr>
          <w:p w14:paraId="1D96535E" w14:textId="77777777" w:rsidR="00EA0FD7" w:rsidRPr="00EA0FD7" w:rsidRDefault="00EA0FD7" w:rsidP="00EA0FD7">
            <w:pPr>
              <w:spacing w:after="0" w:line="240" w:lineRule="auto"/>
              <w:jc w:val="center"/>
              <w:rPr>
                <w:rFonts w:ascii="Times New Roman" w:eastAsia="Times New Roman" w:hAnsi="Times New Roman" w:cs="Times New Roman"/>
                <w:color w:val="000000"/>
                <w:sz w:val="20"/>
                <w:szCs w:val="20"/>
                <w:lang w:val="sr-Cyrl-RS" w:eastAsia="sr-Latn-BA"/>
              </w:rPr>
            </w:pPr>
            <w:r w:rsidRPr="00EA0FD7">
              <w:rPr>
                <w:rFonts w:ascii="Times New Roman" w:eastAsia="Times New Roman" w:hAnsi="Times New Roman" w:cs="Times New Roman"/>
                <w:color w:val="000000"/>
                <w:sz w:val="20"/>
                <w:szCs w:val="20"/>
                <w:lang w:val="sr-Cyrl-RS" w:eastAsia="sr-Latn-BA"/>
              </w:rPr>
              <w:t>пројекције</w:t>
            </w:r>
          </w:p>
        </w:tc>
      </w:tr>
      <w:tr w:rsidR="00EA0FD7" w:rsidRPr="00EA0FD7" w14:paraId="051F603A" w14:textId="77777777" w:rsidTr="00EA0FD7">
        <w:trPr>
          <w:trHeight w:hRule="exact" w:val="284"/>
        </w:trPr>
        <w:tc>
          <w:tcPr>
            <w:tcW w:w="3096" w:type="dxa"/>
            <w:tcBorders>
              <w:top w:val="single" w:sz="4" w:space="0" w:color="auto"/>
              <w:left w:val="single" w:sz="4" w:space="0" w:color="auto"/>
              <w:bottom w:val="single" w:sz="4" w:space="0" w:color="auto"/>
              <w:right w:val="single" w:sz="4" w:space="0" w:color="auto"/>
            </w:tcBorders>
            <w:shd w:val="clear" w:color="auto" w:fill="FDE9D9"/>
            <w:noWrap/>
            <w:vAlign w:val="bottom"/>
          </w:tcPr>
          <w:p w14:paraId="1522EC56" w14:textId="77777777" w:rsidR="00EA0FD7" w:rsidRPr="00EA0FD7" w:rsidRDefault="00EA0FD7" w:rsidP="00EA0FD7">
            <w:pPr>
              <w:spacing w:after="0" w:line="240" w:lineRule="auto"/>
              <w:rPr>
                <w:rFonts w:ascii="Times New Roman" w:eastAsia="Times New Roman" w:hAnsi="Times New Roman" w:cs="Times New Roman"/>
                <w:color w:val="000000"/>
                <w:sz w:val="24"/>
                <w:szCs w:val="24"/>
                <w:lang w:val="sr-Cyrl-RS" w:eastAsia="sr-Latn-BA"/>
              </w:rPr>
            </w:pPr>
          </w:p>
        </w:tc>
        <w:tc>
          <w:tcPr>
            <w:tcW w:w="1048"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77D1685E" w14:textId="5D220988"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eastAsia="bs-Latn-BA"/>
              </w:rPr>
            </w:pPr>
            <w:r w:rsidRPr="00EA0FD7">
              <w:rPr>
                <w:rFonts w:ascii="Times New Roman" w:eastAsia="Calibri" w:hAnsi="Times New Roman" w:cs="Times New Roman"/>
                <w:color w:val="000000"/>
                <w:sz w:val="24"/>
                <w:szCs w:val="24"/>
                <w:lang w:val="sr-Cyrl-RS" w:eastAsia="bs-Latn-BA"/>
              </w:rPr>
              <w:t>2020</w:t>
            </w:r>
            <w:r w:rsidR="00AE5455">
              <w:rPr>
                <w:rFonts w:ascii="Times New Roman" w:eastAsia="Calibri" w:hAnsi="Times New Roman" w:cs="Times New Roman"/>
                <w:color w:val="000000"/>
                <w:sz w:val="24"/>
                <w:szCs w:val="24"/>
                <w:lang w:val="sr-Cyrl-RS" w:eastAsia="bs-Latn-BA"/>
              </w:rPr>
              <w:t>.</w:t>
            </w:r>
          </w:p>
        </w:tc>
        <w:tc>
          <w:tcPr>
            <w:tcW w:w="1099"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79DE924" w14:textId="7DD47E38"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eastAsia="bs-Latn-BA"/>
              </w:rPr>
            </w:pPr>
            <w:r w:rsidRPr="00EA0FD7">
              <w:rPr>
                <w:rFonts w:ascii="Times New Roman" w:eastAsia="Calibri" w:hAnsi="Times New Roman" w:cs="Times New Roman"/>
                <w:color w:val="000000"/>
                <w:sz w:val="24"/>
                <w:szCs w:val="24"/>
                <w:lang w:val="sr-Cyrl-RS" w:eastAsia="bs-Latn-BA"/>
              </w:rPr>
              <w:t>2021</w:t>
            </w:r>
            <w:r w:rsidR="00AE5455">
              <w:rPr>
                <w:rFonts w:ascii="Times New Roman" w:eastAsia="Calibri" w:hAnsi="Times New Roman" w:cs="Times New Roman"/>
                <w:color w:val="000000"/>
                <w:sz w:val="24"/>
                <w:szCs w:val="24"/>
                <w:lang w:val="sr-Cyrl-RS" w:eastAsia="bs-Latn-BA"/>
              </w:rPr>
              <w:t>.</w:t>
            </w:r>
          </w:p>
        </w:tc>
        <w:tc>
          <w:tcPr>
            <w:tcW w:w="1099"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4005E1D2" w14:textId="5BFB260D"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eastAsia="bs-Latn-BA"/>
              </w:rPr>
            </w:pPr>
            <w:r w:rsidRPr="00EA0FD7">
              <w:rPr>
                <w:rFonts w:ascii="Times New Roman" w:eastAsia="Calibri" w:hAnsi="Times New Roman" w:cs="Times New Roman"/>
                <w:color w:val="000000"/>
                <w:sz w:val="24"/>
                <w:szCs w:val="24"/>
                <w:lang w:val="sr-Cyrl-RS" w:eastAsia="bs-Latn-BA"/>
              </w:rPr>
              <w:t>2022</w:t>
            </w:r>
            <w:r w:rsidR="00AE5455">
              <w:rPr>
                <w:rFonts w:ascii="Times New Roman" w:eastAsia="Calibri" w:hAnsi="Times New Roman" w:cs="Times New Roman"/>
                <w:color w:val="000000"/>
                <w:sz w:val="24"/>
                <w:szCs w:val="24"/>
                <w:lang w:val="sr-Cyrl-RS" w:eastAsia="bs-Latn-BA"/>
              </w:rPr>
              <w:t>.</w:t>
            </w:r>
          </w:p>
        </w:tc>
        <w:tc>
          <w:tcPr>
            <w:tcW w:w="1099"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CB503AA" w14:textId="4CEF965D"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eastAsia="bs-Latn-BA"/>
              </w:rPr>
            </w:pPr>
            <w:r w:rsidRPr="00EA0FD7">
              <w:rPr>
                <w:rFonts w:ascii="Times New Roman" w:eastAsia="Calibri" w:hAnsi="Times New Roman" w:cs="Times New Roman"/>
                <w:color w:val="000000"/>
                <w:sz w:val="24"/>
                <w:szCs w:val="24"/>
                <w:lang w:val="sr-Cyrl-RS" w:eastAsia="bs-Latn-BA"/>
              </w:rPr>
              <w:t>2023</w:t>
            </w:r>
            <w:r w:rsidR="00AE5455">
              <w:rPr>
                <w:rFonts w:ascii="Times New Roman" w:eastAsia="Calibri" w:hAnsi="Times New Roman" w:cs="Times New Roman"/>
                <w:color w:val="000000"/>
                <w:sz w:val="24"/>
                <w:szCs w:val="24"/>
                <w:lang w:val="sr-Cyrl-RS" w:eastAsia="bs-Latn-BA"/>
              </w:rPr>
              <w:t>.</w:t>
            </w:r>
          </w:p>
        </w:tc>
        <w:tc>
          <w:tcPr>
            <w:tcW w:w="1099"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075A6A73" w14:textId="1E685F3B"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eastAsia="bs-Latn-BA"/>
              </w:rPr>
            </w:pPr>
            <w:r w:rsidRPr="00EA0FD7">
              <w:rPr>
                <w:rFonts w:ascii="Times New Roman" w:eastAsia="Calibri" w:hAnsi="Times New Roman" w:cs="Times New Roman"/>
                <w:color w:val="000000"/>
                <w:sz w:val="24"/>
                <w:szCs w:val="24"/>
                <w:lang w:val="sr-Cyrl-RS" w:eastAsia="bs-Latn-BA"/>
              </w:rPr>
              <w:t>2024</w:t>
            </w:r>
            <w:r w:rsidR="00AE5455">
              <w:rPr>
                <w:rFonts w:ascii="Times New Roman" w:eastAsia="Calibri" w:hAnsi="Times New Roman" w:cs="Times New Roman"/>
                <w:color w:val="000000"/>
                <w:sz w:val="24"/>
                <w:szCs w:val="24"/>
                <w:lang w:val="sr-Cyrl-RS" w:eastAsia="bs-Latn-BA"/>
              </w:rPr>
              <w:t>.</w:t>
            </w:r>
          </w:p>
        </w:tc>
        <w:tc>
          <w:tcPr>
            <w:tcW w:w="1099"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2B28183" w14:textId="251A0E10"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eastAsia="bs-Latn-BA"/>
              </w:rPr>
            </w:pPr>
            <w:r w:rsidRPr="00EA0FD7">
              <w:rPr>
                <w:rFonts w:ascii="Times New Roman" w:eastAsia="Calibri" w:hAnsi="Times New Roman" w:cs="Times New Roman"/>
                <w:color w:val="000000"/>
                <w:sz w:val="24"/>
                <w:szCs w:val="24"/>
                <w:lang w:val="sr-Cyrl-RS" w:eastAsia="bs-Latn-BA"/>
              </w:rPr>
              <w:t>2025</w:t>
            </w:r>
            <w:r w:rsidR="00AE5455">
              <w:rPr>
                <w:rFonts w:ascii="Times New Roman" w:eastAsia="Calibri" w:hAnsi="Times New Roman" w:cs="Times New Roman"/>
                <w:color w:val="000000"/>
                <w:sz w:val="24"/>
                <w:szCs w:val="24"/>
                <w:lang w:val="sr-Cyrl-RS" w:eastAsia="bs-Latn-BA"/>
              </w:rPr>
              <w:t>.</w:t>
            </w:r>
          </w:p>
        </w:tc>
      </w:tr>
      <w:tr w:rsidR="00EA0FD7" w:rsidRPr="00EA0FD7" w14:paraId="0F598C95" w14:textId="77777777" w:rsidTr="00EA0FD7">
        <w:trPr>
          <w:trHeight w:hRule="exact" w:val="284"/>
        </w:trPr>
        <w:tc>
          <w:tcPr>
            <w:tcW w:w="3096" w:type="dxa"/>
            <w:tcBorders>
              <w:top w:val="single" w:sz="4" w:space="0" w:color="auto"/>
              <w:left w:val="single" w:sz="4" w:space="0" w:color="auto"/>
              <w:bottom w:val="single" w:sz="4" w:space="0" w:color="auto"/>
              <w:right w:val="single" w:sz="4" w:space="0" w:color="auto"/>
            </w:tcBorders>
            <w:noWrap/>
            <w:vAlign w:val="bottom"/>
            <w:hideMark/>
          </w:tcPr>
          <w:p w14:paraId="1FBB382F" w14:textId="77777777" w:rsidR="00EA0FD7" w:rsidRPr="00EA0FD7" w:rsidRDefault="00EA0FD7" w:rsidP="00EA0FD7">
            <w:pPr>
              <w:spacing w:after="0" w:line="240" w:lineRule="auto"/>
              <w:rPr>
                <w:rFonts w:ascii="Times New Roman" w:eastAsia="Times New Roman" w:hAnsi="Times New Roman" w:cs="Times New Roman"/>
                <w:color w:val="000000"/>
                <w:sz w:val="24"/>
                <w:szCs w:val="24"/>
                <w:lang w:val="sr-Cyrl-RS" w:eastAsia="sr-Latn-BA"/>
              </w:rPr>
            </w:pPr>
            <w:r w:rsidRPr="00EA0FD7">
              <w:rPr>
                <w:rFonts w:ascii="Times New Roman" w:eastAsia="Times New Roman" w:hAnsi="Times New Roman" w:cs="Times New Roman"/>
                <w:color w:val="000000"/>
                <w:sz w:val="24"/>
                <w:szCs w:val="24"/>
                <w:lang w:val="sr-Cyrl-RS" w:eastAsia="sr-Latn-BA"/>
              </w:rPr>
              <w:t>Номинални раст</w:t>
            </w:r>
          </w:p>
        </w:tc>
        <w:tc>
          <w:tcPr>
            <w:tcW w:w="1048" w:type="dxa"/>
            <w:tcBorders>
              <w:top w:val="single" w:sz="4" w:space="0" w:color="auto"/>
              <w:left w:val="single" w:sz="4" w:space="0" w:color="auto"/>
              <w:bottom w:val="single" w:sz="4" w:space="0" w:color="auto"/>
              <w:right w:val="single" w:sz="4" w:space="0" w:color="auto"/>
            </w:tcBorders>
            <w:vAlign w:val="center"/>
            <w:hideMark/>
          </w:tcPr>
          <w:p w14:paraId="6C6735DE" w14:textId="77777777"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rPr>
            </w:pPr>
            <w:r w:rsidRPr="00EA0FD7">
              <w:rPr>
                <w:rFonts w:ascii="Times New Roman" w:eastAsia="Calibri" w:hAnsi="Times New Roman" w:cs="Times New Roman"/>
                <w:color w:val="000000"/>
                <w:sz w:val="24"/>
                <w:szCs w:val="24"/>
                <w:lang w:val="sr-Cyrl-RS"/>
              </w:rPr>
              <w:t>-3,0</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4E8A7AD6" w14:textId="77777777"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rPr>
            </w:pPr>
            <w:r w:rsidRPr="00EA0FD7">
              <w:rPr>
                <w:rFonts w:ascii="Times New Roman" w:eastAsia="Calibri" w:hAnsi="Times New Roman" w:cs="Times New Roman"/>
                <w:color w:val="000000"/>
                <w:sz w:val="24"/>
                <w:szCs w:val="24"/>
                <w:lang w:val="sr-Cyrl-RS"/>
              </w:rPr>
              <w:t>6,0</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319740E1" w14:textId="77777777"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rPr>
            </w:pPr>
            <w:r w:rsidRPr="00EA0FD7">
              <w:rPr>
                <w:rFonts w:ascii="Times New Roman" w:eastAsia="Calibri" w:hAnsi="Times New Roman" w:cs="Times New Roman"/>
                <w:color w:val="000000"/>
                <w:sz w:val="24"/>
                <w:szCs w:val="24"/>
                <w:lang w:val="sr-Cyrl-RS"/>
              </w:rPr>
              <w:t>5,4</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12A0C91D" w14:textId="77777777"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rPr>
            </w:pPr>
            <w:r w:rsidRPr="00EA0FD7">
              <w:rPr>
                <w:rFonts w:ascii="Times New Roman" w:eastAsia="Calibri" w:hAnsi="Times New Roman" w:cs="Times New Roman"/>
                <w:color w:val="000000"/>
                <w:sz w:val="24"/>
                <w:szCs w:val="24"/>
                <w:lang w:val="sr-Cyrl-RS"/>
              </w:rPr>
              <w:t>4,4</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3D501B0D" w14:textId="77777777"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rPr>
            </w:pPr>
            <w:r w:rsidRPr="00EA0FD7">
              <w:rPr>
                <w:rFonts w:ascii="Times New Roman" w:eastAsia="Calibri" w:hAnsi="Times New Roman" w:cs="Times New Roman"/>
                <w:color w:val="000000"/>
                <w:sz w:val="24"/>
                <w:szCs w:val="24"/>
                <w:lang w:val="sr-Cyrl-RS"/>
              </w:rPr>
              <w:t>4,7</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452AA06F" w14:textId="77777777"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rPr>
            </w:pPr>
            <w:r w:rsidRPr="00EA0FD7">
              <w:rPr>
                <w:rFonts w:ascii="Times New Roman" w:eastAsia="Calibri" w:hAnsi="Times New Roman" w:cs="Times New Roman"/>
                <w:color w:val="000000"/>
                <w:sz w:val="24"/>
                <w:szCs w:val="24"/>
                <w:lang w:val="sr-Cyrl-RS"/>
              </w:rPr>
              <w:t>5,0</w:t>
            </w:r>
          </w:p>
        </w:tc>
      </w:tr>
      <w:tr w:rsidR="00EA0FD7" w:rsidRPr="00EA0FD7" w14:paraId="0EAEF7CD" w14:textId="77777777" w:rsidTr="00EA0FD7">
        <w:trPr>
          <w:trHeight w:hRule="exact" w:val="284"/>
        </w:trPr>
        <w:tc>
          <w:tcPr>
            <w:tcW w:w="3096" w:type="dxa"/>
            <w:tcBorders>
              <w:top w:val="single" w:sz="4" w:space="0" w:color="auto"/>
              <w:left w:val="single" w:sz="4" w:space="0" w:color="auto"/>
              <w:bottom w:val="single" w:sz="4" w:space="0" w:color="auto"/>
              <w:right w:val="single" w:sz="4" w:space="0" w:color="auto"/>
            </w:tcBorders>
            <w:noWrap/>
            <w:vAlign w:val="bottom"/>
            <w:hideMark/>
          </w:tcPr>
          <w:p w14:paraId="7972E3D4" w14:textId="77777777" w:rsidR="00EA0FD7" w:rsidRPr="00EA0FD7" w:rsidRDefault="00EA0FD7" w:rsidP="00EA0FD7">
            <w:pPr>
              <w:spacing w:after="0" w:line="240" w:lineRule="auto"/>
              <w:rPr>
                <w:rFonts w:ascii="Times New Roman" w:eastAsia="Times New Roman" w:hAnsi="Times New Roman" w:cs="Times New Roman"/>
                <w:color w:val="000000"/>
                <w:sz w:val="24"/>
                <w:szCs w:val="24"/>
                <w:lang w:val="sr-Cyrl-RS" w:eastAsia="sr-Latn-BA"/>
              </w:rPr>
            </w:pPr>
            <w:r w:rsidRPr="00EA0FD7">
              <w:rPr>
                <w:rFonts w:ascii="Times New Roman" w:eastAsia="Times New Roman" w:hAnsi="Times New Roman" w:cs="Times New Roman"/>
                <w:color w:val="000000"/>
                <w:sz w:val="24"/>
                <w:szCs w:val="24"/>
                <w:lang w:val="sr-Cyrl-RS" w:eastAsia="sr-Latn-BA"/>
              </w:rPr>
              <w:t>Реални раст</w:t>
            </w:r>
          </w:p>
        </w:tc>
        <w:tc>
          <w:tcPr>
            <w:tcW w:w="1048" w:type="dxa"/>
            <w:tcBorders>
              <w:top w:val="single" w:sz="4" w:space="0" w:color="auto"/>
              <w:left w:val="single" w:sz="4" w:space="0" w:color="auto"/>
              <w:bottom w:val="single" w:sz="4" w:space="0" w:color="auto"/>
              <w:right w:val="single" w:sz="4" w:space="0" w:color="auto"/>
            </w:tcBorders>
            <w:vAlign w:val="center"/>
            <w:hideMark/>
          </w:tcPr>
          <w:p w14:paraId="479B2298" w14:textId="77777777"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rPr>
            </w:pPr>
            <w:r w:rsidRPr="00EA0FD7">
              <w:rPr>
                <w:rFonts w:ascii="Times New Roman" w:eastAsia="Calibri" w:hAnsi="Times New Roman" w:cs="Times New Roman"/>
                <w:color w:val="000000"/>
                <w:sz w:val="24"/>
                <w:szCs w:val="24"/>
                <w:lang w:val="sr-Cyrl-RS"/>
              </w:rPr>
              <w:t>-3,2</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258AEE52" w14:textId="77777777"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rPr>
            </w:pPr>
            <w:r w:rsidRPr="00EA0FD7">
              <w:rPr>
                <w:rFonts w:ascii="Times New Roman" w:eastAsia="Calibri" w:hAnsi="Times New Roman" w:cs="Times New Roman"/>
                <w:color w:val="000000"/>
                <w:sz w:val="24"/>
                <w:szCs w:val="24"/>
                <w:lang w:val="sr-Cyrl-RS"/>
              </w:rPr>
              <w:t>5,4</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5DE5961B" w14:textId="77777777"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rPr>
            </w:pPr>
            <w:r w:rsidRPr="00EA0FD7">
              <w:rPr>
                <w:rFonts w:ascii="Times New Roman" w:eastAsia="Calibri" w:hAnsi="Times New Roman" w:cs="Times New Roman"/>
                <w:color w:val="000000"/>
                <w:sz w:val="24"/>
                <w:szCs w:val="24"/>
                <w:lang w:val="sr-Cyrl-RS"/>
              </w:rPr>
              <w:t>2,1</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4BBC6D3D" w14:textId="77777777"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rPr>
            </w:pPr>
            <w:r w:rsidRPr="00EA0FD7">
              <w:rPr>
                <w:rFonts w:ascii="Times New Roman" w:eastAsia="Calibri" w:hAnsi="Times New Roman" w:cs="Times New Roman"/>
                <w:color w:val="000000"/>
                <w:sz w:val="24"/>
                <w:szCs w:val="24"/>
                <w:lang w:val="sr-Cyrl-RS"/>
              </w:rPr>
              <w:t>3,1</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16B7986D" w14:textId="77777777"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rPr>
            </w:pPr>
            <w:r w:rsidRPr="00EA0FD7">
              <w:rPr>
                <w:rFonts w:ascii="Times New Roman" w:eastAsia="Calibri" w:hAnsi="Times New Roman" w:cs="Times New Roman"/>
                <w:color w:val="000000"/>
                <w:sz w:val="24"/>
                <w:szCs w:val="24"/>
                <w:lang w:val="sr-Cyrl-RS"/>
              </w:rPr>
              <w:t>3,0</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1C5F4A38" w14:textId="77777777" w:rsidR="00EA0FD7" w:rsidRPr="00EA0FD7" w:rsidRDefault="00EA0FD7" w:rsidP="00EA0FD7">
            <w:pPr>
              <w:spacing w:after="0" w:line="240" w:lineRule="auto"/>
              <w:jc w:val="center"/>
              <w:rPr>
                <w:rFonts w:ascii="Times New Roman" w:eastAsia="Calibri" w:hAnsi="Times New Roman" w:cs="Times New Roman"/>
                <w:color w:val="000000"/>
                <w:sz w:val="24"/>
                <w:szCs w:val="24"/>
                <w:lang w:val="sr-Cyrl-RS"/>
              </w:rPr>
            </w:pPr>
            <w:r w:rsidRPr="00EA0FD7">
              <w:rPr>
                <w:rFonts w:ascii="Times New Roman" w:eastAsia="Calibri" w:hAnsi="Times New Roman" w:cs="Times New Roman"/>
                <w:color w:val="000000"/>
                <w:sz w:val="24"/>
                <w:szCs w:val="24"/>
                <w:lang w:val="sr-Cyrl-RS"/>
              </w:rPr>
              <w:t>3,4</w:t>
            </w:r>
          </w:p>
        </w:tc>
      </w:tr>
    </w:tbl>
    <w:p w14:paraId="69652273"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Извор: ДЕП, март 2022. године</w:t>
      </w:r>
    </w:p>
    <w:p w14:paraId="67E791B5"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p>
    <w:p w14:paraId="39CDB73A" w14:textId="77777777" w:rsidR="00EA0FD7" w:rsidRPr="00EA0FD7" w:rsidRDefault="00EA0FD7" w:rsidP="00EA0FD7">
      <w:pPr>
        <w:keepNext/>
        <w:keepLines/>
        <w:spacing w:before="40" w:after="0" w:line="240" w:lineRule="auto"/>
        <w:outlineLvl w:val="2"/>
        <w:rPr>
          <w:rFonts w:ascii="Times New Roman" w:eastAsia="Times New Roman" w:hAnsi="Times New Roman" w:cs="Times New Roman"/>
          <w:b/>
          <w:sz w:val="24"/>
          <w:szCs w:val="24"/>
          <w:lang w:val="sr-Cyrl-RS" w:eastAsia="hr-HR"/>
        </w:rPr>
      </w:pPr>
      <w:bookmarkStart w:id="31" w:name="_Toc100751291"/>
      <w:bookmarkStart w:id="32" w:name="_Toc52452139"/>
      <w:r w:rsidRPr="00EA0FD7">
        <w:rPr>
          <w:rFonts w:ascii="Times New Roman" w:eastAsia="Times New Roman" w:hAnsi="Times New Roman" w:cs="Times New Roman"/>
          <w:b/>
          <w:sz w:val="24"/>
          <w:szCs w:val="24"/>
          <w:lang w:val="sr-Cyrl-RS" w:eastAsia="hr-HR"/>
        </w:rPr>
        <w:t>Пројекције за 2022. годину</w:t>
      </w:r>
      <w:bookmarkEnd w:id="31"/>
      <w:bookmarkEnd w:id="32"/>
      <w:r w:rsidRPr="00EA0FD7">
        <w:rPr>
          <w:rFonts w:ascii="Times New Roman" w:eastAsia="Times New Roman" w:hAnsi="Times New Roman" w:cs="Times New Roman"/>
          <w:b/>
          <w:sz w:val="24"/>
          <w:szCs w:val="24"/>
          <w:lang w:val="sr-Cyrl-RS" w:eastAsia="hr-HR"/>
        </w:rPr>
        <w:t xml:space="preserve"> </w:t>
      </w:r>
    </w:p>
    <w:p w14:paraId="23FB0A2F"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p>
    <w:p w14:paraId="70C265F1" w14:textId="46A72D6C" w:rsidR="00EA0FD7" w:rsidRPr="00EA0FD7" w:rsidRDefault="00EA0FD7" w:rsidP="00EA0FD7">
      <w:pPr>
        <w:spacing w:after="0" w:line="240" w:lineRule="auto"/>
        <w:jc w:val="both"/>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У ДЕП-овим пројекцијама макроекономских показатеља (март 2022. године) се наводи да су, усљед инфлаторних притисака због прекида у глобалним ланцима сна</w:t>
      </w:r>
      <w:r w:rsidR="009E1E82">
        <w:rPr>
          <w:rFonts w:ascii="Times New Roman" w:eastAsia="Times New Roman" w:hAnsi="Times New Roman" w:cs="Times New Roman"/>
          <w:color w:val="000000"/>
          <w:sz w:val="24"/>
          <w:szCs w:val="24"/>
          <w:lang w:val="sr-Cyrl-RS" w:eastAsia="hr-HR"/>
        </w:rPr>
        <w:t>бд</w:t>
      </w:r>
      <w:bookmarkStart w:id="33" w:name="_GoBack"/>
      <w:bookmarkEnd w:id="33"/>
      <w:r w:rsidRPr="00EA0FD7">
        <w:rPr>
          <w:rFonts w:ascii="Times New Roman" w:eastAsia="Times New Roman" w:hAnsi="Times New Roman" w:cs="Times New Roman"/>
          <w:color w:val="000000"/>
          <w:sz w:val="24"/>
          <w:szCs w:val="24"/>
          <w:lang w:val="sr-Cyrl-RS" w:eastAsia="hr-HR"/>
        </w:rPr>
        <w:t xml:space="preserve">ијевања због кризе узроковане вирусом корона и најновијих дешавања у односима између Русије и Украјине, као и због високе основице у претходној години (стопа раста 5,4%), извршили ревизију пројекције реалног раста БДП-а у 2022. години на 2,1%. </w:t>
      </w:r>
    </w:p>
    <w:p w14:paraId="6CCDC995"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p>
    <w:p w14:paraId="2DBB3CDC" w14:textId="287BB57C" w:rsidR="00EA0FD7" w:rsidRPr="00EA0FD7" w:rsidRDefault="00EA0FD7" w:rsidP="00EA0FD7">
      <w:pPr>
        <w:keepNext/>
        <w:keepLines/>
        <w:spacing w:before="40" w:after="0" w:line="240" w:lineRule="auto"/>
        <w:outlineLvl w:val="2"/>
        <w:rPr>
          <w:rFonts w:ascii="Times New Roman" w:eastAsia="Times New Roman" w:hAnsi="Times New Roman" w:cs="Times New Roman"/>
          <w:b/>
          <w:sz w:val="24"/>
          <w:szCs w:val="24"/>
          <w:lang w:val="sr-Cyrl-RS" w:eastAsia="hr-HR"/>
        </w:rPr>
      </w:pPr>
      <w:bookmarkStart w:id="34" w:name="_Toc52452140"/>
      <w:bookmarkStart w:id="35" w:name="_Toc100751292"/>
      <w:r w:rsidRPr="00EA0FD7">
        <w:rPr>
          <w:rFonts w:ascii="Times New Roman" w:eastAsia="Times New Roman" w:hAnsi="Times New Roman" w:cs="Times New Roman"/>
          <w:b/>
          <w:sz w:val="24"/>
          <w:szCs w:val="24"/>
          <w:lang w:val="sr-Cyrl-RS" w:eastAsia="hr-HR"/>
        </w:rPr>
        <w:t>Пројекције за период 2023</w:t>
      </w:r>
      <w:r w:rsidR="00AE5455">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
          <w:sz w:val="24"/>
          <w:szCs w:val="24"/>
          <w:lang w:val="sr-Cyrl-RS" w:eastAsia="hr-HR"/>
        </w:rPr>
        <w:t>202</w:t>
      </w:r>
      <w:bookmarkEnd w:id="34"/>
      <w:r w:rsidRPr="00EA0FD7">
        <w:rPr>
          <w:rFonts w:ascii="Times New Roman" w:eastAsia="Times New Roman" w:hAnsi="Times New Roman" w:cs="Times New Roman"/>
          <w:b/>
          <w:sz w:val="24"/>
          <w:szCs w:val="24"/>
          <w:lang w:val="sr-Cyrl-RS" w:eastAsia="hr-HR"/>
        </w:rPr>
        <w:t>5</w:t>
      </w:r>
      <w:bookmarkEnd w:id="35"/>
      <w:r w:rsidRPr="00EA0FD7">
        <w:rPr>
          <w:rFonts w:ascii="Times New Roman" w:eastAsia="Times New Roman" w:hAnsi="Times New Roman" w:cs="Times New Roman"/>
          <w:b/>
          <w:sz w:val="24"/>
          <w:szCs w:val="24"/>
          <w:lang w:val="sr-Cyrl-RS" w:eastAsia="hr-HR"/>
        </w:rPr>
        <w:t>. године</w:t>
      </w:r>
    </w:p>
    <w:p w14:paraId="031A94C6"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p>
    <w:p w14:paraId="2DCA230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ДЕП-у наводе да би, под претпоставком нормализације екстерних фактора и интерних динамика у БиХ, очекивана стопа реалног раста БДП-а требала износити 3,1% у 2023. години, 3,0% у 2024. години и 3,4% у 2025. години. ДЕП-ова претпоставка је да би кључни ослонац економског раста током овог периода требала представљати домаћа тражња кроз повећање приватне потрошње и инвестиција.</w:t>
      </w:r>
    </w:p>
    <w:p w14:paraId="3EAEBF1A" w14:textId="77777777" w:rsidR="00EA0FD7" w:rsidRPr="00EA0FD7" w:rsidRDefault="00EA0FD7" w:rsidP="00EA0FD7">
      <w:pPr>
        <w:keepNext/>
        <w:tabs>
          <w:tab w:val="left" w:pos="3010"/>
          <w:tab w:val="left" w:pos="3294"/>
          <w:tab w:val="left" w:pos="5196"/>
        </w:tabs>
        <w:spacing w:after="0" w:line="240" w:lineRule="auto"/>
        <w:ind w:left="360"/>
        <w:outlineLvl w:val="1"/>
        <w:rPr>
          <w:rFonts w:ascii="Times New Roman" w:eastAsia="Times New Roman" w:hAnsi="Times New Roman" w:cs="Times New Roman"/>
          <w:sz w:val="24"/>
          <w:szCs w:val="24"/>
          <w:lang w:val="sr-Cyrl-RS" w:eastAsia="hr-HR"/>
        </w:rPr>
      </w:pPr>
      <w:bookmarkStart w:id="36" w:name="_Toc100751293"/>
      <w:bookmarkStart w:id="37" w:name="_Toc4666031"/>
    </w:p>
    <w:p w14:paraId="45F8486F" w14:textId="77777777" w:rsidR="00AE5455" w:rsidRDefault="00AE5455" w:rsidP="00AE5455">
      <w:pPr>
        <w:keepNext/>
        <w:tabs>
          <w:tab w:val="left" w:pos="3010"/>
          <w:tab w:val="left" w:pos="3294"/>
          <w:tab w:val="left" w:pos="5196"/>
        </w:tabs>
        <w:spacing w:after="0" w:line="240" w:lineRule="auto"/>
        <w:outlineLvl w:val="1"/>
        <w:rPr>
          <w:rFonts w:ascii="Times New Roman" w:eastAsia="Times New Roman" w:hAnsi="Times New Roman" w:cs="Times New Roman"/>
          <w:sz w:val="24"/>
          <w:szCs w:val="24"/>
          <w:lang w:val="sr-Cyrl-RS" w:eastAsia="hr-HR"/>
        </w:rPr>
      </w:pPr>
    </w:p>
    <w:p w14:paraId="54E6D631" w14:textId="2CEE1DC1" w:rsidR="00EA0FD7" w:rsidRPr="00EA0FD7" w:rsidRDefault="00EA0FD7" w:rsidP="00AE5455">
      <w:pPr>
        <w:keepNext/>
        <w:tabs>
          <w:tab w:val="left" w:pos="3010"/>
          <w:tab w:val="left" w:pos="3294"/>
          <w:tab w:val="left" w:pos="5196"/>
        </w:tabs>
        <w:spacing w:after="0" w:line="240" w:lineRule="auto"/>
        <w:outlineLvl w:val="1"/>
        <w:rPr>
          <w:rFonts w:ascii="Times New Roman" w:eastAsia="Times New Roman" w:hAnsi="Times New Roman" w:cs="Times New Roman"/>
          <w:b/>
          <w:sz w:val="24"/>
          <w:szCs w:val="24"/>
          <w:lang w:val="sr-Cyrl-RS" w:eastAsia="hr-HR"/>
        </w:rPr>
      </w:pPr>
      <w:r w:rsidRPr="00F42184">
        <w:rPr>
          <w:rFonts w:ascii="Times New Roman" w:eastAsia="Times New Roman" w:hAnsi="Times New Roman" w:cs="Times New Roman"/>
          <w:b/>
          <w:sz w:val="24"/>
          <w:szCs w:val="24"/>
          <w:lang w:val="sr-Cyrl-RS" w:eastAsia="hr-HR"/>
        </w:rPr>
        <w:t>Текуће</w:t>
      </w:r>
      <w:r w:rsidRPr="00EA0FD7">
        <w:rPr>
          <w:rFonts w:ascii="Times New Roman" w:eastAsia="Times New Roman" w:hAnsi="Times New Roman" w:cs="Times New Roman"/>
          <w:b/>
          <w:sz w:val="24"/>
          <w:szCs w:val="24"/>
          <w:lang w:val="sr-Cyrl-RS" w:eastAsia="hr-HR"/>
        </w:rPr>
        <w:t xml:space="preserve"> политике у области индиректног опорезивања</w:t>
      </w:r>
      <w:bookmarkEnd w:id="36"/>
      <w:bookmarkEnd w:id="37"/>
    </w:p>
    <w:p w14:paraId="36B3FC01"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1D782EA" w14:textId="2520034C"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Обавезе и систем плаћања ПДВ-а регулишу се Законом о порезу на додату вриједност (</w:t>
      </w:r>
      <w:r w:rsidR="00F42184">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Службени гласник БиХ</w:t>
      </w:r>
      <w:r w:rsidR="00F42184">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бр. 9/05, 35/05, 100/08 и 33/17). Политика акциза регулисана је Законом о акцизама у Босни и Херцеговини (</w:t>
      </w:r>
      <w:r w:rsidR="00F42184">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Службени гласник БиХ</w:t>
      </w:r>
      <w:r w:rsidR="00F42184">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бр. 49/09, 49/14, 60/14 и 91/17). Политика акциза на ду</w:t>
      </w:r>
      <w:r w:rsidR="00F42184">
        <w:rPr>
          <w:rFonts w:ascii="Times New Roman" w:eastAsia="Times New Roman" w:hAnsi="Times New Roman" w:cs="Times New Roman"/>
          <w:sz w:val="24"/>
          <w:szCs w:val="24"/>
          <w:lang w:val="sr-Cyrl-RS" w:eastAsia="hr-HR"/>
        </w:rPr>
        <w:t>в</w:t>
      </w:r>
      <w:r w:rsidRPr="00EA0FD7">
        <w:rPr>
          <w:rFonts w:ascii="Times New Roman" w:eastAsia="Times New Roman" w:hAnsi="Times New Roman" w:cs="Times New Roman"/>
          <w:sz w:val="24"/>
          <w:szCs w:val="24"/>
          <w:lang w:val="sr-Cyrl-RS" w:eastAsia="hr-HR"/>
        </w:rPr>
        <w:t>ан у 2022. години утврђена је Законом о акцизама и Одлуком</w:t>
      </w:r>
      <w:r w:rsidRPr="00EA0FD7">
        <w:rPr>
          <w:rFonts w:ascii="Times New Roman" w:eastAsia="Times New Roman" w:hAnsi="Times New Roman" w:cs="Times New Roman"/>
          <w:sz w:val="24"/>
          <w:szCs w:val="24"/>
          <w:vertAlign w:val="superscript"/>
          <w:lang w:val="sr-Cyrl-RS" w:eastAsia="hr-HR"/>
        </w:rPr>
        <w:footnoteReference w:id="38"/>
      </w:r>
      <w:r w:rsidRPr="00EA0FD7">
        <w:rPr>
          <w:rFonts w:ascii="Times New Roman" w:eastAsia="Times New Roman" w:hAnsi="Times New Roman" w:cs="Times New Roman"/>
          <w:sz w:val="24"/>
          <w:szCs w:val="24"/>
          <w:lang w:val="sr-Cyrl-RS" w:eastAsia="hr-HR"/>
        </w:rPr>
        <w:t xml:space="preserve"> Управног одбора УИО. Будући да је законски плафон укупне акцизе на цигарете од 176 КМ/1000 цигарета достигнут за све цјеновне категорије цигарета у 2019. години окончана је хармонизација са стандардима ЕУ у сфери опорезивања цигарета, док се на опорезивање резаног ду</w:t>
      </w:r>
      <w:r w:rsidR="00F42184">
        <w:rPr>
          <w:rFonts w:ascii="Times New Roman" w:eastAsia="Times New Roman" w:hAnsi="Times New Roman" w:cs="Times New Roman"/>
          <w:sz w:val="24"/>
          <w:szCs w:val="24"/>
          <w:lang w:val="sr-Cyrl-RS" w:eastAsia="hr-HR"/>
        </w:rPr>
        <w:t>в</w:t>
      </w:r>
      <w:r w:rsidRPr="00EA0FD7">
        <w:rPr>
          <w:rFonts w:ascii="Times New Roman" w:eastAsia="Times New Roman" w:hAnsi="Times New Roman" w:cs="Times New Roman"/>
          <w:sz w:val="24"/>
          <w:szCs w:val="24"/>
          <w:lang w:val="sr-Cyrl-RS" w:eastAsia="hr-HR"/>
        </w:rPr>
        <w:t>ана примјењује политика према измјенама Закона из 2014. године.</w:t>
      </w:r>
      <w:r w:rsidRPr="00EA0FD7">
        <w:rPr>
          <w:rFonts w:ascii="Times New Roman" w:eastAsia="Times New Roman" w:hAnsi="Times New Roman" w:cs="Times New Roman"/>
          <w:sz w:val="24"/>
          <w:szCs w:val="24"/>
          <w:vertAlign w:val="superscript"/>
          <w:lang w:val="sr-Cyrl-RS" w:eastAsia="hr-HR"/>
        </w:rPr>
        <w:footnoteReference w:id="39"/>
      </w:r>
      <w:r w:rsidRPr="00EA0FD7">
        <w:rPr>
          <w:rFonts w:ascii="Times New Roman" w:eastAsia="Times New Roman" w:hAnsi="Times New Roman" w:cs="Times New Roman"/>
          <w:sz w:val="24"/>
          <w:szCs w:val="24"/>
          <w:lang w:val="sr-Cyrl-RS" w:eastAsia="hr-HR"/>
        </w:rPr>
        <w:t xml:space="preserve"> Законом</w:t>
      </w:r>
      <w:r w:rsidRPr="00EA0FD7">
        <w:rPr>
          <w:rFonts w:ascii="Times New Roman" w:eastAsia="Times New Roman" w:hAnsi="Times New Roman" w:cs="Times New Roman"/>
          <w:sz w:val="24"/>
          <w:szCs w:val="24"/>
          <w:vertAlign w:val="superscript"/>
          <w:lang w:val="sr-Cyrl-RS" w:eastAsia="hr-HR"/>
        </w:rPr>
        <w:footnoteReference w:id="40"/>
      </w:r>
      <w:r w:rsidRPr="00EA0FD7">
        <w:rPr>
          <w:rFonts w:ascii="Times New Roman" w:eastAsia="Times New Roman" w:hAnsi="Times New Roman" w:cs="Times New Roman"/>
          <w:sz w:val="24"/>
          <w:szCs w:val="24"/>
          <w:lang w:val="sr-Cyrl-RS" w:eastAsia="hr-HR"/>
        </w:rPr>
        <w:t xml:space="preserve"> о царинској политици у Босни и Херцеговини уређују се основни елементи царинске политике, те оп</w:t>
      </w:r>
      <w:r w:rsidR="00F42184">
        <w:rPr>
          <w:rFonts w:ascii="Times New Roman" w:eastAsia="Times New Roman" w:hAnsi="Times New Roman" w:cs="Times New Roman"/>
          <w:sz w:val="24"/>
          <w:szCs w:val="24"/>
          <w:lang w:val="sr-Cyrl-RS" w:eastAsia="hr-HR"/>
        </w:rPr>
        <w:t>шт</w:t>
      </w:r>
      <w:r w:rsidRPr="00EA0FD7">
        <w:rPr>
          <w:rFonts w:ascii="Times New Roman" w:eastAsia="Times New Roman" w:hAnsi="Times New Roman" w:cs="Times New Roman"/>
          <w:sz w:val="24"/>
          <w:szCs w:val="24"/>
          <w:lang w:val="sr-Cyrl-RS" w:eastAsia="hr-HR"/>
        </w:rPr>
        <w:t xml:space="preserve">а правила и поступци који се примјењују на робу која се уноси и износи из царинског подручја Босне и Херцеговине. </w:t>
      </w:r>
    </w:p>
    <w:p w14:paraId="33C6089A"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54C0E62C" w14:textId="7582AC1D" w:rsidR="00EA0FD7" w:rsidRPr="00F42184" w:rsidRDefault="00EA0FD7" w:rsidP="00F42184">
      <w:pPr>
        <w:spacing w:after="0" w:line="240" w:lineRule="auto"/>
        <w:jc w:val="both"/>
        <w:rPr>
          <w:rFonts w:ascii="Times New Roman" w:eastAsia="Times New Roman" w:hAnsi="Times New Roman" w:cs="Times New Roman"/>
          <w:sz w:val="24"/>
          <w:szCs w:val="24"/>
          <w:lang w:val="sr-Cyrl-RS" w:eastAsia="hr-HR"/>
        </w:rPr>
      </w:pPr>
      <w:bookmarkStart w:id="39" w:name="_Toc100909329"/>
      <w:bookmarkStart w:id="40" w:name="_Toc52452381"/>
      <w:bookmarkStart w:id="41" w:name="_Toc37780574"/>
    </w:p>
    <w:p w14:paraId="074AF736" w14:textId="4F1EB501" w:rsidR="00EA0FD7" w:rsidRPr="00EA0FD7" w:rsidRDefault="00EA0FD7" w:rsidP="00EA0FD7">
      <w:pPr>
        <w:suppressLineNumbers/>
        <w:suppressAutoHyphens/>
        <w:spacing w:after="0" w:line="240" w:lineRule="auto"/>
        <w:jc w:val="both"/>
        <w:rPr>
          <w:rFonts w:ascii="Calibri" w:eastAsia="Times New Roman" w:hAnsi="Calibri" w:cs="Times New Roman"/>
          <w:bCs/>
          <w:iCs/>
          <w:sz w:val="24"/>
          <w:szCs w:val="24"/>
          <w:lang w:val="sr-Cyrl-RS" w:eastAsia="ar-SA"/>
        </w:rPr>
      </w:pPr>
      <w:r w:rsidRPr="00AE5455">
        <w:rPr>
          <w:rFonts w:ascii="Times New Roman" w:eastAsia="Times New Roman" w:hAnsi="Times New Roman" w:cs="Times New Roman"/>
          <w:b/>
          <w:iCs/>
          <w:color w:val="000000"/>
          <w:sz w:val="18"/>
          <w:szCs w:val="24"/>
          <w:lang w:val="sr-Cyrl-RS" w:eastAsia="ar-SA"/>
        </w:rPr>
        <w:t xml:space="preserve">Графикон 3. </w:t>
      </w:r>
      <w:r w:rsidRPr="00EA0FD7">
        <w:rPr>
          <w:rFonts w:ascii="Calibri" w:eastAsia="Times New Roman" w:hAnsi="Calibri" w:cs="Tahoma"/>
          <w:i/>
          <w:iCs/>
          <w:sz w:val="24"/>
          <w:szCs w:val="24"/>
          <w:lang w:val="sr-Cyrl-RS" w:eastAsia="ar-SA"/>
        </w:rPr>
        <w:fldChar w:fldCharType="begin"/>
      </w:r>
      <w:r w:rsidRPr="00AE5455">
        <w:rPr>
          <w:rFonts w:ascii="Times New Roman" w:eastAsia="Times New Roman" w:hAnsi="Times New Roman" w:cs="Times New Roman"/>
          <w:b/>
          <w:iCs/>
          <w:color w:val="000000"/>
          <w:sz w:val="18"/>
          <w:szCs w:val="24"/>
          <w:lang w:val="sr-Cyrl-RS" w:eastAsia="ar-SA"/>
        </w:rPr>
        <w:instrText xml:space="preserve"> SEQ Grafikon_ \* ARABIC </w:instrText>
      </w:r>
      <w:r w:rsidRPr="00EA0FD7">
        <w:rPr>
          <w:rFonts w:ascii="Calibri" w:eastAsia="Times New Roman" w:hAnsi="Calibri" w:cs="Tahoma"/>
          <w:i/>
          <w:iCs/>
          <w:sz w:val="24"/>
          <w:szCs w:val="24"/>
          <w:lang w:val="sr-Cyrl-RS" w:eastAsia="ar-SA"/>
        </w:rPr>
        <w:fldChar w:fldCharType="separate"/>
      </w:r>
      <w:r w:rsidRPr="00AE5455">
        <w:rPr>
          <w:rFonts w:ascii="Times New Roman" w:eastAsia="Times New Roman" w:hAnsi="Times New Roman" w:cs="Times New Roman"/>
          <w:b/>
          <w:iCs/>
          <w:color w:val="000000"/>
          <w:sz w:val="18"/>
          <w:szCs w:val="24"/>
          <w:lang w:val="sr-Cyrl-RS" w:eastAsia="ar-SA"/>
        </w:rPr>
        <w:t>1</w:t>
      </w:r>
      <w:r w:rsidRPr="00EA0FD7">
        <w:rPr>
          <w:rFonts w:ascii="Calibri" w:eastAsia="Times New Roman" w:hAnsi="Calibri" w:cs="Tahoma"/>
          <w:i/>
          <w:iCs/>
          <w:sz w:val="24"/>
          <w:szCs w:val="24"/>
          <w:lang w:val="sr-Cyrl-RS" w:eastAsia="ar-SA"/>
        </w:rPr>
        <w:fldChar w:fldCharType="end"/>
      </w:r>
      <w:r w:rsidRPr="00AE5455">
        <w:rPr>
          <w:rFonts w:ascii="Times New Roman" w:eastAsia="Times New Roman" w:hAnsi="Times New Roman" w:cs="Times New Roman"/>
          <w:b/>
          <w:iCs/>
          <w:color w:val="000000"/>
          <w:sz w:val="18"/>
          <w:szCs w:val="24"/>
          <w:lang w:val="sr-Cyrl-RS" w:eastAsia="ar-SA"/>
        </w:rPr>
        <w:t>.</w:t>
      </w:r>
      <w:r w:rsidRPr="00EA0FD7">
        <w:rPr>
          <w:rFonts w:ascii="Times New Roman" w:eastAsia="Times New Roman" w:hAnsi="Times New Roman" w:cs="Times New Roman"/>
          <w:iCs/>
          <w:sz w:val="24"/>
          <w:szCs w:val="24"/>
          <w:lang w:val="sr-Cyrl-RS" w:eastAsia="ar-SA"/>
        </w:rPr>
        <w:t xml:space="preserve"> </w:t>
      </w:r>
      <w:r w:rsidRPr="00EA0FD7">
        <w:rPr>
          <w:rFonts w:ascii="Times New Roman" w:eastAsia="Times New Roman" w:hAnsi="Times New Roman" w:cs="Times New Roman"/>
          <w:bCs/>
          <w:iCs/>
          <w:sz w:val="24"/>
          <w:szCs w:val="24"/>
          <w:lang w:val="sr-Cyrl-RS" w:eastAsia="ar-SA"/>
        </w:rPr>
        <w:t xml:space="preserve">Фазе либерализације </w:t>
      </w:r>
      <w:r w:rsidR="00F42184">
        <w:rPr>
          <w:rFonts w:ascii="Times New Roman" w:eastAsia="Times New Roman" w:hAnsi="Times New Roman" w:cs="Times New Roman"/>
          <w:bCs/>
          <w:iCs/>
          <w:sz w:val="24"/>
          <w:szCs w:val="24"/>
          <w:lang w:val="sr-Cyrl-RS" w:eastAsia="ar-SA"/>
        </w:rPr>
        <w:t>спољне</w:t>
      </w:r>
      <w:r w:rsidRPr="00EA0FD7">
        <w:rPr>
          <w:rFonts w:ascii="Times New Roman" w:eastAsia="Times New Roman" w:hAnsi="Times New Roman" w:cs="Times New Roman"/>
          <w:bCs/>
          <w:iCs/>
          <w:sz w:val="24"/>
          <w:szCs w:val="24"/>
          <w:lang w:val="sr-Cyrl-RS" w:eastAsia="ar-SA"/>
        </w:rPr>
        <w:t xml:space="preserve"> трговине БиХ</w:t>
      </w:r>
      <w:bookmarkEnd w:id="39"/>
      <w:bookmarkEnd w:id="40"/>
      <w:bookmarkEnd w:id="41"/>
    </w:p>
    <w:tbl>
      <w:tblPr>
        <w:tblW w:w="9570" w:type="dxa"/>
        <w:tblInd w:w="108" w:type="dxa"/>
        <w:tblBorders>
          <w:insideH w:val="single" w:sz="12" w:space="0" w:color="4F81BD"/>
        </w:tblBorders>
        <w:shd w:val="clear" w:color="auto" w:fill="FDE9D9"/>
        <w:tblLayout w:type="fixed"/>
        <w:tblLook w:val="0160" w:firstRow="1" w:lastRow="1" w:firstColumn="0" w:lastColumn="1" w:noHBand="0" w:noVBand="0"/>
      </w:tblPr>
      <w:tblGrid>
        <w:gridCol w:w="798"/>
        <w:gridCol w:w="798"/>
        <w:gridCol w:w="798"/>
        <w:gridCol w:w="798"/>
        <w:gridCol w:w="797"/>
        <w:gridCol w:w="797"/>
        <w:gridCol w:w="797"/>
        <w:gridCol w:w="798"/>
        <w:gridCol w:w="797"/>
        <w:gridCol w:w="797"/>
        <w:gridCol w:w="797"/>
        <w:gridCol w:w="798"/>
      </w:tblGrid>
      <w:tr w:rsidR="00EA0FD7" w:rsidRPr="00EA0FD7" w14:paraId="73D8132C" w14:textId="77777777" w:rsidTr="00EA0FD7">
        <w:trPr>
          <w:trHeight w:hRule="exact" w:val="970"/>
        </w:trPr>
        <w:tc>
          <w:tcPr>
            <w:tcW w:w="797" w:type="dxa"/>
            <w:tcBorders>
              <w:top w:val="nil"/>
              <w:left w:val="nil"/>
              <w:bottom w:val="single" w:sz="12" w:space="0" w:color="4F81BD"/>
              <w:right w:val="nil"/>
            </w:tcBorders>
            <w:shd w:val="clear" w:color="auto" w:fill="FDE9D9"/>
            <w:textDirection w:val="btLr"/>
            <w:vAlign w:val="center"/>
          </w:tcPr>
          <w:p w14:paraId="61FA8232" w14:textId="77777777" w:rsidR="00EA0FD7" w:rsidRPr="00EA0FD7" w:rsidRDefault="00EA0FD7" w:rsidP="00EA0FD7">
            <w:pPr>
              <w:spacing w:after="0" w:line="240" w:lineRule="auto"/>
              <w:jc w:val="both"/>
              <w:rPr>
                <w:rFonts w:ascii="Times New Roman" w:eastAsia="Times New Roman" w:hAnsi="Times New Roman" w:cs="Times New Roman"/>
                <w:b/>
                <w:sz w:val="20"/>
                <w:szCs w:val="20"/>
                <w:lang w:val="sr-Cyrl-RS" w:eastAsia="hr-HR"/>
              </w:rPr>
            </w:pPr>
          </w:p>
        </w:tc>
        <w:tc>
          <w:tcPr>
            <w:tcW w:w="797" w:type="dxa"/>
            <w:tcBorders>
              <w:top w:val="nil"/>
              <w:left w:val="nil"/>
              <w:bottom w:val="single" w:sz="12" w:space="0" w:color="4F81BD"/>
              <w:right w:val="nil"/>
            </w:tcBorders>
            <w:shd w:val="clear" w:color="auto" w:fill="FDE9D9"/>
            <w:textDirection w:val="btLr"/>
            <w:vAlign w:val="center"/>
            <w:hideMark/>
          </w:tcPr>
          <w:p w14:paraId="62619F1D"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ЦЕФТА</w:t>
            </w:r>
          </w:p>
        </w:tc>
        <w:tc>
          <w:tcPr>
            <w:tcW w:w="797" w:type="dxa"/>
            <w:tcBorders>
              <w:top w:val="nil"/>
              <w:left w:val="nil"/>
              <w:bottom w:val="single" w:sz="12" w:space="0" w:color="4F81BD"/>
              <w:right w:val="nil"/>
            </w:tcBorders>
            <w:shd w:val="clear" w:color="auto" w:fill="FDE9D9"/>
            <w:textDirection w:val="btLr"/>
            <w:vAlign w:val="center"/>
            <w:hideMark/>
          </w:tcPr>
          <w:p w14:paraId="56220B67"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ЕУ, ССП</w:t>
            </w:r>
          </w:p>
        </w:tc>
        <w:tc>
          <w:tcPr>
            <w:tcW w:w="798" w:type="dxa"/>
            <w:tcBorders>
              <w:top w:val="nil"/>
              <w:left w:val="nil"/>
              <w:bottom w:val="single" w:sz="12" w:space="0" w:color="4F81BD"/>
              <w:right w:val="nil"/>
            </w:tcBorders>
            <w:shd w:val="clear" w:color="auto" w:fill="FDE9D9"/>
            <w:textDirection w:val="btLr"/>
            <w:vAlign w:val="center"/>
          </w:tcPr>
          <w:p w14:paraId="731C4F86"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p>
        </w:tc>
        <w:tc>
          <w:tcPr>
            <w:tcW w:w="797" w:type="dxa"/>
            <w:tcBorders>
              <w:top w:val="nil"/>
              <w:left w:val="nil"/>
              <w:bottom w:val="single" w:sz="12" w:space="0" w:color="4F81BD"/>
              <w:right w:val="nil"/>
            </w:tcBorders>
            <w:shd w:val="clear" w:color="auto" w:fill="FDE9D9"/>
            <w:textDirection w:val="btLr"/>
            <w:vAlign w:val="center"/>
          </w:tcPr>
          <w:p w14:paraId="2023B11B"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p>
        </w:tc>
        <w:tc>
          <w:tcPr>
            <w:tcW w:w="797" w:type="dxa"/>
            <w:tcBorders>
              <w:top w:val="nil"/>
              <w:left w:val="nil"/>
              <w:bottom w:val="single" w:sz="12" w:space="0" w:color="4F81BD"/>
              <w:right w:val="nil"/>
            </w:tcBorders>
            <w:shd w:val="clear" w:color="auto" w:fill="FDE9D9"/>
            <w:textDirection w:val="btLr"/>
            <w:vAlign w:val="center"/>
            <w:hideMark/>
          </w:tcPr>
          <w:p w14:paraId="144E222B"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царинско евидентир.</w:t>
            </w:r>
          </w:p>
        </w:tc>
        <w:tc>
          <w:tcPr>
            <w:tcW w:w="797" w:type="dxa"/>
            <w:tcBorders>
              <w:top w:val="nil"/>
              <w:left w:val="nil"/>
              <w:bottom w:val="single" w:sz="12" w:space="0" w:color="4F81BD"/>
              <w:right w:val="nil"/>
            </w:tcBorders>
            <w:shd w:val="clear" w:color="auto" w:fill="FDE9D9"/>
            <w:textDirection w:val="btLr"/>
            <w:vAlign w:val="center"/>
          </w:tcPr>
          <w:p w14:paraId="1481786E"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p>
        </w:tc>
        <w:tc>
          <w:tcPr>
            <w:tcW w:w="798" w:type="dxa"/>
            <w:tcBorders>
              <w:top w:val="nil"/>
              <w:left w:val="nil"/>
              <w:bottom w:val="single" w:sz="12" w:space="0" w:color="4F81BD"/>
              <w:right w:val="nil"/>
            </w:tcBorders>
            <w:shd w:val="clear" w:color="auto" w:fill="FDE9D9"/>
            <w:textDirection w:val="btLr"/>
            <w:vAlign w:val="center"/>
          </w:tcPr>
          <w:p w14:paraId="45F5DF44"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p>
        </w:tc>
        <w:tc>
          <w:tcPr>
            <w:tcW w:w="797" w:type="dxa"/>
            <w:tcBorders>
              <w:top w:val="nil"/>
              <w:left w:val="nil"/>
              <w:bottom w:val="single" w:sz="12" w:space="0" w:color="4F81BD"/>
              <w:right w:val="nil"/>
            </w:tcBorders>
            <w:shd w:val="clear" w:color="auto" w:fill="FDE9D9"/>
            <w:textDirection w:val="btLr"/>
            <w:vAlign w:val="center"/>
          </w:tcPr>
          <w:p w14:paraId="0482FC3D"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p>
        </w:tc>
        <w:tc>
          <w:tcPr>
            <w:tcW w:w="797" w:type="dxa"/>
            <w:tcBorders>
              <w:top w:val="nil"/>
              <w:left w:val="nil"/>
              <w:bottom w:val="single" w:sz="12" w:space="0" w:color="4F81BD"/>
              <w:right w:val="nil"/>
            </w:tcBorders>
            <w:shd w:val="clear" w:color="auto" w:fill="FDE9D9"/>
            <w:textDirection w:val="btLr"/>
            <w:vAlign w:val="center"/>
            <w:hideMark/>
          </w:tcPr>
          <w:p w14:paraId="30135D0B"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ЕФТА</w:t>
            </w:r>
          </w:p>
        </w:tc>
        <w:tc>
          <w:tcPr>
            <w:tcW w:w="797" w:type="dxa"/>
            <w:tcBorders>
              <w:top w:val="nil"/>
              <w:left w:val="nil"/>
              <w:bottom w:val="single" w:sz="12" w:space="0" w:color="4F81BD"/>
              <w:right w:val="nil"/>
            </w:tcBorders>
            <w:shd w:val="clear" w:color="auto" w:fill="FDE9D9"/>
            <w:textDirection w:val="btLr"/>
            <w:vAlign w:val="center"/>
          </w:tcPr>
          <w:p w14:paraId="71E54144"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p>
        </w:tc>
        <w:tc>
          <w:tcPr>
            <w:tcW w:w="798" w:type="dxa"/>
            <w:tcBorders>
              <w:top w:val="nil"/>
              <w:left w:val="nil"/>
              <w:bottom w:val="single" w:sz="12" w:space="0" w:color="4F81BD"/>
              <w:right w:val="nil"/>
            </w:tcBorders>
            <w:shd w:val="clear" w:color="auto" w:fill="FDE9D9"/>
            <w:textDirection w:val="btLr"/>
            <w:vAlign w:val="center"/>
            <w:hideMark/>
          </w:tcPr>
          <w:p w14:paraId="0305B87B"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ЕУ,</w:t>
            </w:r>
          </w:p>
          <w:p w14:paraId="0D82F405"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адапт. ССП</w:t>
            </w:r>
          </w:p>
        </w:tc>
      </w:tr>
      <w:tr w:rsidR="00EA0FD7" w:rsidRPr="00EA0FD7" w14:paraId="409568C7" w14:textId="77777777" w:rsidTr="00EA0FD7">
        <w:trPr>
          <w:trHeight w:hRule="exact" w:val="721"/>
        </w:trPr>
        <w:tc>
          <w:tcPr>
            <w:tcW w:w="797" w:type="dxa"/>
            <w:tcBorders>
              <w:top w:val="single" w:sz="12" w:space="0" w:color="4F81BD"/>
              <w:left w:val="nil"/>
              <w:bottom w:val="nil"/>
              <w:right w:val="nil"/>
            </w:tcBorders>
            <w:shd w:val="clear" w:color="auto" w:fill="FDE9D9"/>
            <w:textDirection w:val="btLr"/>
            <w:vAlign w:val="center"/>
            <w:hideMark/>
          </w:tcPr>
          <w:p w14:paraId="43646809"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2006</w:t>
            </w:r>
          </w:p>
        </w:tc>
        <w:tc>
          <w:tcPr>
            <w:tcW w:w="797" w:type="dxa"/>
            <w:tcBorders>
              <w:top w:val="single" w:sz="12" w:space="0" w:color="4F81BD"/>
              <w:left w:val="nil"/>
              <w:bottom w:val="nil"/>
              <w:right w:val="nil"/>
            </w:tcBorders>
            <w:shd w:val="clear" w:color="auto" w:fill="FDE9D9"/>
            <w:textDirection w:val="btLr"/>
            <w:vAlign w:val="center"/>
            <w:hideMark/>
          </w:tcPr>
          <w:p w14:paraId="7DF7EE38"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2007</w:t>
            </w:r>
          </w:p>
        </w:tc>
        <w:tc>
          <w:tcPr>
            <w:tcW w:w="797" w:type="dxa"/>
            <w:tcBorders>
              <w:top w:val="single" w:sz="12" w:space="0" w:color="4F81BD"/>
              <w:left w:val="nil"/>
              <w:bottom w:val="nil"/>
              <w:right w:val="nil"/>
            </w:tcBorders>
            <w:shd w:val="clear" w:color="auto" w:fill="FDE9D9"/>
            <w:textDirection w:val="btLr"/>
            <w:vAlign w:val="center"/>
            <w:hideMark/>
          </w:tcPr>
          <w:p w14:paraId="2B7AC917"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2008</w:t>
            </w:r>
          </w:p>
        </w:tc>
        <w:tc>
          <w:tcPr>
            <w:tcW w:w="798" w:type="dxa"/>
            <w:tcBorders>
              <w:top w:val="single" w:sz="12" w:space="0" w:color="4F81BD"/>
              <w:left w:val="nil"/>
              <w:bottom w:val="nil"/>
              <w:right w:val="nil"/>
            </w:tcBorders>
            <w:shd w:val="clear" w:color="auto" w:fill="FDE9D9"/>
            <w:textDirection w:val="btLr"/>
            <w:vAlign w:val="center"/>
            <w:hideMark/>
          </w:tcPr>
          <w:p w14:paraId="20813CD1"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2009</w:t>
            </w:r>
          </w:p>
        </w:tc>
        <w:tc>
          <w:tcPr>
            <w:tcW w:w="797" w:type="dxa"/>
            <w:tcBorders>
              <w:top w:val="single" w:sz="12" w:space="0" w:color="4F81BD"/>
              <w:left w:val="nil"/>
              <w:bottom w:val="nil"/>
              <w:right w:val="nil"/>
            </w:tcBorders>
            <w:shd w:val="clear" w:color="auto" w:fill="FDE9D9"/>
            <w:textDirection w:val="btLr"/>
            <w:vAlign w:val="center"/>
            <w:hideMark/>
          </w:tcPr>
          <w:p w14:paraId="1906E004"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2010</w:t>
            </w:r>
          </w:p>
        </w:tc>
        <w:tc>
          <w:tcPr>
            <w:tcW w:w="797" w:type="dxa"/>
            <w:tcBorders>
              <w:top w:val="single" w:sz="12" w:space="0" w:color="4F81BD"/>
              <w:left w:val="nil"/>
              <w:bottom w:val="nil"/>
              <w:right w:val="nil"/>
            </w:tcBorders>
            <w:shd w:val="clear" w:color="auto" w:fill="FDE9D9"/>
            <w:textDirection w:val="btLr"/>
            <w:vAlign w:val="center"/>
            <w:hideMark/>
          </w:tcPr>
          <w:p w14:paraId="37CCB4DF"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2011</w:t>
            </w:r>
          </w:p>
        </w:tc>
        <w:tc>
          <w:tcPr>
            <w:tcW w:w="797" w:type="dxa"/>
            <w:tcBorders>
              <w:top w:val="single" w:sz="12" w:space="0" w:color="4F81BD"/>
              <w:left w:val="nil"/>
              <w:bottom w:val="nil"/>
              <w:right w:val="nil"/>
            </w:tcBorders>
            <w:shd w:val="clear" w:color="auto" w:fill="FDE9D9"/>
            <w:textDirection w:val="btLr"/>
            <w:vAlign w:val="center"/>
            <w:hideMark/>
          </w:tcPr>
          <w:p w14:paraId="4343AA6D"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2012</w:t>
            </w:r>
          </w:p>
        </w:tc>
        <w:tc>
          <w:tcPr>
            <w:tcW w:w="798" w:type="dxa"/>
            <w:tcBorders>
              <w:top w:val="single" w:sz="12" w:space="0" w:color="4F81BD"/>
              <w:left w:val="nil"/>
              <w:bottom w:val="nil"/>
              <w:right w:val="nil"/>
            </w:tcBorders>
            <w:shd w:val="clear" w:color="auto" w:fill="FDE9D9"/>
            <w:textDirection w:val="btLr"/>
            <w:vAlign w:val="center"/>
            <w:hideMark/>
          </w:tcPr>
          <w:p w14:paraId="15EDE227"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2013</w:t>
            </w:r>
          </w:p>
        </w:tc>
        <w:tc>
          <w:tcPr>
            <w:tcW w:w="797" w:type="dxa"/>
            <w:tcBorders>
              <w:top w:val="single" w:sz="12" w:space="0" w:color="4F81BD"/>
              <w:left w:val="nil"/>
              <w:bottom w:val="nil"/>
              <w:right w:val="nil"/>
            </w:tcBorders>
            <w:shd w:val="clear" w:color="auto" w:fill="FDE9D9"/>
            <w:textDirection w:val="btLr"/>
            <w:vAlign w:val="center"/>
            <w:hideMark/>
          </w:tcPr>
          <w:p w14:paraId="6209C1BD"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2014</w:t>
            </w:r>
          </w:p>
        </w:tc>
        <w:tc>
          <w:tcPr>
            <w:tcW w:w="797" w:type="dxa"/>
            <w:tcBorders>
              <w:top w:val="single" w:sz="12" w:space="0" w:color="4F81BD"/>
              <w:left w:val="nil"/>
              <w:bottom w:val="nil"/>
              <w:right w:val="nil"/>
            </w:tcBorders>
            <w:shd w:val="clear" w:color="auto" w:fill="FDE9D9"/>
            <w:textDirection w:val="btLr"/>
            <w:vAlign w:val="center"/>
            <w:hideMark/>
          </w:tcPr>
          <w:p w14:paraId="2B5A6C1E"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2015</w:t>
            </w:r>
          </w:p>
        </w:tc>
        <w:tc>
          <w:tcPr>
            <w:tcW w:w="797" w:type="dxa"/>
            <w:tcBorders>
              <w:top w:val="single" w:sz="12" w:space="0" w:color="4F81BD"/>
              <w:left w:val="nil"/>
              <w:bottom w:val="nil"/>
              <w:right w:val="nil"/>
            </w:tcBorders>
            <w:shd w:val="clear" w:color="auto" w:fill="FDE9D9"/>
            <w:textDirection w:val="btLr"/>
            <w:vAlign w:val="center"/>
            <w:hideMark/>
          </w:tcPr>
          <w:p w14:paraId="46F2896C"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2016</w:t>
            </w:r>
          </w:p>
        </w:tc>
        <w:tc>
          <w:tcPr>
            <w:tcW w:w="798" w:type="dxa"/>
            <w:tcBorders>
              <w:top w:val="single" w:sz="12" w:space="0" w:color="4F81BD"/>
              <w:left w:val="nil"/>
              <w:bottom w:val="nil"/>
              <w:right w:val="nil"/>
            </w:tcBorders>
            <w:shd w:val="clear" w:color="auto" w:fill="FDE9D9"/>
            <w:textDirection w:val="btLr"/>
            <w:vAlign w:val="center"/>
            <w:hideMark/>
          </w:tcPr>
          <w:p w14:paraId="618EDBDC"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2017</w:t>
            </w:r>
          </w:p>
        </w:tc>
      </w:tr>
    </w:tbl>
    <w:p w14:paraId="3EE17CAD" w14:textId="6489DF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Извор: Антић, Д. „Либерализација вањске трговине БиХ (2007</w:t>
      </w:r>
      <w:r w:rsidR="00F42184">
        <w:rPr>
          <w:rFonts w:ascii="Times New Roman" w:eastAsia="Times New Roman" w:hAnsi="Times New Roman" w:cs="Times New Roman"/>
          <w:sz w:val="20"/>
          <w:szCs w:val="20"/>
          <w:lang w:val="sr-Cyrl-RS" w:eastAsia="hr-HR"/>
        </w:rPr>
        <w:t>–</w:t>
      </w:r>
      <w:r w:rsidRPr="00EA0FD7">
        <w:rPr>
          <w:rFonts w:ascii="Times New Roman" w:eastAsia="Times New Roman" w:hAnsi="Times New Roman" w:cs="Times New Roman"/>
          <w:sz w:val="20"/>
          <w:szCs w:val="20"/>
          <w:lang w:val="sr-Cyrl-RS" w:eastAsia="hr-HR"/>
        </w:rPr>
        <w:t xml:space="preserve">2017): импликације и компаративна анализа“, ОМА Билтен   </w:t>
      </w:r>
    </w:p>
    <w:p w14:paraId="6B78BF47" w14:textId="2970014A"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           152/153, март/април 2018, </w:t>
      </w:r>
      <w:hyperlink r:id="rId17" w:history="1">
        <w:r w:rsidR="00F42184" w:rsidRPr="00185765">
          <w:rPr>
            <w:rStyle w:val="Hiperveza"/>
            <w:rFonts w:ascii="Times New Roman" w:eastAsia="Times New Roman" w:hAnsi="Times New Roman" w:cs="Times New Roman"/>
            <w:sz w:val="20"/>
            <w:szCs w:val="20"/>
            <w:lang w:val="sr-Cyrl-RS" w:eastAsia="hr-HR"/>
          </w:rPr>
          <w:t>www.oma.uino.gov.ba</w:t>
        </w:r>
      </w:hyperlink>
      <w:r w:rsidRPr="00EA0FD7">
        <w:rPr>
          <w:rFonts w:ascii="Times New Roman" w:eastAsia="Times New Roman" w:hAnsi="Times New Roman" w:cs="Times New Roman"/>
          <w:sz w:val="20"/>
          <w:szCs w:val="20"/>
          <w:lang w:val="sr-Cyrl-RS" w:eastAsia="hr-HR"/>
        </w:rPr>
        <w:t>.</w:t>
      </w:r>
      <w:r w:rsidR="00F42184">
        <w:rPr>
          <w:rFonts w:ascii="Times New Roman" w:eastAsia="Times New Roman" w:hAnsi="Times New Roman" w:cs="Times New Roman"/>
          <w:sz w:val="20"/>
          <w:szCs w:val="20"/>
          <w:lang w:val="sr-Cyrl-RS" w:eastAsia="hr-HR"/>
        </w:rPr>
        <w:t xml:space="preserve"> </w:t>
      </w:r>
    </w:p>
    <w:p w14:paraId="124EFD1C" w14:textId="77777777" w:rsidR="00EA0FD7" w:rsidRPr="00EA0FD7" w:rsidRDefault="00EA0FD7" w:rsidP="00EA0FD7">
      <w:pPr>
        <w:keepNext/>
        <w:tabs>
          <w:tab w:val="left" w:pos="3010"/>
          <w:tab w:val="left" w:pos="3294"/>
          <w:tab w:val="left" w:pos="5196"/>
        </w:tabs>
        <w:spacing w:after="0" w:line="240" w:lineRule="auto"/>
        <w:ind w:left="360"/>
        <w:outlineLvl w:val="1"/>
        <w:rPr>
          <w:rFonts w:ascii="Times New Roman" w:eastAsia="Times New Roman" w:hAnsi="Times New Roman" w:cs="Times New Roman"/>
          <w:sz w:val="24"/>
          <w:szCs w:val="24"/>
          <w:lang w:val="sr-Cyrl-RS" w:eastAsia="hr-HR"/>
        </w:rPr>
      </w:pPr>
      <w:bookmarkStart w:id="42" w:name="_Toc100751294"/>
      <w:bookmarkStart w:id="43" w:name="_Toc4666032"/>
    </w:p>
    <w:p w14:paraId="7B50C774" w14:textId="77777777" w:rsidR="00EA0FD7" w:rsidRPr="00EA0FD7" w:rsidRDefault="00EA0FD7" w:rsidP="00EA0FD7">
      <w:pPr>
        <w:keepNext/>
        <w:tabs>
          <w:tab w:val="left" w:pos="3010"/>
          <w:tab w:val="left" w:pos="3294"/>
          <w:tab w:val="left" w:pos="5196"/>
        </w:tabs>
        <w:spacing w:after="0" w:line="240" w:lineRule="auto"/>
        <w:ind w:left="360"/>
        <w:outlineLvl w:val="1"/>
        <w:rPr>
          <w:rFonts w:ascii="Times New Roman" w:eastAsia="Times New Roman" w:hAnsi="Times New Roman" w:cs="Times New Roman"/>
          <w:b/>
          <w:sz w:val="24"/>
          <w:szCs w:val="24"/>
          <w:lang w:val="sr-Cyrl-RS" w:eastAsia="hr-HR"/>
        </w:rPr>
      </w:pPr>
    </w:p>
    <w:p w14:paraId="65009464" w14:textId="77777777" w:rsidR="00EA0FD7" w:rsidRPr="00EA0FD7" w:rsidRDefault="00EA0FD7" w:rsidP="00EA0FD7">
      <w:pPr>
        <w:keepNext/>
        <w:tabs>
          <w:tab w:val="left" w:pos="3010"/>
          <w:tab w:val="left" w:pos="3294"/>
          <w:tab w:val="left" w:pos="5196"/>
        </w:tabs>
        <w:spacing w:after="0" w:line="240" w:lineRule="auto"/>
        <w:ind w:left="360"/>
        <w:outlineLvl w:val="1"/>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t>Трендови наплате индиректних пореза</w:t>
      </w:r>
      <w:bookmarkEnd w:id="42"/>
      <w:bookmarkEnd w:id="43"/>
    </w:p>
    <w:p w14:paraId="6249A5DB"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3E6CA11E" w14:textId="2AB68470" w:rsidR="00EA0FD7" w:rsidRPr="00EA0FD7" w:rsidRDefault="00EA0FD7" w:rsidP="00EA0FD7">
      <w:pPr>
        <w:keepNext/>
        <w:keepLines/>
        <w:spacing w:before="40" w:after="0" w:line="240" w:lineRule="auto"/>
        <w:outlineLvl w:val="2"/>
        <w:rPr>
          <w:rFonts w:ascii="Times New Roman" w:eastAsia="Times New Roman" w:hAnsi="Times New Roman" w:cs="Times New Roman"/>
          <w:b/>
          <w:sz w:val="24"/>
          <w:szCs w:val="24"/>
          <w:lang w:val="sr-Cyrl-RS" w:eastAsia="hr-HR"/>
        </w:rPr>
      </w:pPr>
      <w:bookmarkStart w:id="44" w:name="_Toc4666033"/>
      <w:bookmarkStart w:id="45" w:name="_Toc100751295"/>
      <w:r w:rsidRPr="00EA0FD7">
        <w:rPr>
          <w:rFonts w:ascii="Times New Roman" w:eastAsia="Times New Roman" w:hAnsi="Times New Roman" w:cs="Times New Roman"/>
          <w:b/>
          <w:sz w:val="24"/>
          <w:szCs w:val="24"/>
          <w:lang w:val="sr-Cyrl-RS" w:eastAsia="hr-HR"/>
        </w:rPr>
        <w:t xml:space="preserve">Наплата у </w:t>
      </w:r>
      <w:bookmarkEnd w:id="44"/>
      <w:r w:rsidRPr="00EA0FD7">
        <w:rPr>
          <w:rFonts w:ascii="Times New Roman" w:eastAsia="Times New Roman" w:hAnsi="Times New Roman" w:cs="Times New Roman"/>
          <w:b/>
          <w:sz w:val="24"/>
          <w:szCs w:val="24"/>
          <w:lang w:val="sr-Cyrl-RS" w:eastAsia="hr-HR"/>
        </w:rPr>
        <w:t>периоду 2006</w:t>
      </w:r>
      <w:r w:rsidR="00F42184">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
          <w:sz w:val="24"/>
          <w:szCs w:val="24"/>
          <w:lang w:val="sr-Cyrl-RS" w:eastAsia="hr-HR"/>
        </w:rPr>
        <w:t>2021</w:t>
      </w:r>
      <w:bookmarkEnd w:id="45"/>
      <w:r w:rsidRPr="00EA0FD7">
        <w:rPr>
          <w:rFonts w:ascii="Times New Roman" w:eastAsia="Times New Roman" w:hAnsi="Times New Roman" w:cs="Times New Roman"/>
          <w:b/>
          <w:sz w:val="24"/>
          <w:szCs w:val="24"/>
          <w:lang w:val="sr-Cyrl-RS" w:eastAsia="hr-HR"/>
        </w:rPr>
        <w:t>. година</w:t>
      </w:r>
    </w:p>
    <w:p w14:paraId="686DDE94"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5A00B612" w14:textId="724C8D1E"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Прикупљени приходи од индиректних пореза су, након дугорочног тренда раста,</w:t>
      </w:r>
      <w:r w:rsidRPr="00AE5455">
        <w:rPr>
          <w:rFonts w:ascii="Times New Roman" w:eastAsia="Times New Roman" w:hAnsi="Times New Roman" w:cs="Times New Roman"/>
          <w:sz w:val="24"/>
          <w:szCs w:val="24"/>
          <w:vertAlign w:val="superscript"/>
          <w:lang w:val="sr-Cyrl-RS" w:eastAsia="hr-HR"/>
        </w:rPr>
        <w:footnoteReference w:id="41"/>
      </w:r>
      <w:r w:rsidRPr="00EA0FD7">
        <w:rPr>
          <w:rFonts w:ascii="Times New Roman" w:eastAsia="Times New Roman" w:hAnsi="Times New Roman" w:cs="Times New Roman"/>
          <w:sz w:val="24"/>
          <w:szCs w:val="24"/>
          <w:lang w:val="sr-Cyrl-RS" w:eastAsia="hr-HR"/>
        </w:rPr>
        <w:t xml:space="preserve"> пали у 2020. години усљед ефеката пандемије корона</w:t>
      </w:r>
      <w:r w:rsidR="00F42184">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вируса. У 2006. години је прикупљено 4,12 млрд КМ нето прихода од индиректних пореза на ЈР УИО, а у 2019. години је износ нето наплаћених прихода увећан за чак 58,7% (6,54 млрд</w:t>
      </w:r>
      <w:r w:rsidR="00F42184">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КМ) у односу на 2006. годину.</w:t>
      </w:r>
      <w:r w:rsidRPr="00EA0FD7">
        <w:rPr>
          <w:rFonts w:ascii="Times New Roman" w:eastAsia="Times New Roman" w:hAnsi="Times New Roman" w:cs="Times New Roman"/>
          <w:sz w:val="24"/>
          <w:szCs w:val="24"/>
          <w:vertAlign w:val="superscript"/>
          <w:lang w:val="sr-Cyrl-RS" w:eastAsia="hr-HR"/>
        </w:rPr>
        <w:footnoteReference w:id="42"/>
      </w:r>
      <w:r w:rsidRPr="00EA0FD7">
        <w:rPr>
          <w:rFonts w:ascii="Verdana" w:eastAsia="Times New Roman" w:hAnsi="Verdana" w:cs="Times New Roman"/>
          <w:sz w:val="20"/>
          <w:szCs w:val="20"/>
          <w:lang w:val="sr-Cyrl-RS" w:eastAsia="de-DE"/>
        </w:rPr>
        <w:t xml:space="preserve"> </w:t>
      </w:r>
      <w:r w:rsidRPr="00EA0FD7">
        <w:rPr>
          <w:rFonts w:ascii="Times New Roman" w:eastAsia="Times New Roman" w:hAnsi="Times New Roman" w:cs="Times New Roman"/>
          <w:sz w:val="24"/>
          <w:szCs w:val="24"/>
          <w:lang w:val="sr-Cyrl-RS" w:eastAsia="hr-HR"/>
        </w:rPr>
        <w:t>У 2021. години је остварена рекордна номинална наплата прихода од индиректних пореза од оснивања УИО у износу од 6,92 млрд</w:t>
      </w:r>
      <w:r w:rsidR="00F42184">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КМ. </w:t>
      </w:r>
    </w:p>
    <w:p w14:paraId="6855B65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B420838" w14:textId="1C67DAFF"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Удио индиректних пореза са ЈР УИО у БДП-у је значајно варирао протеклих година (Табела </w:t>
      </w:r>
      <w:r w:rsidR="00F42184">
        <w:rPr>
          <w:rFonts w:ascii="Times New Roman" w:eastAsia="Times New Roman" w:hAnsi="Times New Roman" w:cs="Times New Roman"/>
          <w:sz w:val="24"/>
          <w:szCs w:val="24"/>
          <w:lang w:eastAsia="hr-HR"/>
        </w:rPr>
        <w:t>II</w:t>
      </w:r>
      <w:r w:rsidRPr="00EA0FD7">
        <w:rPr>
          <w:rFonts w:ascii="Times New Roman" w:eastAsia="Times New Roman" w:hAnsi="Times New Roman" w:cs="Times New Roman"/>
          <w:sz w:val="24"/>
          <w:szCs w:val="24"/>
          <w:lang w:val="sr-Cyrl-RS" w:eastAsia="hr-HR"/>
        </w:rPr>
        <w:t>. 2). Од оснивања УИО (2006) се распон овог показатеља кретао од 16,6% (мин</w:t>
      </w:r>
      <w:r w:rsidR="00F42184">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вриједност, 2009. година) до 19,2% (максимална вриједност, 2007. година). У 2020. години је износио 16,7%. Динамика индиректних пореза у БДП-у зависила је од бројних фактора: кретања </w:t>
      </w:r>
      <w:r w:rsidRPr="00AE5455">
        <w:rPr>
          <w:rFonts w:ascii="Times New Roman" w:eastAsia="Times New Roman" w:hAnsi="Times New Roman" w:cs="Times New Roman"/>
          <w:sz w:val="24"/>
          <w:szCs w:val="24"/>
          <w:lang w:val="sr-Cyrl-RS" w:eastAsia="hr-HR"/>
        </w:rPr>
        <w:t>пореск</w:t>
      </w:r>
      <w:r w:rsidRPr="00EA0FD7">
        <w:rPr>
          <w:rFonts w:ascii="Times New Roman" w:eastAsia="Times New Roman" w:hAnsi="Times New Roman" w:cs="Times New Roman"/>
          <w:sz w:val="24"/>
          <w:szCs w:val="24"/>
          <w:lang w:val="sr-Cyrl-RS" w:eastAsia="hr-HR"/>
        </w:rPr>
        <w:t xml:space="preserve">их стопа и </w:t>
      </w:r>
      <w:r w:rsidRPr="00AE5455">
        <w:rPr>
          <w:rFonts w:ascii="Times New Roman" w:eastAsia="Times New Roman" w:hAnsi="Times New Roman" w:cs="Times New Roman"/>
          <w:sz w:val="24"/>
          <w:szCs w:val="24"/>
          <w:lang w:val="sr-Cyrl-RS" w:eastAsia="hr-HR"/>
        </w:rPr>
        <w:t>пореск</w:t>
      </w:r>
      <w:r w:rsidRPr="00EA0FD7">
        <w:rPr>
          <w:rFonts w:ascii="Times New Roman" w:eastAsia="Times New Roman" w:hAnsi="Times New Roman" w:cs="Times New Roman"/>
          <w:sz w:val="24"/>
          <w:szCs w:val="24"/>
          <w:lang w:val="sr-Cyrl-RS" w:eastAsia="hr-HR"/>
        </w:rPr>
        <w:t xml:space="preserve">е основице, ефикасности наплате пореза, кретања потрошње, али и других категорија бруто друштвеног производа (инвестиције, увоз и извоз), које осим потрошње утичу на висину називника овог показатеља. Удио индиректних пореза са ЈР УИО у укупној потрошњи је такође варирао, а од 2014. до 2019. године имао је непрекидни тренд </w:t>
      </w:r>
      <w:r w:rsidRPr="00EA0FD7">
        <w:rPr>
          <w:rFonts w:ascii="Times New Roman" w:eastAsia="Times New Roman" w:hAnsi="Times New Roman" w:cs="Times New Roman"/>
          <w:sz w:val="24"/>
          <w:szCs w:val="24"/>
          <w:lang w:val="sr-Cyrl-RS" w:eastAsia="hr-HR"/>
        </w:rPr>
        <w:lastRenderedPageBreak/>
        <w:t xml:space="preserve">раста. У 2019. години је износио 19,9%, што је дотадашњи максимум од оснивања УИО, док је у 2020. години опао на 18,4%. </w:t>
      </w:r>
    </w:p>
    <w:p w14:paraId="6F421E8A" w14:textId="5749373C"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На основу података о прикупљеним приходима на ЈР УИО у 2021. години и процјена БДП-а и потрошње (ДЕП) за 2021. годину, процјена удјела индиректних пореза за ту годину у БДП-у износи 18,4%, а у потрошњи 20,3%. Процијењени удио индиректних пореза у потрошњи у 2021.</w:t>
      </w:r>
      <w:r w:rsidR="00F42184">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години представља највиши ниво од оснивања УИО.</w:t>
      </w:r>
    </w:p>
    <w:p w14:paraId="569A77F0"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7EF809ED" w14:textId="2A506AF0" w:rsidR="00EA0FD7" w:rsidRPr="00EA0FD7" w:rsidRDefault="00EA0FD7" w:rsidP="00EA0FD7">
      <w:pPr>
        <w:suppressLineNumbers/>
        <w:suppressAutoHyphens/>
        <w:spacing w:after="0" w:line="240" w:lineRule="auto"/>
        <w:jc w:val="center"/>
        <w:rPr>
          <w:rFonts w:ascii="Times New Roman" w:eastAsia="Times New Roman" w:hAnsi="Times New Roman" w:cs="Times New Roman"/>
          <w:bCs/>
          <w:iCs/>
          <w:sz w:val="24"/>
          <w:szCs w:val="24"/>
          <w:lang w:val="sr-Cyrl-RS" w:eastAsia="ar-SA"/>
        </w:rPr>
      </w:pPr>
      <w:bookmarkStart w:id="46" w:name="_Toc52452382"/>
      <w:bookmarkStart w:id="47" w:name="_Toc100909330"/>
      <w:r w:rsidRPr="00AE5455">
        <w:rPr>
          <w:rFonts w:ascii="Times New Roman" w:eastAsia="Times New Roman" w:hAnsi="Times New Roman" w:cs="Times New Roman"/>
          <w:b/>
          <w:iCs/>
          <w:color w:val="000000"/>
          <w:sz w:val="18"/>
          <w:szCs w:val="24"/>
          <w:lang w:val="sr-Cyrl-RS" w:eastAsia="ar-SA"/>
        </w:rPr>
        <w:t xml:space="preserve">Графикон 3. </w:t>
      </w:r>
      <w:r w:rsidRPr="00EA0FD7">
        <w:rPr>
          <w:rFonts w:ascii="Calibri" w:eastAsia="Times New Roman" w:hAnsi="Calibri" w:cs="Tahoma"/>
          <w:i/>
          <w:iCs/>
          <w:sz w:val="24"/>
          <w:szCs w:val="24"/>
          <w:lang w:val="sr-Cyrl-RS" w:eastAsia="ar-SA"/>
        </w:rPr>
        <w:fldChar w:fldCharType="begin"/>
      </w:r>
      <w:r w:rsidRPr="00AE5455">
        <w:rPr>
          <w:rFonts w:ascii="Times New Roman" w:eastAsia="Times New Roman" w:hAnsi="Times New Roman" w:cs="Times New Roman"/>
          <w:b/>
          <w:iCs/>
          <w:color w:val="000000"/>
          <w:sz w:val="18"/>
          <w:szCs w:val="24"/>
          <w:lang w:val="sr-Cyrl-RS" w:eastAsia="ar-SA"/>
        </w:rPr>
        <w:instrText xml:space="preserve"> SEQ Grafikon_ \* ARABIC </w:instrText>
      </w:r>
      <w:r w:rsidRPr="00EA0FD7">
        <w:rPr>
          <w:rFonts w:ascii="Calibri" w:eastAsia="Times New Roman" w:hAnsi="Calibri" w:cs="Tahoma"/>
          <w:i/>
          <w:iCs/>
          <w:sz w:val="24"/>
          <w:szCs w:val="24"/>
          <w:lang w:val="sr-Cyrl-RS" w:eastAsia="ar-SA"/>
        </w:rPr>
        <w:fldChar w:fldCharType="separate"/>
      </w:r>
      <w:r w:rsidRPr="00AE5455">
        <w:rPr>
          <w:rFonts w:ascii="Times New Roman" w:eastAsia="Times New Roman" w:hAnsi="Times New Roman" w:cs="Times New Roman"/>
          <w:b/>
          <w:iCs/>
          <w:color w:val="000000"/>
          <w:sz w:val="18"/>
          <w:szCs w:val="24"/>
          <w:lang w:val="sr-Cyrl-RS" w:eastAsia="ar-SA"/>
        </w:rPr>
        <w:t>2</w:t>
      </w:r>
      <w:r w:rsidRPr="00EA0FD7">
        <w:rPr>
          <w:rFonts w:ascii="Calibri" w:eastAsia="Times New Roman" w:hAnsi="Calibri" w:cs="Tahoma"/>
          <w:i/>
          <w:iCs/>
          <w:sz w:val="24"/>
          <w:szCs w:val="24"/>
          <w:lang w:val="sr-Cyrl-RS" w:eastAsia="ar-SA"/>
        </w:rPr>
        <w:fldChar w:fldCharType="end"/>
      </w:r>
      <w:r w:rsidRPr="00EA0FD7">
        <w:rPr>
          <w:rFonts w:ascii="Times New Roman" w:eastAsia="Times New Roman" w:hAnsi="Times New Roman" w:cs="Times New Roman"/>
          <w:b/>
          <w:iCs/>
          <w:sz w:val="24"/>
          <w:szCs w:val="24"/>
          <w:lang w:val="sr-Cyrl-RS" w:eastAsia="ar-SA"/>
        </w:rPr>
        <w:t>.</w:t>
      </w:r>
      <w:r w:rsidRPr="00EA0FD7">
        <w:rPr>
          <w:rFonts w:ascii="Times New Roman" w:eastAsia="Times New Roman" w:hAnsi="Times New Roman" w:cs="Times New Roman"/>
          <w:iCs/>
          <w:sz w:val="24"/>
          <w:szCs w:val="24"/>
          <w:lang w:val="sr-Cyrl-RS" w:eastAsia="ar-SA"/>
        </w:rPr>
        <w:t xml:space="preserve"> </w:t>
      </w:r>
      <w:r w:rsidRPr="00EA0FD7">
        <w:rPr>
          <w:rFonts w:ascii="Times New Roman" w:eastAsia="Times New Roman" w:hAnsi="Times New Roman" w:cs="Times New Roman"/>
          <w:bCs/>
          <w:iCs/>
          <w:sz w:val="24"/>
          <w:szCs w:val="24"/>
          <w:lang w:val="sr-Cyrl-RS" w:eastAsia="ar-SA"/>
        </w:rPr>
        <w:t>Нето приходи од индиректних пореза на ЈР УИО, 2006</w:t>
      </w:r>
      <w:r w:rsidR="00F42184">
        <w:rPr>
          <w:rFonts w:ascii="Times New Roman" w:eastAsia="Times New Roman" w:hAnsi="Times New Roman" w:cs="Times New Roman"/>
          <w:bCs/>
          <w:iCs/>
          <w:sz w:val="24"/>
          <w:szCs w:val="24"/>
          <w:lang w:val="sr-Cyrl-RS" w:eastAsia="ar-SA"/>
        </w:rPr>
        <w:t>–</w:t>
      </w:r>
      <w:r w:rsidRPr="00EA0FD7">
        <w:rPr>
          <w:rFonts w:ascii="Times New Roman" w:eastAsia="Times New Roman" w:hAnsi="Times New Roman" w:cs="Times New Roman"/>
          <w:bCs/>
          <w:iCs/>
          <w:sz w:val="24"/>
          <w:szCs w:val="24"/>
          <w:lang w:val="sr-Cyrl-RS" w:eastAsia="ar-SA"/>
        </w:rPr>
        <w:t>20</w:t>
      </w:r>
      <w:bookmarkEnd w:id="46"/>
      <w:r w:rsidRPr="00EA0FD7">
        <w:rPr>
          <w:rFonts w:ascii="Times New Roman" w:eastAsia="Times New Roman" w:hAnsi="Times New Roman" w:cs="Times New Roman"/>
          <w:bCs/>
          <w:iCs/>
          <w:sz w:val="24"/>
          <w:szCs w:val="24"/>
          <w:lang w:val="sr-Cyrl-RS" w:eastAsia="ar-SA"/>
        </w:rPr>
        <w:t>21</w:t>
      </w:r>
      <w:bookmarkEnd w:id="47"/>
      <w:r w:rsidRPr="00EA0FD7">
        <w:rPr>
          <w:rFonts w:ascii="Times New Roman" w:eastAsia="Times New Roman" w:hAnsi="Times New Roman" w:cs="Times New Roman"/>
          <w:bCs/>
          <w:iCs/>
          <w:sz w:val="24"/>
          <w:szCs w:val="24"/>
          <w:lang w:val="sr-Cyrl-RS" w:eastAsia="ar-SA"/>
        </w:rPr>
        <w:t>.</w:t>
      </w:r>
      <w:r w:rsidR="00F42184">
        <w:rPr>
          <w:rFonts w:ascii="Times New Roman" w:eastAsia="Times New Roman" w:hAnsi="Times New Roman" w:cs="Times New Roman"/>
          <w:bCs/>
          <w:iCs/>
          <w:sz w:val="24"/>
          <w:szCs w:val="24"/>
          <w:lang w:val="sr-Cyrl-RS" w:eastAsia="ar-SA"/>
        </w:rPr>
        <w:t xml:space="preserve"> </w:t>
      </w:r>
      <w:r w:rsidRPr="00EA0FD7">
        <w:rPr>
          <w:rFonts w:ascii="Times New Roman" w:eastAsia="Times New Roman" w:hAnsi="Times New Roman" w:cs="Times New Roman"/>
          <w:bCs/>
          <w:iCs/>
          <w:sz w:val="24"/>
          <w:szCs w:val="24"/>
          <w:lang w:val="sr-Cyrl-RS" w:eastAsia="ar-SA"/>
        </w:rPr>
        <w:t>година</w:t>
      </w:r>
    </w:p>
    <w:tbl>
      <w:tblPr>
        <w:tblW w:w="0" w:type="auto"/>
        <w:tblInd w:w="1242" w:type="dxa"/>
        <w:shd w:val="clear" w:color="auto" w:fill="FDE9D9"/>
        <w:tblLook w:val="04A0" w:firstRow="1" w:lastRow="0" w:firstColumn="1" w:lastColumn="0" w:noHBand="0" w:noVBand="1"/>
      </w:tblPr>
      <w:tblGrid>
        <w:gridCol w:w="6992"/>
      </w:tblGrid>
      <w:tr w:rsidR="00EA0FD7" w:rsidRPr="00EA0FD7" w14:paraId="33FC9495" w14:textId="77777777" w:rsidTr="00EA0FD7">
        <w:trPr>
          <w:cantSplit/>
          <w:trHeight w:val="103"/>
        </w:trPr>
        <w:tc>
          <w:tcPr>
            <w:tcW w:w="6992" w:type="dxa"/>
            <w:shd w:val="clear" w:color="auto" w:fill="FDE9D9"/>
          </w:tcPr>
          <w:p w14:paraId="0CA1BDD7"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tc>
      </w:tr>
      <w:tr w:rsidR="00EA0FD7" w:rsidRPr="00EA0FD7" w14:paraId="650236DC" w14:textId="77777777" w:rsidTr="00EA0FD7">
        <w:trPr>
          <w:trHeight w:val="52"/>
        </w:trPr>
        <w:tc>
          <w:tcPr>
            <w:tcW w:w="6992" w:type="dxa"/>
            <w:shd w:val="clear" w:color="auto" w:fill="FDE9D9"/>
            <w:hideMark/>
          </w:tcPr>
          <w:p w14:paraId="7BDCE9CC"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786E31A2" wp14:editId="367316FA">
                  <wp:extent cx="4239260" cy="1484630"/>
                  <wp:effectExtent l="0" t="0" r="8890" b="1270"/>
                  <wp:docPr id="11" name="Slik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9260" cy="1484630"/>
                          </a:xfrm>
                          <a:prstGeom prst="rect">
                            <a:avLst/>
                          </a:prstGeom>
                          <a:noFill/>
                          <a:ln>
                            <a:noFill/>
                          </a:ln>
                        </pic:spPr>
                      </pic:pic>
                    </a:graphicData>
                  </a:graphic>
                </wp:inline>
              </w:drawing>
            </w:r>
          </w:p>
        </w:tc>
      </w:tr>
      <w:tr w:rsidR="00EA0FD7" w:rsidRPr="00EA0FD7" w14:paraId="06746F38" w14:textId="77777777" w:rsidTr="00EA0FD7">
        <w:trPr>
          <w:trHeight w:val="103"/>
        </w:trPr>
        <w:tc>
          <w:tcPr>
            <w:tcW w:w="6992" w:type="dxa"/>
            <w:shd w:val="clear" w:color="auto" w:fill="FDE9D9"/>
          </w:tcPr>
          <w:p w14:paraId="20FF8A96"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tc>
      </w:tr>
    </w:tbl>
    <w:p w14:paraId="3BDB58D6" w14:textId="63D9B764"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Извор: Управа за индиректно </w:t>
      </w:r>
      <w:r w:rsidR="00F42184">
        <w:rPr>
          <w:rFonts w:ascii="Times New Roman" w:eastAsia="Times New Roman" w:hAnsi="Times New Roman" w:cs="Times New Roman"/>
          <w:sz w:val="20"/>
          <w:szCs w:val="20"/>
          <w:lang w:val="sr-Cyrl-RS" w:eastAsia="hr-HR"/>
        </w:rPr>
        <w:t>опорезивање</w:t>
      </w:r>
      <w:r w:rsidRPr="00EA0FD7">
        <w:rPr>
          <w:rFonts w:ascii="Times New Roman" w:eastAsia="Times New Roman" w:hAnsi="Times New Roman" w:cs="Times New Roman"/>
          <w:sz w:val="20"/>
          <w:szCs w:val="20"/>
          <w:lang w:val="sr-Cyrl-RS" w:eastAsia="hr-HR"/>
        </w:rPr>
        <w:t xml:space="preserve"> БиХ, приказ ОМА</w:t>
      </w:r>
    </w:p>
    <w:p w14:paraId="68EBEAFF" w14:textId="77777777"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p>
    <w:p w14:paraId="3DA32FFF" w14:textId="77777777"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p>
    <w:p w14:paraId="3875310A"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bookmarkStart w:id="48" w:name="_Toc100909149"/>
      <w:bookmarkStart w:id="49" w:name="_Toc42591172"/>
      <w:r w:rsidRPr="00EA0FD7">
        <w:rPr>
          <w:rFonts w:ascii="Times New Roman" w:eastAsia="Times New Roman" w:hAnsi="Times New Roman" w:cs="Times New Roman"/>
          <w:b/>
          <w:sz w:val="24"/>
          <w:szCs w:val="24"/>
          <w:lang w:val="sr-Cyrl-RS" w:eastAsia="hr-HR"/>
        </w:rPr>
        <w:t>Табела 3.</w:t>
      </w:r>
      <w:r w:rsidRPr="00EA0FD7">
        <w:rPr>
          <w:rFonts w:ascii="Times New Roman" w:eastAsia="Times New Roman" w:hAnsi="Times New Roman" w:cs="Times New Roman"/>
          <w:sz w:val="24"/>
          <w:szCs w:val="24"/>
          <w:lang w:val="sr-Cyrl-RS" w:eastAsia="hr-HR"/>
        </w:rPr>
        <w:fldChar w:fldCharType="begin"/>
      </w:r>
      <w:r w:rsidRPr="00EA0FD7">
        <w:rPr>
          <w:rFonts w:ascii="Times New Roman" w:eastAsia="Times New Roman" w:hAnsi="Times New Roman" w:cs="Times New Roman"/>
          <w:b/>
          <w:sz w:val="24"/>
          <w:szCs w:val="24"/>
          <w:lang w:val="sr-Cyrl-RS" w:eastAsia="hr-HR"/>
        </w:rPr>
        <w:instrText xml:space="preserve"> SEQ Tabela \* ARABIC </w:instrText>
      </w:r>
      <w:r w:rsidRPr="00EA0FD7">
        <w:rPr>
          <w:rFonts w:ascii="Times New Roman" w:eastAsia="Times New Roman" w:hAnsi="Times New Roman" w:cs="Times New Roman"/>
          <w:sz w:val="24"/>
          <w:szCs w:val="24"/>
          <w:lang w:val="sr-Cyrl-RS" w:eastAsia="hr-HR"/>
        </w:rPr>
        <w:fldChar w:fldCharType="separate"/>
      </w:r>
      <w:r w:rsidRPr="00EA0FD7">
        <w:rPr>
          <w:rFonts w:ascii="Times New Roman" w:eastAsia="Times New Roman" w:hAnsi="Times New Roman" w:cs="Times New Roman"/>
          <w:b/>
          <w:sz w:val="24"/>
          <w:szCs w:val="24"/>
          <w:lang w:val="sr-Cyrl-RS" w:eastAsia="hr-HR"/>
        </w:rPr>
        <w:t>2</w:t>
      </w:r>
      <w:r w:rsidRPr="00EA0FD7">
        <w:rPr>
          <w:rFonts w:ascii="Times New Roman" w:eastAsia="Times New Roman" w:hAnsi="Times New Roman" w:cs="Times New Roman"/>
          <w:sz w:val="24"/>
          <w:szCs w:val="24"/>
          <w:lang w:val="sr-Cyrl-RS" w:eastAsia="hr-HR"/>
        </w:rPr>
        <w:fldChar w:fldCharType="end"/>
      </w:r>
      <w:r w:rsidRPr="00EA0FD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sz w:val="24"/>
          <w:szCs w:val="24"/>
          <w:lang w:val="sr-Cyrl-RS" w:eastAsia="hr-HR"/>
        </w:rPr>
        <w:t xml:space="preserve"> Удио прихода од индиректних пореза са ЈР УИО у БДП-у и укупној потрошњи</w:t>
      </w:r>
      <w:bookmarkEnd w:id="48"/>
      <w:bookmarkEnd w:id="49"/>
      <w:r w:rsidRPr="00EA0FD7">
        <w:rPr>
          <w:rFonts w:ascii="Times New Roman" w:eastAsia="Times New Roman" w:hAnsi="Times New Roman" w:cs="Times New Roman"/>
          <w:sz w:val="24"/>
          <w:szCs w:val="24"/>
          <w:lang w:val="sr-Cyrl-RS" w:eastAsia="hr-HR"/>
        </w:rPr>
        <w:t xml:space="preserve"> </w:t>
      </w:r>
    </w:p>
    <w:tbl>
      <w:tblPr>
        <w:tblW w:w="9645" w:type="dxa"/>
        <w:tblInd w:w="103" w:type="dxa"/>
        <w:tblLayout w:type="fixed"/>
        <w:tblLook w:val="04A0" w:firstRow="1" w:lastRow="0" w:firstColumn="1" w:lastColumn="0" w:noHBand="0" w:noVBand="1"/>
      </w:tblPr>
      <w:tblGrid>
        <w:gridCol w:w="887"/>
        <w:gridCol w:w="547"/>
        <w:gridCol w:w="547"/>
        <w:gridCol w:w="548"/>
        <w:gridCol w:w="547"/>
        <w:gridCol w:w="547"/>
        <w:gridCol w:w="548"/>
        <w:gridCol w:w="547"/>
        <w:gridCol w:w="548"/>
        <w:gridCol w:w="547"/>
        <w:gridCol w:w="547"/>
        <w:gridCol w:w="548"/>
        <w:gridCol w:w="547"/>
        <w:gridCol w:w="547"/>
        <w:gridCol w:w="548"/>
        <w:gridCol w:w="547"/>
        <w:gridCol w:w="548"/>
      </w:tblGrid>
      <w:tr w:rsidR="00EA0FD7" w:rsidRPr="00AE5455" w14:paraId="596AB48C" w14:textId="77777777" w:rsidTr="00EA0FD7">
        <w:trPr>
          <w:cantSplit/>
          <w:trHeight w:hRule="exact" w:val="851"/>
        </w:trPr>
        <w:tc>
          <w:tcPr>
            <w:tcW w:w="886" w:type="dxa"/>
            <w:tcBorders>
              <w:top w:val="single" w:sz="4" w:space="0" w:color="auto"/>
              <w:left w:val="single" w:sz="4" w:space="0" w:color="auto"/>
              <w:bottom w:val="single" w:sz="4" w:space="0" w:color="auto"/>
              <w:right w:val="single" w:sz="4" w:space="0" w:color="auto"/>
            </w:tcBorders>
            <w:shd w:val="clear" w:color="auto" w:fill="FDE9D9"/>
            <w:noWrap/>
            <w:textDirection w:val="btLr"/>
            <w:vAlign w:val="bottom"/>
            <w:hideMark/>
          </w:tcPr>
          <w:p w14:paraId="02E71997" w14:textId="77777777"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(у %)</w:t>
            </w:r>
          </w:p>
        </w:tc>
        <w:tc>
          <w:tcPr>
            <w:tcW w:w="547" w:type="dxa"/>
            <w:tcBorders>
              <w:top w:val="single" w:sz="4" w:space="0" w:color="auto"/>
              <w:left w:val="nil"/>
              <w:bottom w:val="single" w:sz="4" w:space="0" w:color="auto"/>
              <w:right w:val="single" w:sz="4" w:space="0" w:color="auto"/>
            </w:tcBorders>
            <w:shd w:val="clear" w:color="auto" w:fill="FDE9D9"/>
            <w:noWrap/>
            <w:textDirection w:val="btLr"/>
            <w:vAlign w:val="bottom"/>
            <w:hideMark/>
          </w:tcPr>
          <w:p w14:paraId="76CD57DF" w14:textId="2F1B1E79"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2006</w:t>
            </w:r>
            <w:r w:rsidR="00F42184">
              <w:rPr>
                <w:rFonts w:ascii="Times New Roman" w:eastAsia="Times New Roman" w:hAnsi="Times New Roman" w:cs="Times New Roman"/>
                <w:color w:val="000000"/>
                <w:sz w:val="18"/>
                <w:szCs w:val="18"/>
                <w:lang w:val="sr-Cyrl-RS" w:eastAsia="hr-HR"/>
              </w:rPr>
              <w:t>.</w:t>
            </w:r>
          </w:p>
        </w:tc>
        <w:tc>
          <w:tcPr>
            <w:tcW w:w="547" w:type="dxa"/>
            <w:tcBorders>
              <w:top w:val="single" w:sz="4" w:space="0" w:color="auto"/>
              <w:left w:val="nil"/>
              <w:bottom w:val="single" w:sz="4" w:space="0" w:color="auto"/>
              <w:right w:val="single" w:sz="4" w:space="0" w:color="auto"/>
            </w:tcBorders>
            <w:shd w:val="clear" w:color="auto" w:fill="FDE9D9"/>
            <w:noWrap/>
            <w:textDirection w:val="btLr"/>
            <w:vAlign w:val="bottom"/>
            <w:hideMark/>
          </w:tcPr>
          <w:p w14:paraId="3EB0F1B0" w14:textId="3E6CE671"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2007</w:t>
            </w:r>
            <w:r w:rsidR="00F42184">
              <w:rPr>
                <w:rFonts w:ascii="Times New Roman" w:eastAsia="Times New Roman" w:hAnsi="Times New Roman" w:cs="Times New Roman"/>
                <w:color w:val="000000"/>
                <w:sz w:val="18"/>
                <w:szCs w:val="18"/>
                <w:lang w:val="sr-Cyrl-RS" w:eastAsia="hr-HR"/>
              </w:rPr>
              <w:t>.</w:t>
            </w:r>
          </w:p>
        </w:tc>
        <w:tc>
          <w:tcPr>
            <w:tcW w:w="548" w:type="dxa"/>
            <w:tcBorders>
              <w:top w:val="single" w:sz="4" w:space="0" w:color="auto"/>
              <w:left w:val="nil"/>
              <w:bottom w:val="single" w:sz="4" w:space="0" w:color="auto"/>
              <w:right w:val="single" w:sz="4" w:space="0" w:color="auto"/>
            </w:tcBorders>
            <w:shd w:val="clear" w:color="auto" w:fill="FDE9D9"/>
            <w:noWrap/>
            <w:textDirection w:val="btLr"/>
            <w:vAlign w:val="bottom"/>
            <w:hideMark/>
          </w:tcPr>
          <w:p w14:paraId="2534B818" w14:textId="72D158C3"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2008</w:t>
            </w:r>
            <w:r w:rsidR="00F42184">
              <w:rPr>
                <w:rFonts w:ascii="Times New Roman" w:eastAsia="Times New Roman" w:hAnsi="Times New Roman" w:cs="Times New Roman"/>
                <w:color w:val="000000"/>
                <w:sz w:val="18"/>
                <w:szCs w:val="18"/>
                <w:lang w:val="sr-Cyrl-RS" w:eastAsia="hr-HR"/>
              </w:rPr>
              <w:t>.</w:t>
            </w:r>
          </w:p>
        </w:tc>
        <w:tc>
          <w:tcPr>
            <w:tcW w:w="547" w:type="dxa"/>
            <w:tcBorders>
              <w:top w:val="single" w:sz="4" w:space="0" w:color="auto"/>
              <w:left w:val="nil"/>
              <w:bottom w:val="single" w:sz="4" w:space="0" w:color="auto"/>
              <w:right w:val="single" w:sz="4" w:space="0" w:color="auto"/>
            </w:tcBorders>
            <w:shd w:val="clear" w:color="auto" w:fill="FDE9D9"/>
            <w:noWrap/>
            <w:textDirection w:val="btLr"/>
            <w:vAlign w:val="bottom"/>
            <w:hideMark/>
          </w:tcPr>
          <w:p w14:paraId="72872B4F" w14:textId="64471744"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2009</w:t>
            </w:r>
            <w:r w:rsidR="00F42184">
              <w:rPr>
                <w:rFonts w:ascii="Times New Roman" w:eastAsia="Times New Roman" w:hAnsi="Times New Roman" w:cs="Times New Roman"/>
                <w:color w:val="000000"/>
                <w:sz w:val="18"/>
                <w:szCs w:val="18"/>
                <w:lang w:val="sr-Cyrl-RS" w:eastAsia="hr-HR"/>
              </w:rPr>
              <w:t>.</w:t>
            </w:r>
          </w:p>
        </w:tc>
        <w:tc>
          <w:tcPr>
            <w:tcW w:w="547" w:type="dxa"/>
            <w:tcBorders>
              <w:top w:val="single" w:sz="4" w:space="0" w:color="auto"/>
              <w:left w:val="nil"/>
              <w:bottom w:val="single" w:sz="4" w:space="0" w:color="auto"/>
              <w:right w:val="single" w:sz="4" w:space="0" w:color="auto"/>
            </w:tcBorders>
            <w:shd w:val="clear" w:color="auto" w:fill="FDE9D9"/>
            <w:noWrap/>
            <w:textDirection w:val="btLr"/>
            <w:vAlign w:val="bottom"/>
            <w:hideMark/>
          </w:tcPr>
          <w:p w14:paraId="4695778D" w14:textId="1654713C"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2010</w:t>
            </w:r>
            <w:r w:rsidR="00F42184">
              <w:rPr>
                <w:rFonts w:ascii="Times New Roman" w:eastAsia="Times New Roman" w:hAnsi="Times New Roman" w:cs="Times New Roman"/>
                <w:color w:val="000000"/>
                <w:sz w:val="18"/>
                <w:szCs w:val="18"/>
                <w:lang w:val="sr-Cyrl-RS" w:eastAsia="hr-HR"/>
              </w:rPr>
              <w:t>.</w:t>
            </w:r>
          </w:p>
        </w:tc>
        <w:tc>
          <w:tcPr>
            <w:tcW w:w="548" w:type="dxa"/>
            <w:tcBorders>
              <w:top w:val="single" w:sz="4" w:space="0" w:color="auto"/>
              <w:left w:val="nil"/>
              <w:bottom w:val="single" w:sz="4" w:space="0" w:color="auto"/>
              <w:right w:val="single" w:sz="4" w:space="0" w:color="auto"/>
            </w:tcBorders>
            <w:shd w:val="clear" w:color="auto" w:fill="FDE9D9"/>
            <w:noWrap/>
            <w:textDirection w:val="btLr"/>
            <w:vAlign w:val="bottom"/>
            <w:hideMark/>
          </w:tcPr>
          <w:p w14:paraId="6F182DD1" w14:textId="4088C2FE"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2011</w:t>
            </w:r>
            <w:r w:rsidR="00F42184">
              <w:rPr>
                <w:rFonts w:ascii="Times New Roman" w:eastAsia="Times New Roman" w:hAnsi="Times New Roman" w:cs="Times New Roman"/>
                <w:color w:val="000000"/>
                <w:sz w:val="18"/>
                <w:szCs w:val="18"/>
                <w:lang w:val="sr-Cyrl-RS" w:eastAsia="hr-HR"/>
              </w:rPr>
              <w:t>.</w:t>
            </w:r>
          </w:p>
        </w:tc>
        <w:tc>
          <w:tcPr>
            <w:tcW w:w="547" w:type="dxa"/>
            <w:tcBorders>
              <w:top w:val="single" w:sz="4" w:space="0" w:color="auto"/>
              <w:left w:val="nil"/>
              <w:bottom w:val="single" w:sz="4" w:space="0" w:color="auto"/>
              <w:right w:val="single" w:sz="4" w:space="0" w:color="auto"/>
            </w:tcBorders>
            <w:shd w:val="clear" w:color="auto" w:fill="FDE9D9"/>
            <w:noWrap/>
            <w:textDirection w:val="btLr"/>
            <w:vAlign w:val="bottom"/>
            <w:hideMark/>
          </w:tcPr>
          <w:p w14:paraId="0DA2A3B7" w14:textId="59AD6CF4"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2012</w:t>
            </w:r>
            <w:r w:rsidR="00F42184">
              <w:rPr>
                <w:rFonts w:ascii="Times New Roman" w:eastAsia="Times New Roman" w:hAnsi="Times New Roman" w:cs="Times New Roman"/>
                <w:color w:val="000000"/>
                <w:sz w:val="18"/>
                <w:szCs w:val="18"/>
                <w:lang w:val="sr-Cyrl-RS" w:eastAsia="hr-HR"/>
              </w:rPr>
              <w:t>.</w:t>
            </w:r>
          </w:p>
        </w:tc>
        <w:tc>
          <w:tcPr>
            <w:tcW w:w="548" w:type="dxa"/>
            <w:tcBorders>
              <w:top w:val="single" w:sz="4" w:space="0" w:color="auto"/>
              <w:left w:val="nil"/>
              <w:bottom w:val="single" w:sz="4" w:space="0" w:color="auto"/>
              <w:right w:val="single" w:sz="4" w:space="0" w:color="auto"/>
            </w:tcBorders>
            <w:shd w:val="clear" w:color="auto" w:fill="FDE9D9"/>
            <w:noWrap/>
            <w:textDirection w:val="btLr"/>
            <w:vAlign w:val="bottom"/>
            <w:hideMark/>
          </w:tcPr>
          <w:p w14:paraId="336F4F77" w14:textId="6D39AEF2"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2013</w:t>
            </w:r>
            <w:r w:rsidR="00F42184">
              <w:rPr>
                <w:rFonts w:ascii="Times New Roman" w:eastAsia="Times New Roman" w:hAnsi="Times New Roman" w:cs="Times New Roman"/>
                <w:color w:val="000000"/>
                <w:sz w:val="18"/>
                <w:szCs w:val="18"/>
                <w:lang w:val="sr-Cyrl-RS" w:eastAsia="hr-HR"/>
              </w:rPr>
              <w:t>.</w:t>
            </w:r>
          </w:p>
        </w:tc>
        <w:tc>
          <w:tcPr>
            <w:tcW w:w="547" w:type="dxa"/>
            <w:tcBorders>
              <w:top w:val="single" w:sz="4" w:space="0" w:color="auto"/>
              <w:left w:val="nil"/>
              <w:bottom w:val="single" w:sz="4" w:space="0" w:color="auto"/>
              <w:right w:val="single" w:sz="4" w:space="0" w:color="auto"/>
            </w:tcBorders>
            <w:shd w:val="clear" w:color="auto" w:fill="FDE9D9"/>
            <w:noWrap/>
            <w:textDirection w:val="btLr"/>
            <w:vAlign w:val="bottom"/>
            <w:hideMark/>
          </w:tcPr>
          <w:p w14:paraId="5048539C" w14:textId="58F95FBE"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2014</w:t>
            </w:r>
            <w:r w:rsidR="00F42184">
              <w:rPr>
                <w:rFonts w:ascii="Times New Roman" w:eastAsia="Times New Roman" w:hAnsi="Times New Roman" w:cs="Times New Roman"/>
                <w:color w:val="000000"/>
                <w:sz w:val="18"/>
                <w:szCs w:val="18"/>
                <w:lang w:val="sr-Cyrl-RS" w:eastAsia="hr-HR"/>
              </w:rPr>
              <w:t>.</w:t>
            </w:r>
          </w:p>
        </w:tc>
        <w:tc>
          <w:tcPr>
            <w:tcW w:w="547" w:type="dxa"/>
            <w:tcBorders>
              <w:top w:val="single" w:sz="4" w:space="0" w:color="auto"/>
              <w:left w:val="nil"/>
              <w:bottom w:val="single" w:sz="4" w:space="0" w:color="auto"/>
              <w:right w:val="single" w:sz="4" w:space="0" w:color="auto"/>
            </w:tcBorders>
            <w:shd w:val="clear" w:color="auto" w:fill="FDE9D9"/>
            <w:noWrap/>
            <w:textDirection w:val="btLr"/>
            <w:vAlign w:val="bottom"/>
            <w:hideMark/>
          </w:tcPr>
          <w:p w14:paraId="01BC572D" w14:textId="71DAD02A"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2015</w:t>
            </w:r>
            <w:r w:rsidR="00F42184">
              <w:rPr>
                <w:rFonts w:ascii="Times New Roman" w:eastAsia="Times New Roman" w:hAnsi="Times New Roman" w:cs="Times New Roman"/>
                <w:color w:val="000000"/>
                <w:sz w:val="18"/>
                <w:szCs w:val="18"/>
                <w:lang w:val="sr-Cyrl-RS" w:eastAsia="hr-HR"/>
              </w:rPr>
              <w:t>.</w:t>
            </w:r>
          </w:p>
        </w:tc>
        <w:tc>
          <w:tcPr>
            <w:tcW w:w="548" w:type="dxa"/>
            <w:tcBorders>
              <w:top w:val="single" w:sz="4" w:space="0" w:color="auto"/>
              <w:left w:val="nil"/>
              <w:bottom w:val="single" w:sz="4" w:space="0" w:color="auto"/>
              <w:right w:val="single" w:sz="4" w:space="0" w:color="auto"/>
            </w:tcBorders>
            <w:shd w:val="clear" w:color="auto" w:fill="FDE9D9"/>
            <w:noWrap/>
            <w:textDirection w:val="btLr"/>
            <w:vAlign w:val="bottom"/>
            <w:hideMark/>
          </w:tcPr>
          <w:p w14:paraId="3169021C" w14:textId="7270DAC8"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2016</w:t>
            </w:r>
            <w:r w:rsidR="00F42184">
              <w:rPr>
                <w:rFonts w:ascii="Times New Roman" w:eastAsia="Times New Roman" w:hAnsi="Times New Roman" w:cs="Times New Roman"/>
                <w:color w:val="000000"/>
                <w:sz w:val="18"/>
                <w:szCs w:val="18"/>
                <w:lang w:val="sr-Cyrl-RS" w:eastAsia="hr-HR"/>
              </w:rPr>
              <w:t>.</w:t>
            </w:r>
          </w:p>
        </w:tc>
        <w:tc>
          <w:tcPr>
            <w:tcW w:w="547" w:type="dxa"/>
            <w:tcBorders>
              <w:top w:val="single" w:sz="4" w:space="0" w:color="auto"/>
              <w:left w:val="nil"/>
              <w:bottom w:val="single" w:sz="4" w:space="0" w:color="auto"/>
              <w:right w:val="single" w:sz="4" w:space="0" w:color="auto"/>
            </w:tcBorders>
            <w:shd w:val="clear" w:color="auto" w:fill="FDE9D9"/>
            <w:noWrap/>
            <w:textDirection w:val="btLr"/>
            <w:vAlign w:val="bottom"/>
            <w:hideMark/>
          </w:tcPr>
          <w:p w14:paraId="2482BED2" w14:textId="6E8630DA"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2017</w:t>
            </w:r>
            <w:r w:rsidR="00F42184">
              <w:rPr>
                <w:rFonts w:ascii="Times New Roman" w:eastAsia="Times New Roman" w:hAnsi="Times New Roman" w:cs="Times New Roman"/>
                <w:color w:val="000000"/>
                <w:sz w:val="18"/>
                <w:szCs w:val="18"/>
                <w:lang w:val="sr-Cyrl-RS" w:eastAsia="hr-HR"/>
              </w:rPr>
              <w:t>.</w:t>
            </w:r>
          </w:p>
        </w:tc>
        <w:tc>
          <w:tcPr>
            <w:tcW w:w="547" w:type="dxa"/>
            <w:tcBorders>
              <w:top w:val="single" w:sz="4" w:space="0" w:color="auto"/>
              <w:left w:val="nil"/>
              <w:bottom w:val="single" w:sz="4" w:space="0" w:color="auto"/>
              <w:right w:val="single" w:sz="4" w:space="0" w:color="auto"/>
            </w:tcBorders>
            <w:shd w:val="clear" w:color="auto" w:fill="FDE9D9"/>
            <w:noWrap/>
            <w:textDirection w:val="btLr"/>
            <w:vAlign w:val="bottom"/>
            <w:hideMark/>
          </w:tcPr>
          <w:p w14:paraId="46DF562E" w14:textId="2D0D0153"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2018</w:t>
            </w:r>
            <w:r w:rsidR="00F42184">
              <w:rPr>
                <w:rFonts w:ascii="Times New Roman" w:eastAsia="Times New Roman" w:hAnsi="Times New Roman" w:cs="Times New Roman"/>
                <w:color w:val="000000"/>
                <w:sz w:val="18"/>
                <w:szCs w:val="18"/>
                <w:lang w:val="sr-Cyrl-RS" w:eastAsia="hr-HR"/>
              </w:rPr>
              <w:t>.</w:t>
            </w:r>
          </w:p>
        </w:tc>
        <w:tc>
          <w:tcPr>
            <w:tcW w:w="548" w:type="dxa"/>
            <w:tcBorders>
              <w:top w:val="single" w:sz="4" w:space="0" w:color="auto"/>
              <w:left w:val="nil"/>
              <w:bottom w:val="single" w:sz="4" w:space="0" w:color="auto"/>
              <w:right w:val="single" w:sz="4" w:space="0" w:color="auto"/>
            </w:tcBorders>
            <w:shd w:val="clear" w:color="auto" w:fill="FDE9D9"/>
            <w:noWrap/>
            <w:textDirection w:val="btLr"/>
            <w:vAlign w:val="bottom"/>
            <w:hideMark/>
          </w:tcPr>
          <w:p w14:paraId="00F9FF07" w14:textId="66F896CE"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2019</w:t>
            </w:r>
            <w:r w:rsidR="00F42184">
              <w:rPr>
                <w:rFonts w:ascii="Times New Roman" w:eastAsia="Times New Roman" w:hAnsi="Times New Roman" w:cs="Times New Roman"/>
                <w:color w:val="000000"/>
                <w:sz w:val="18"/>
                <w:szCs w:val="18"/>
                <w:lang w:val="sr-Cyrl-RS" w:eastAsia="hr-HR"/>
              </w:rPr>
              <w:t>.</w:t>
            </w:r>
          </w:p>
        </w:tc>
        <w:tc>
          <w:tcPr>
            <w:tcW w:w="547" w:type="dxa"/>
            <w:tcBorders>
              <w:top w:val="single" w:sz="4" w:space="0" w:color="auto"/>
              <w:left w:val="nil"/>
              <w:bottom w:val="single" w:sz="4" w:space="0" w:color="auto"/>
              <w:right w:val="single" w:sz="4" w:space="0" w:color="auto"/>
            </w:tcBorders>
            <w:shd w:val="clear" w:color="auto" w:fill="FDE9D9"/>
            <w:noWrap/>
            <w:textDirection w:val="btLr"/>
            <w:vAlign w:val="bottom"/>
            <w:hideMark/>
          </w:tcPr>
          <w:p w14:paraId="11B95AA1" w14:textId="69BE4BE1"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2020</w:t>
            </w:r>
            <w:r w:rsidR="00F42184">
              <w:rPr>
                <w:rFonts w:ascii="Times New Roman" w:eastAsia="Times New Roman" w:hAnsi="Times New Roman" w:cs="Times New Roman"/>
                <w:color w:val="000000"/>
                <w:sz w:val="18"/>
                <w:szCs w:val="18"/>
                <w:lang w:val="sr-Cyrl-RS" w:eastAsia="hr-HR"/>
              </w:rPr>
              <w:t>.</w:t>
            </w:r>
          </w:p>
        </w:tc>
        <w:tc>
          <w:tcPr>
            <w:tcW w:w="548" w:type="dxa"/>
            <w:tcBorders>
              <w:top w:val="single" w:sz="4" w:space="0" w:color="auto"/>
              <w:left w:val="nil"/>
              <w:bottom w:val="single" w:sz="4" w:space="0" w:color="auto"/>
              <w:right w:val="single" w:sz="4" w:space="0" w:color="auto"/>
            </w:tcBorders>
            <w:shd w:val="clear" w:color="auto" w:fill="FDE9D9"/>
            <w:noWrap/>
            <w:textDirection w:val="btLr"/>
            <w:vAlign w:val="bottom"/>
            <w:hideMark/>
          </w:tcPr>
          <w:p w14:paraId="0ED696FA" w14:textId="4471D7EC" w:rsidR="00EA0FD7" w:rsidRPr="00EA0FD7" w:rsidRDefault="00EA0FD7" w:rsidP="00EA0FD7">
            <w:pPr>
              <w:spacing w:after="0" w:line="240" w:lineRule="auto"/>
              <w:ind w:left="113" w:right="113"/>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2021</w:t>
            </w:r>
            <w:r w:rsidR="00F42184">
              <w:rPr>
                <w:rFonts w:ascii="Times New Roman" w:eastAsia="Times New Roman" w:hAnsi="Times New Roman" w:cs="Times New Roman"/>
                <w:color w:val="000000"/>
                <w:sz w:val="18"/>
                <w:szCs w:val="18"/>
                <w:lang w:val="sr-Cyrl-RS" w:eastAsia="hr-HR"/>
              </w:rPr>
              <w:t>.</w:t>
            </w:r>
            <w:r w:rsidRPr="00EA0FD7">
              <w:rPr>
                <w:rFonts w:ascii="Times New Roman" w:eastAsia="Times New Roman" w:hAnsi="Times New Roman" w:cs="Times New Roman"/>
                <w:color w:val="000000"/>
                <w:sz w:val="18"/>
                <w:szCs w:val="18"/>
                <w:lang w:val="sr-Cyrl-RS" w:eastAsia="hr-HR"/>
              </w:rPr>
              <w:t xml:space="preserve"> пр.</w:t>
            </w:r>
          </w:p>
        </w:tc>
      </w:tr>
      <w:tr w:rsidR="00EA0FD7" w:rsidRPr="00EA0FD7" w14:paraId="66188A56" w14:textId="77777777" w:rsidTr="00EA0FD7">
        <w:trPr>
          <w:trHeight w:val="402"/>
        </w:trPr>
        <w:tc>
          <w:tcPr>
            <w:tcW w:w="886" w:type="dxa"/>
            <w:tcBorders>
              <w:top w:val="nil"/>
              <w:left w:val="single" w:sz="4" w:space="0" w:color="auto"/>
              <w:bottom w:val="single" w:sz="4" w:space="0" w:color="auto"/>
              <w:right w:val="single" w:sz="4" w:space="0" w:color="auto"/>
            </w:tcBorders>
            <w:shd w:val="clear" w:color="auto" w:fill="FDE9D9"/>
            <w:noWrap/>
            <w:vAlign w:val="bottom"/>
            <w:hideMark/>
          </w:tcPr>
          <w:p w14:paraId="6D9D3822" w14:textId="77777777" w:rsidR="00EA0FD7" w:rsidRPr="00EA0FD7" w:rsidRDefault="00EA0FD7" w:rsidP="00EA0FD7">
            <w:pPr>
              <w:spacing w:after="0" w:line="240" w:lineRule="auto"/>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БДП</w:t>
            </w:r>
          </w:p>
        </w:tc>
        <w:tc>
          <w:tcPr>
            <w:tcW w:w="547" w:type="dxa"/>
            <w:tcBorders>
              <w:top w:val="nil"/>
              <w:left w:val="nil"/>
              <w:bottom w:val="single" w:sz="4" w:space="0" w:color="auto"/>
              <w:right w:val="single" w:sz="4" w:space="0" w:color="auto"/>
            </w:tcBorders>
            <w:noWrap/>
            <w:vAlign w:val="bottom"/>
            <w:hideMark/>
          </w:tcPr>
          <w:p w14:paraId="437F6DA2"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19,1</w:t>
            </w:r>
          </w:p>
        </w:tc>
        <w:tc>
          <w:tcPr>
            <w:tcW w:w="547" w:type="dxa"/>
            <w:tcBorders>
              <w:top w:val="nil"/>
              <w:left w:val="nil"/>
              <w:bottom w:val="single" w:sz="4" w:space="0" w:color="auto"/>
              <w:right w:val="single" w:sz="4" w:space="0" w:color="auto"/>
            </w:tcBorders>
            <w:noWrap/>
            <w:vAlign w:val="bottom"/>
            <w:hideMark/>
          </w:tcPr>
          <w:p w14:paraId="0A9DAE4E"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19,2</w:t>
            </w:r>
          </w:p>
        </w:tc>
        <w:tc>
          <w:tcPr>
            <w:tcW w:w="548" w:type="dxa"/>
            <w:tcBorders>
              <w:top w:val="nil"/>
              <w:left w:val="nil"/>
              <w:bottom w:val="single" w:sz="4" w:space="0" w:color="auto"/>
              <w:right w:val="single" w:sz="4" w:space="0" w:color="auto"/>
            </w:tcBorders>
            <w:noWrap/>
            <w:vAlign w:val="bottom"/>
            <w:hideMark/>
          </w:tcPr>
          <w:p w14:paraId="5E34A0A1"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18,1</w:t>
            </w:r>
          </w:p>
        </w:tc>
        <w:tc>
          <w:tcPr>
            <w:tcW w:w="547" w:type="dxa"/>
            <w:tcBorders>
              <w:top w:val="nil"/>
              <w:left w:val="nil"/>
              <w:bottom w:val="single" w:sz="4" w:space="0" w:color="auto"/>
              <w:right w:val="single" w:sz="4" w:space="0" w:color="auto"/>
            </w:tcBorders>
            <w:noWrap/>
            <w:vAlign w:val="bottom"/>
            <w:hideMark/>
          </w:tcPr>
          <w:p w14:paraId="24032678"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16,6</w:t>
            </w:r>
          </w:p>
        </w:tc>
        <w:tc>
          <w:tcPr>
            <w:tcW w:w="547" w:type="dxa"/>
            <w:tcBorders>
              <w:top w:val="nil"/>
              <w:left w:val="nil"/>
              <w:bottom w:val="single" w:sz="4" w:space="0" w:color="auto"/>
              <w:right w:val="single" w:sz="4" w:space="0" w:color="auto"/>
            </w:tcBorders>
            <w:noWrap/>
            <w:vAlign w:val="bottom"/>
            <w:hideMark/>
          </w:tcPr>
          <w:p w14:paraId="27E7853D"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18,0</w:t>
            </w:r>
          </w:p>
        </w:tc>
        <w:tc>
          <w:tcPr>
            <w:tcW w:w="548" w:type="dxa"/>
            <w:tcBorders>
              <w:top w:val="nil"/>
              <w:left w:val="nil"/>
              <w:bottom w:val="single" w:sz="4" w:space="0" w:color="auto"/>
              <w:right w:val="single" w:sz="4" w:space="0" w:color="auto"/>
            </w:tcBorders>
            <w:noWrap/>
            <w:vAlign w:val="bottom"/>
            <w:hideMark/>
          </w:tcPr>
          <w:p w14:paraId="77EF3F1C"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18,2</w:t>
            </w:r>
          </w:p>
        </w:tc>
        <w:tc>
          <w:tcPr>
            <w:tcW w:w="547" w:type="dxa"/>
            <w:tcBorders>
              <w:top w:val="nil"/>
              <w:left w:val="nil"/>
              <w:bottom w:val="single" w:sz="4" w:space="0" w:color="auto"/>
              <w:right w:val="single" w:sz="4" w:space="0" w:color="auto"/>
            </w:tcBorders>
            <w:noWrap/>
            <w:vAlign w:val="bottom"/>
            <w:hideMark/>
          </w:tcPr>
          <w:p w14:paraId="30552017"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17,8</w:t>
            </w:r>
          </w:p>
        </w:tc>
        <w:tc>
          <w:tcPr>
            <w:tcW w:w="548" w:type="dxa"/>
            <w:tcBorders>
              <w:top w:val="nil"/>
              <w:left w:val="nil"/>
              <w:bottom w:val="single" w:sz="4" w:space="0" w:color="auto"/>
              <w:right w:val="single" w:sz="4" w:space="0" w:color="auto"/>
            </w:tcBorders>
            <w:noWrap/>
            <w:vAlign w:val="bottom"/>
            <w:hideMark/>
          </w:tcPr>
          <w:p w14:paraId="4CBCE334"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17,0</w:t>
            </w:r>
          </w:p>
        </w:tc>
        <w:tc>
          <w:tcPr>
            <w:tcW w:w="547" w:type="dxa"/>
            <w:tcBorders>
              <w:top w:val="nil"/>
              <w:left w:val="nil"/>
              <w:bottom w:val="single" w:sz="4" w:space="0" w:color="auto"/>
              <w:right w:val="single" w:sz="4" w:space="0" w:color="auto"/>
            </w:tcBorders>
            <w:noWrap/>
            <w:vAlign w:val="bottom"/>
            <w:hideMark/>
          </w:tcPr>
          <w:p w14:paraId="05651B5C"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17,5</w:t>
            </w:r>
          </w:p>
        </w:tc>
        <w:tc>
          <w:tcPr>
            <w:tcW w:w="547" w:type="dxa"/>
            <w:tcBorders>
              <w:top w:val="nil"/>
              <w:left w:val="nil"/>
              <w:bottom w:val="single" w:sz="4" w:space="0" w:color="auto"/>
              <w:right w:val="single" w:sz="4" w:space="0" w:color="auto"/>
            </w:tcBorders>
            <w:noWrap/>
            <w:vAlign w:val="bottom"/>
            <w:hideMark/>
          </w:tcPr>
          <w:p w14:paraId="12D74741"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17,4</w:t>
            </w:r>
          </w:p>
        </w:tc>
        <w:tc>
          <w:tcPr>
            <w:tcW w:w="548" w:type="dxa"/>
            <w:tcBorders>
              <w:top w:val="nil"/>
              <w:left w:val="nil"/>
              <w:bottom w:val="single" w:sz="4" w:space="0" w:color="auto"/>
              <w:right w:val="single" w:sz="4" w:space="0" w:color="auto"/>
            </w:tcBorders>
            <w:noWrap/>
            <w:vAlign w:val="bottom"/>
            <w:hideMark/>
          </w:tcPr>
          <w:p w14:paraId="67D5503E"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17,5</w:t>
            </w:r>
          </w:p>
        </w:tc>
        <w:tc>
          <w:tcPr>
            <w:tcW w:w="547" w:type="dxa"/>
            <w:tcBorders>
              <w:top w:val="nil"/>
              <w:left w:val="nil"/>
              <w:bottom w:val="single" w:sz="4" w:space="0" w:color="auto"/>
              <w:right w:val="single" w:sz="4" w:space="0" w:color="auto"/>
            </w:tcBorders>
            <w:noWrap/>
            <w:vAlign w:val="bottom"/>
            <w:hideMark/>
          </w:tcPr>
          <w:p w14:paraId="7D744D3C"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17,3</w:t>
            </w:r>
          </w:p>
        </w:tc>
        <w:tc>
          <w:tcPr>
            <w:tcW w:w="547" w:type="dxa"/>
            <w:tcBorders>
              <w:top w:val="nil"/>
              <w:left w:val="nil"/>
              <w:bottom w:val="single" w:sz="4" w:space="0" w:color="auto"/>
              <w:right w:val="single" w:sz="4" w:space="0" w:color="auto"/>
            </w:tcBorders>
            <w:noWrap/>
            <w:vAlign w:val="bottom"/>
            <w:hideMark/>
          </w:tcPr>
          <w:p w14:paraId="71C3FA85"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17,8</w:t>
            </w:r>
          </w:p>
        </w:tc>
        <w:tc>
          <w:tcPr>
            <w:tcW w:w="548" w:type="dxa"/>
            <w:tcBorders>
              <w:top w:val="nil"/>
              <w:left w:val="nil"/>
              <w:bottom w:val="single" w:sz="4" w:space="0" w:color="auto"/>
              <w:right w:val="single" w:sz="4" w:space="0" w:color="auto"/>
            </w:tcBorders>
            <w:noWrap/>
            <w:vAlign w:val="bottom"/>
            <w:hideMark/>
          </w:tcPr>
          <w:p w14:paraId="066EA6BF"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17,9</w:t>
            </w:r>
          </w:p>
        </w:tc>
        <w:tc>
          <w:tcPr>
            <w:tcW w:w="547" w:type="dxa"/>
            <w:tcBorders>
              <w:top w:val="nil"/>
              <w:left w:val="nil"/>
              <w:bottom w:val="single" w:sz="4" w:space="0" w:color="auto"/>
              <w:right w:val="single" w:sz="4" w:space="0" w:color="auto"/>
            </w:tcBorders>
            <w:noWrap/>
            <w:vAlign w:val="bottom"/>
            <w:hideMark/>
          </w:tcPr>
          <w:p w14:paraId="5DFFAC8D"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16,7</w:t>
            </w:r>
          </w:p>
        </w:tc>
        <w:tc>
          <w:tcPr>
            <w:tcW w:w="548" w:type="dxa"/>
            <w:tcBorders>
              <w:top w:val="nil"/>
              <w:left w:val="nil"/>
              <w:bottom w:val="single" w:sz="4" w:space="0" w:color="auto"/>
              <w:right w:val="single" w:sz="4" w:space="0" w:color="auto"/>
            </w:tcBorders>
            <w:shd w:val="clear" w:color="auto" w:fill="D9D9D9"/>
            <w:noWrap/>
            <w:vAlign w:val="bottom"/>
            <w:hideMark/>
          </w:tcPr>
          <w:p w14:paraId="348B7BC8"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18,4</w:t>
            </w:r>
          </w:p>
        </w:tc>
      </w:tr>
      <w:tr w:rsidR="00EA0FD7" w:rsidRPr="00EA0FD7" w14:paraId="2CAC11F0" w14:textId="77777777" w:rsidTr="00EA0FD7">
        <w:trPr>
          <w:trHeight w:val="402"/>
        </w:trPr>
        <w:tc>
          <w:tcPr>
            <w:tcW w:w="886" w:type="dxa"/>
            <w:tcBorders>
              <w:top w:val="nil"/>
              <w:left w:val="single" w:sz="4" w:space="0" w:color="auto"/>
              <w:bottom w:val="single" w:sz="4" w:space="0" w:color="auto"/>
              <w:right w:val="single" w:sz="4" w:space="0" w:color="auto"/>
            </w:tcBorders>
            <w:shd w:val="clear" w:color="auto" w:fill="FDE9D9"/>
            <w:noWrap/>
            <w:vAlign w:val="bottom"/>
            <w:hideMark/>
          </w:tcPr>
          <w:p w14:paraId="567FE78C" w14:textId="77777777" w:rsidR="00EA0FD7" w:rsidRPr="00EA0FD7" w:rsidRDefault="00EA0FD7" w:rsidP="00EA0FD7">
            <w:pPr>
              <w:spacing w:after="0" w:line="240" w:lineRule="auto"/>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потрошња</w:t>
            </w:r>
          </w:p>
        </w:tc>
        <w:tc>
          <w:tcPr>
            <w:tcW w:w="547" w:type="dxa"/>
            <w:tcBorders>
              <w:top w:val="nil"/>
              <w:left w:val="nil"/>
              <w:bottom w:val="single" w:sz="4" w:space="0" w:color="auto"/>
              <w:right w:val="single" w:sz="4" w:space="0" w:color="auto"/>
            </w:tcBorders>
            <w:noWrap/>
            <w:vAlign w:val="bottom"/>
            <w:hideMark/>
          </w:tcPr>
          <w:p w14:paraId="03E2CBB1"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18,8</w:t>
            </w:r>
          </w:p>
        </w:tc>
        <w:tc>
          <w:tcPr>
            <w:tcW w:w="547" w:type="dxa"/>
            <w:tcBorders>
              <w:top w:val="nil"/>
              <w:left w:val="nil"/>
              <w:bottom w:val="single" w:sz="4" w:space="0" w:color="auto"/>
              <w:right w:val="single" w:sz="4" w:space="0" w:color="auto"/>
            </w:tcBorders>
            <w:noWrap/>
            <w:vAlign w:val="bottom"/>
            <w:hideMark/>
          </w:tcPr>
          <w:p w14:paraId="2EACF302"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19,3</w:t>
            </w:r>
          </w:p>
        </w:tc>
        <w:tc>
          <w:tcPr>
            <w:tcW w:w="548" w:type="dxa"/>
            <w:tcBorders>
              <w:top w:val="nil"/>
              <w:left w:val="nil"/>
              <w:bottom w:val="single" w:sz="4" w:space="0" w:color="auto"/>
              <w:right w:val="single" w:sz="4" w:space="0" w:color="auto"/>
            </w:tcBorders>
            <w:noWrap/>
            <w:vAlign w:val="bottom"/>
            <w:hideMark/>
          </w:tcPr>
          <w:p w14:paraId="3BF365EC"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18,0</w:t>
            </w:r>
          </w:p>
        </w:tc>
        <w:tc>
          <w:tcPr>
            <w:tcW w:w="547" w:type="dxa"/>
            <w:tcBorders>
              <w:top w:val="nil"/>
              <w:left w:val="nil"/>
              <w:bottom w:val="single" w:sz="4" w:space="0" w:color="auto"/>
              <w:right w:val="single" w:sz="4" w:space="0" w:color="auto"/>
            </w:tcBorders>
            <w:noWrap/>
            <w:vAlign w:val="bottom"/>
            <w:hideMark/>
          </w:tcPr>
          <w:p w14:paraId="0399F28B"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16,6</w:t>
            </w:r>
          </w:p>
        </w:tc>
        <w:tc>
          <w:tcPr>
            <w:tcW w:w="547" w:type="dxa"/>
            <w:tcBorders>
              <w:top w:val="nil"/>
              <w:left w:val="nil"/>
              <w:bottom w:val="single" w:sz="4" w:space="0" w:color="auto"/>
              <w:right w:val="single" w:sz="4" w:space="0" w:color="auto"/>
            </w:tcBorders>
            <w:noWrap/>
            <w:vAlign w:val="bottom"/>
            <w:hideMark/>
          </w:tcPr>
          <w:p w14:paraId="43FA6FE0"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17,7</w:t>
            </w:r>
          </w:p>
        </w:tc>
        <w:tc>
          <w:tcPr>
            <w:tcW w:w="548" w:type="dxa"/>
            <w:tcBorders>
              <w:top w:val="nil"/>
              <w:left w:val="nil"/>
              <w:bottom w:val="single" w:sz="4" w:space="0" w:color="auto"/>
              <w:right w:val="single" w:sz="4" w:space="0" w:color="auto"/>
            </w:tcBorders>
            <w:noWrap/>
            <w:vAlign w:val="bottom"/>
            <w:hideMark/>
          </w:tcPr>
          <w:p w14:paraId="79A2B2BF"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17,9</w:t>
            </w:r>
          </w:p>
        </w:tc>
        <w:tc>
          <w:tcPr>
            <w:tcW w:w="547" w:type="dxa"/>
            <w:tcBorders>
              <w:top w:val="nil"/>
              <w:left w:val="nil"/>
              <w:bottom w:val="single" w:sz="4" w:space="0" w:color="auto"/>
              <w:right w:val="single" w:sz="4" w:space="0" w:color="auto"/>
            </w:tcBorders>
            <w:noWrap/>
            <w:vAlign w:val="bottom"/>
            <w:hideMark/>
          </w:tcPr>
          <w:p w14:paraId="71B04970"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17,6</w:t>
            </w:r>
          </w:p>
        </w:tc>
        <w:tc>
          <w:tcPr>
            <w:tcW w:w="548" w:type="dxa"/>
            <w:tcBorders>
              <w:top w:val="nil"/>
              <w:left w:val="nil"/>
              <w:bottom w:val="single" w:sz="4" w:space="0" w:color="auto"/>
              <w:right w:val="single" w:sz="4" w:space="0" w:color="auto"/>
            </w:tcBorders>
            <w:noWrap/>
            <w:vAlign w:val="bottom"/>
            <w:hideMark/>
          </w:tcPr>
          <w:p w14:paraId="12FE37DD"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17,1</w:t>
            </w:r>
          </w:p>
        </w:tc>
        <w:tc>
          <w:tcPr>
            <w:tcW w:w="547" w:type="dxa"/>
            <w:tcBorders>
              <w:top w:val="nil"/>
              <w:left w:val="nil"/>
              <w:bottom w:val="single" w:sz="4" w:space="0" w:color="auto"/>
              <w:right w:val="single" w:sz="4" w:space="0" w:color="auto"/>
            </w:tcBorders>
            <w:noWrap/>
            <w:vAlign w:val="bottom"/>
            <w:hideMark/>
          </w:tcPr>
          <w:p w14:paraId="3DB1DB99"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17,5</w:t>
            </w:r>
          </w:p>
        </w:tc>
        <w:tc>
          <w:tcPr>
            <w:tcW w:w="547" w:type="dxa"/>
            <w:tcBorders>
              <w:top w:val="nil"/>
              <w:left w:val="nil"/>
              <w:bottom w:val="single" w:sz="4" w:space="0" w:color="auto"/>
              <w:right w:val="single" w:sz="4" w:space="0" w:color="auto"/>
            </w:tcBorders>
            <w:noWrap/>
            <w:vAlign w:val="bottom"/>
            <w:hideMark/>
          </w:tcPr>
          <w:p w14:paraId="6B424CE7"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18,0</w:t>
            </w:r>
          </w:p>
        </w:tc>
        <w:tc>
          <w:tcPr>
            <w:tcW w:w="548" w:type="dxa"/>
            <w:tcBorders>
              <w:top w:val="nil"/>
              <w:left w:val="nil"/>
              <w:bottom w:val="single" w:sz="4" w:space="0" w:color="auto"/>
              <w:right w:val="single" w:sz="4" w:space="0" w:color="auto"/>
            </w:tcBorders>
            <w:noWrap/>
            <w:vAlign w:val="bottom"/>
            <w:hideMark/>
          </w:tcPr>
          <w:p w14:paraId="698D2F54"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18,7</w:t>
            </w:r>
          </w:p>
        </w:tc>
        <w:tc>
          <w:tcPr>
            <w:tcW w:w="547" w:type="dxa"/>
            <w:tcBorders>
              <w:top w:val="nil"/>
              <w:left w:val="nil"/>
              <w:bottom w:val="single" w:sz="4" w:space="0" w:color="auto"/>
              <w:right w:val="single" w:sz="4" w:space="0" w:color="auto"/>
            </w:tcBorders>
            <w:noWrap/>
            <w:vAlign w:val="bottom"/>
            <w:hideMark/>
          </w:tcPr>
          <w:p w14:paraId="685D9BA1"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18,9</w:t>
            </w:r>
          </w:p>
        </w:tc>
        <w:tc>
          <w:tcPr>
            <w:tcW w:w="547" w:type="dxa"/>
            <w:tcBorders>
              <w:top w:val="nil"/>
              <w:left w:val="nil"/>
              <w:bottom w:val="single" w:sz="4" w:space="0" w:color="auto"/>
              <w:right w:val="single" w:sz="4" w:space="0" w:color="auto"/>
            </w:tcBorders>
            <w:noWrap/>
            <w:vAlign w:val="bottom"/>
            <w:hideMark/>
          </w:tcPr>
          <w:p w14:paraId="6A2861D4"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19,7</w:t>
            </w:r>
          </w:p>
        </w:tc>
        <w:tc>
          <w:tcPr>
            <w:tcW w:w="548" w:type="dxa"/>
            <w:tcBorders>
              <w:top w:val="nil"/>
              <w:left w:val="nil"/>
              <w:bottom w:val="single" w:sz="4" w:space="0" w:color="auto"/>
              <w:right w:val="single" w:sz="4" w:space="0" w:color="auto"/>
            </w:tcBorders>
            <w:noWrap/>
            <w:vAlign w:val="bottom"/>
            <w:hideMark/>
          </w:tcPr>
          <w:p w14:paraId="2A3DE2E6"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19,9</w:t>
            </w:r>
          </w:p>
        </w:tc>
        <w:tc>
          <w:tcPr>
            <w:tcW w:w="547" w:type="dxa"/>
            <w:tcBorders>
              <w:top w:val="nil"/>
              <w:left w:val="nil"/>
              <w:bottom w:val="single" w:sz="4" w:space="0" w:color="auto"/>
              <w:right w:val="single" w:sz="4" w:space="0" w:color="auto"/>
            </w:tcBorders>
            <w:noWrap/>
            <w:vAlign w:val="bottom"/>
            <w:hideMark/>
          </w:tcPr>
          <w:p w14:paraId="23366613"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18,4</w:t>
            </w:r>
          </w:p>
        </w:tc>
        <w:tc>
          <w:tcPr>
            <w:tcW w:w="548" w:type="dxa"/>
            <w:tcBorders>
              <w:top w:val="nil"/>
              <w:left w:val="nil"/>
              <w:bottom w:val="single" w:sz="4" w:space="0" w:color="auto"/>
              <w:right w:val="single" w:sz="4" w:space="0" w:color="auto"/>
            </w:tcBorders>
            <w:shd w:val="clear" w:color="auto" w:fill="D9D9D9"/>
            <w:noWrap/>
            <w:vAlign w:val="bottom"/>
            <w:hideMark/>
          </w:tcPr>
          <w:p w14:paraId="78F6BC8B" w14:textId="77777777" w:rsidR="00EA0FD7" w:rsidRPr="00EA0FD7" w:rsidRDefault="00EA0FD7" w:rsidP="00EA0FD7">
            <w:pPr>
              <w:spacing w:after="0" w:line="240" w:lineRule="auto"/>
              <w:jc w:val="right"/>
              <w:rPr>
                <w:rFonts w:ascii="Times New Roman" w:eastAsia="Times New Roman" w:hAnsi="Times New Roman" w:cs="Times New Roman"/>
                <w:color w:val="000000"/>
                <w:sz w:val="18"/>
                <w:szCs w:val="18"/>
                <w:lang w:val="sr-Cyrl-RS" w:eastAsia="hr-HR"/>
              </w:rPr>
            </w:pPr>
            <w:r w:rsidRPr="00EA0FD7">
              <w:rPr>
                <w:rFonts w:ascii="Times New Roman" w:eastAsia="Times New Roman" w:hAnsi="Times New Roman" w:cs="Times New Roman"/>
                <w:color w:val="000000"/>
                <w:sz w:val="18"/>
                <w:szCs w:val="18"/>
                <w:lang w:val="sr-Cyrl-RS" w:eastAsia="hr-HR"/>
              </w:rPr>
              <w:t>20,3</w:t>
            </w:r>
          </w:p>
        </w:tc>
      </w:tr>
    </w:tbl>
    <w:p w14:paraId="6038FE53"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Извор: Калкулација на основу података УИО, БХАС</w:t>
      </w:r>
      <w:r w:rsidRPr="00EA0FD7">
        <w:rPr>
          <w:rFonts w:ascii="Times New Roman" w:eastAsia="Times New Roman" w:hAnsi="Times New Roman" w:cs="Times New Roman"/>
          <w:sz w:val="24"/>
          <w:szCs w:val="24"/>
          <w:vertAlign w:val="superscript"/>
          <w:lang w:val="sr-Cyrl-RS" w:eastAsia="hr-HR"/>
        </w:rPr>
        <w:footnoteReference w:id="43"/>
      </w:r>
      <w:r w:rsidRPr="00EA0FD7">
        <w:rPr>
          <w:rFonts w:ascii="Times New Roman" w:eastAsia="Times New Roman" w:hAnsi="Times New Roman" w:cs="Times New Roman"/>
          <w:sz w:val="20"/>
          <w:szCs w:val="20"/>
          <w:lang w:val="sr-Cyrl-RS" w:eastAsia="hr-HR"/>
        </w:rPr>
        <w:t xml:space="preserve"> и ДЕП-ових пројекција за 2021. годину</w:t>
      </w:r>
      <w:r w:rsidRPr="00AE5455">
        <w:rPr>
          <w:rFonts w:ascii="Times New Roman" w:eastAsia="Times New Roman" w:hAnsi="Times New Roman" w:cs="Times New Roman"/>
          <w:sz w:val="20"/>
          <w:szCs w:val="20"/>
          <w:vertAlign w:val="superscript"/>
          <w:lang w:val="sr-Cyrl-RS" w:eastAsia="hr-HR"/>
        </w:rPr>
        <w:footnoteReference w:id="44"/>
      </w:r>
    </w:p>
    <w:p w14:paraId="0581A3B4" w14:textId="77777777" w:rsidR="00EA0FD7" w:rsidRPr="00EA0FD7" w:rsidRDefault="00EA0FD7" w:rsidP="00EA0FD7">
      <w:pPr>
        <w:spacing w:after="0" w:line="240" w:lineRule="auto"/>
        <w:jc w:val="both"/>
        <w:rPr>
          <w:rFonts w:ascii="Times New Roman" w:eastAsia="Times New Roman" w:hAnsi="Times New Roman" w:cs="Times New Roman"/>
          <w:b/>
          <w:sz w:val="20"/>
          <w:szCs w:val="20"/>
          <w:lang w:val="sr-Cyrl-RS" w:eastAsia="hr-HR"/>
        </w:rPr>
      </w:pPr>
    </w:p>
    <w:p w14:paraId="5971D2EE" w14:textId="449FC9B1"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Графикону 3.3. је удио индиректних пореза у БДП-у БиХ у периоду 2008</w:t>
      </w:r>
      <w:r w:rsidR="00F42184">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2021. година разложен на компоненте, у складу са методологијом из ОЕЦД анализе</w:t>
      </w:r>
      <w:r w:rsidRPr="00AE5455">
        <w:rPr>
          <w:rFonts w:ascii="Times New Roman" w:eastAsia="Times New Roman" w:hAnsi="Times New Roman" w:cs="Times New Roman"/>
          <w:sz w:val="24"/>
          <w:szCs w:val="24"/>
          <w:vertAlign w:val="superscript"/>
          <w:lang w:val="sr-Cyrl-RS" w:eastAsia="hr-HR"/>
        </w:rPr>
        <w:footnoteReference w:id="45"/>
      </w:r>
      <w:r w:rsidRPr="00EA0FD7">
        <w:rPr>
          <w:rFonts w:ascii="Times New Roman" w:eastAsia="Times New Roman" w:hAnsi="Times New Roman" w:cs="Times New Roman"/>
          <w:sz w:val="24"/>
          <w:szCs w:val="24"/>
          <w:lang w:val="sr-Cyrl-RS" w:eastAsia="hr-HR"/>
        </w:rPr>
        <w:t xml:space="preserve"> на производ: (1) удјела прихода од индиректних пореза у укупној потрошњи и (2) удјела укупне потрошње у БДП-у. Из Графикона 3.3. се може закључити да је удио индиректних пореза у БДП-у и у потрошњи био на приближно једнаком нивоу све до 2015.године, до када се удио потрошње у БДП-у кретао на нивоу око високих 100%. Од 2015. године је наступио тренд пада удјела потрошње у БДП-у, а у 2020. години он износи 90,8%. Са падом удјела потрошње у БДП-у, од 2015. године је линија удјела индиректних пореза у потрошњи изнад линије њиховог удјела у БДП-у. </w:t>
      </w:r>
    </w:p>
    <w:p w14:paraId="7EB5EA8B"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3F3E0E4" w14:textId="04FA14DE"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2020. години дошло је до поновног раста удјела потрошње у БДП-у. Са друге стране, удио индиректних пореза у БДП-у је опао за чак 1,18 п.</w:t>
      </w:r>
      <w:r w:rsidR="00F42184">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п. у односу на претходну годину чиме он достиже ниво од 16,7%, свега 0,1 п.</w:t>
      </w:r>
      <w:r w:rsidR="00F42184">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п. више него у „кризној“ 2009. години. Анализирано према компонентама из једначине ОЕЦД, пад удјела индиректних пореза у БДП у 2020. години кумулативни је резултат пада удјела индиректних пореза у потрошњи од 1,52 п.</w:t>
      </w:r>
      <w:r w:rsidR="00F42184">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п, те раста удјела потрошње у БДП-у од 1,0 п.</w:t>
      </w:r>
      <w:r w:rsidR="00F42184">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п.</w:t>
      </w:r>
    </w:p>
    <w:p w14:paraId="5E07512F" w14:textId="77777777" w:rsidR="00EA0FD7" w:rsidRPr="00EA0FD7" w:rsidRDefault="00EA0FD7" w:rsidP="00EA0FD7">
      <w:pPr>
        <w:spacing w:after="0" w:line="240" w:lineRule="auto"/>
        <w:jc w:val="both"/>
        <w:rPr>
          <w:rFonts w:ascii="Times New Roman" w:eastAsia="Times New Roman" w:hAnsi="Times New Roman" w:cs="Times New Roman"/>
          <w:sz w:val="24"/>
          <w:szCs w:val="24"/>
          <w:vertAlign w:val="superscript"/>
          <w:lang w:val="sr-Cyrl-RS" w:eastAsia="hr-HR"/>
        </w:rPr>
      </w:pPr>
      <w:r w:rsidRPr="00EA0FD7">
        <w:rPr>
          <w:rFonts w:ascii="Times New Roman" w:eastAsia="Times New Roman" w:hAnsi="Times New Roman" w:cs="Times New Roman"/>
          <w:sz w:val="24"/>
          <w:szCs w:val="24"/>
          <w:vertAlign w:val="superscript"/>
          <w:lang w:val="sr-Cyrl-RS" w:eastAsia="hr-HR"/>
        </w:rPr>
        <w:t xml:space="preserve">  </w:t>
      </w:r>
    </w:p>
    <w:p w14:paraId="0CA3321A" w14:textId="04CD61C6" w:rsidR="00EA0FD7" w:rsidRDefault="00EA0FD7" w:rsidP="00F42184">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lastRenderedPageBreak/>
        <w:t>Према процјенама ДЕП-а, удио потрошње у БДП-у у 2021.години благо је опао на 90,5%. Процијењени удио индиректних пореза</w:t>
      </w:r>
      <w:r w:rsidRPr="00EA0FD7">
        <w:rPr>
          <w:rFonts w:ascii="Times New Roman" w:eastAsia="Times New Roman" w:hAnsi="Times New Roman" w:cs="Times New Roman"/>
          <w:sz w:val="24"/>
          <w:szCs w:val="24"/>
          <w:vertAlign w:val="superscript"/>
          <w:lang w:val="sr-Cyrl-RS" w:eastAsia="hr-HR"/>
        </w:rPr>
        <w:footnoteReference w:id="46"/>
      </w:r>
      <w:r w:rsidRPr="00EA0FD7">
        <w:rPr>
          <w:rFonts w:ascii="Times New Roman" w:eastAsia="Times New Roman" w:hAnsi="Times New Roman" w:cs="Times New Roman"/>
          <w:sz w:val="24"/>
          <w:szCs w:val="24"/>
          <w:lang w:val="sr-Cyrl-RS" w:eastAsia="hr-HR"/>
        </w:rPr>
        <w:t xml:space="preserve"> у БДП-у је у 2021. години порастао за 1,69 п.</w:t>
      </w:r>
      <w:r w:rsidR="00F42184">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п, а у потрошњи за 1,92 п.</w:t>
      </w:r>
      <w:r w:rsidR="00F42184">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 xml:space="preserve">п. </w:t>
      </w:r>
      <w:bookmarkStart w:id="52" w:name="_Toc100909331"/>
    </w:p>
    <w:p w14:paraId="562C9A02" w14:textId="77777777" w:rsidR="00F42184" w:rsidRPr="00F42184" w:rsidRDefault="00F42184" w:rsidP="00F42184">
      <w:pPr>
        <w:spacing w:after="0" w:line="240" w:lineRule="auto"/>
        <w:jc w:val="both"/>
        <w:rPr>
          <w:rFonts w:ascii="Times New Roman" w:eastAsia="Times New Roman" w:hAnsi="Times New Roman" w:cs="Times New Roman"/>
          <w:sz w:val="24"/>
          <w:szCs w:val="24"/>
          <w:lang w:val="sr-Cyrl-RS" w:eastAsia="hr-HR"/>
        </w:rPr>
      </w:pPr>
    </w:p>
    <w:p w14:paraId="6BC5C338" w14:textId="73DE94AC" w:rsidR="00EA0FD7" w:rsidRPr="00EA0FD7" w:rsidRDefault="00EA0FD7" w:rsidP="00EA0FD7">
      <w:pPr>
        <w:suppressLineNumbers/>
        <w:suppressAutoHyphens/>
        <w:spacing w:before="120" w:after="0" w:line="240" w:lineRule="auto"/>
        <w:jc w:val="center"/>
        <w:rPr>
          <w:rFonts w:ascii="Calibri" w:eastAsia="Times New Roman" w:hAnsi="Calibri" w:cs="Times New Roman"/>
          <w:bCs/>
          <w:iCs/>
          <w:sz w:val="24"/>
          <w:szCs w:val="24"/>
          <w:lang w:val="sr-Cyrl-RS" w:eastAsia="ar-SA"/>
        </w:rPr>
      </w:pPr>
      <w:r w:rsidRPr="00AE5455">
        <w:rPr>
          <w:rFonts w:ascii="Times New Roman" w:eastAsia="Times New Roman" w:hAnsi="Times New Roman" w:cs="Times New Roman"/>
          <w:b/>
          <w:iCs/>
          <w:color w:val="000000"/>
          <w:sz w:val="18"/>
          <w:szCs w:val="24"/>
          <w:lang w:val="sr-Cyrl-RS" w:eastAsia="ar-SA"/>
        </w:rPr>
        <w:t>Графикон 3.</w:t>
      </w:r>
      <w:r w:rsidRPr="00EA0FD7">
        <w:rPr>
          <w:rFonts w:ascii="Calibri" w:eastAsia="Times New Roman" w:hAnsi="Calibri" w:cs="Tahoma"/>
          <w:i/>
          <w:iCs/>
          <w:sz w:val="24"/>
          <w:szCs w:val="24"/>
          <w:lang w:val="sr-Cyrl-RS" w:eastAsia="ar-SA"/>
        </w:rPr>
        <w:fldChar w:fldCharType="begin"/>
      </w:r>
      <w:r w:rsidRPr="00AE5455">
        <w:rPr>
          <w:rFonts w:ascii="Times New Roman" w:eastAsia="Times New Roman" w:hAnsi="Times New Roman" w:cs="Times New Roman"/>
          <w:b/>
          <w:iCs/>
          <w:color w:val="000000"/>
          <w:sz w:val="18"/>
          <w:szCs w:val="24"/>
          <w:lang w:val="sr-Cyrl-RS" w:eastAsia="ar-SA"/>
        </w:rPr>
        <w:instrText xml:space="preserve"> SEQ Grafikon_ \* ARABIC </w:instrText>
      </w:r>
      <w:r w:rsidRPr="00EA0FD7">
        <w:rPr>
          <w:rFonts w:ascii="Calibri" w:eastAsia="Times New Roman" w:hAnsi="Calibri" w:cs="Tahoma"/>
          <w:i/>
          <w:iCs/>
          <w:sz w:val="24"/>
          <w:szCs w:val="24"/>
          <w:lang w:val="sr-Cyrl-RS" w:eastAsia="ar-SA"/>
        </w:rPr>
        <w:fldChar w:fldCharType="separate"/>
      </w:r>
      <w:r w:rsidRPr="00AE5455">
        <w:rPr>
          <w:rFonts w:ascii="Times New Roman" w:eastAsia="Times New Roman" w:hAnsi="Times New Roman" w:cs="Times New Roman"/>
          <w:b/>
          <w:iCs/>
          <w:color w:val="000000"/>
          <w:sz w:val="18"/>
          <w:szCs w:val="24"/>
          <w:lang w:val="sr-Cyrl-RS" w:eastAsia="ar-SA"/>
        </w:rPr>
        <w:t>3</w:t>
      </w:r>
      <w:r w:rsidRPr="00EA0FD7">
        <w:rPr>
          <w:rFonts w:ascii="Calibri" w:eastAsia="Times New Roman" w:hAnsi="Calibri" w:cs="Tahoma"/>
          <w:i/>
          <w:iCs/>
          <w:sz w:val="24"/>
          <w:szCs w:val="24"/>
          <w:lang w:val="sr-Cyrl-RS" w:eastAsia="ar-SA"/>
        </w:rPr>
        <w:fldChar w:fldCharType="end"/>
      </w:r>
      <w:r w:rsidRPr="00EA0FD7">
        <w:rPr>
          <w:rFonts w:ascii="Times New Roman" w:eastAsia="Times New Roman" w:hAnsi="Times New Roman" w:cs="Times New Roman"/>
          <w:b/>
          <w:iCs/>
          <w:sz w:val="24"/>
          <w:szCs w:val="24"/>
          <w:lang w:val="sr-Cyrl-RS" w:eastAsia="ar-SA"/>
        </w:rPr>
        <w:t>.</w:t>
      </w:r>
      <w:r w:rsidRPr="00EA0FD7">
        <w:rPr>
          <w:rFonts w:ascii="Times New Roman" w:eastAsia="Times New Roman" w:hAnsi="Times New Roman" w:cs="Times New Roman"/>
          <w:iCs/>
          <w:sz w:val="24"/>
          <w:szCs w:val="24"/>
          <w:lang w:val="sr-Cyrl-RS" w:eastAsia="ar-SA"/>
        </w:rPr>
        <w:t xml:space="preserve"> </w:t>
      </w:r>
      <w:r w:rsidRPr="00EA0FD7">
        <w:rPr>
          <w:rFonts w:ascii="Times New Roman" w:eastAsia="Times New Roman" w:hAnsi="Times New Roman" w:cs="Times New Roman"/>
          <w:bCs/>
          <w:iCs/>
          <w:sz w:val="24"/>
          <w:szCs w:val="24"/>
          <w:lang w:val="sr-Cyrl-RS" w:eastAsia="ar-SA"/>
        </w:rPr>
        <w:t>Индиректни порези у потрошњи и БДП-у, 2006</w:t>
      </w:r>
      <w:r w:rsidR="00F42184">
        <w:rPr>
          <w:rFonts w:ascii="Times New Roman" w:eastAsia="Times New Roman" w:hAnsi="Times New Roman" w:cs="Times New Roman"/>
          <w:bCs/>
          <w:iCs/>
          <w:sz w:val="24"/>
          <w:szCs w:val="24"/>
          <w:lang w:val="sr-Cyrl-RS" w:eastAsia="ar-SA"/>
        </w:rPr>
        <w:t>–</w:t>
      </w:r>
      <w:r w:rsidRPr="00EA0FD7">
        <w:rPr>
          <w:rFonts w:ascii="Times New Roman" w:eastAsia="Times New Roman" w:hAnsi="Times New Roman" w:cs="Times New Roman"/>
          <w:bCs/>
          <w:iCs/>
          <w:sz w:val="24"/>
          <w:szCs w:val="24"/>
          <w:lang w:val="sr-Cyrl-RS" w:eastAsia="ar-SA"/>
        </w:rPr>
        <w:t>2021</w:t>
      </w:r>
      <w:bookmarkEnd w:id="52"/>
      <w:r w:rsidRPr="00EA0FD7">
        <w:rPr>
          <w:rFonts w:ascii="Times New Roman" w:eastAsia="Times New Roman" w:hAnsi="Times New Roman" w:cs="Times New Roman"/>
          <w:bCs/>
          <w:iCs/>
          <w:sz w:val="24"/>
          <w:szCs w:val="24"/>
          <w:lang w:val="sr-Cyrl-RS" w:eastAsia="ar-SA"/>
        </w:rPr>
        <w:t>. година</w:t>
      </w:r>
    </w:p>
    <w:tbl>
      <w:tblPr>
        <w:tblW w:w="0" w:type="auto"/>
        <w:tblInd w:w="1242" w:type="dxa"/>
        <w:shd w:val="clear" w:color="auto" w:fill="FDE9D9"/>
        <w:tblLook w:val="04A0" w:firstRow="1" w:lastRow="0" w:firstColumn="1" w:lastColumn="0" w:noHBand="0" w:noVBand="1"/>
      </w:tblPr>
      <w:tblGrid>
        <w:gridCol w:w="7345"/>
      </w:tblGrid>
      <w:tr w:rsidR="00EA0FD7" w:rsidRPr="00EA0FD7" w14:paraId="38307BE2" w14:textId="77777777" w:rsidTr="00EA0FD7">
        <w:trPr>
          <w:cantSplit/>
          <w:trHeight w:val="115"/>
        </w:trPr>
        <w:tc>
          <w:tcPr>
            <w:tcW w:w="7345" w:type="dxa"/>
            <w:shd w:val="clear" w:color="auto" w:fill="FDE9D9"/>
          </w:tcPr>
          <w:p w14:paraId="1CDF28E4"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tc>
      </w:tr>
      <w:tr w:rsidR="00EA0FD7" w:rsidRPr="00EA0FD7" w14:paraId="18C596A1" w14:textId="77777777" w:rsidTr="00EA0FD7">
        <w:trPr>
          <w:trHeight w:val="59"/>
        </w:trPr>
        <w:tc>
          <w:tcPr>
            <w:tcW w:w="7345" w:type="dxa"/>
            <w:shd w:val="clear" w:color="auto" w:fill="FDE9D9"/>
            <w:hideMark/>
          </w:tcPr>
          <w:p w14:paraId="370D6AC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784549DC" wp14:editId="152F8359">
                  <wp:extent cx="4239260" cy="1828800"/>
                  <wp:effectExtent l="0" t="0" r="8890" b="0"/>
                  <wp:docPr id="12" name="Slika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9260" cy="1828800"/>
                          </a:xfrm>
                          <a:prstGeom prst="rect">
                            <a:avLst/>
                          </a:prstGeom>
                          <a:noFill/>
                          <a:ln>
                            <a:noFill/>
                          </a:ln>
                        </pic:spPr>
                      </pic:pic>
                    </a:graphicData>
                  </a:graphic>
                </wp:inline>
              </w:drawing>
            </w:r>
          </w:p>
        </w:tc>
      </w:tr>
      <w:tr w:rsidR="00EA0FD7" w:rsidRPr="00EA0FD7" w14:paraId="2EB380A6" w14:textId="77777777" w:rsidTr="00EA0FD7">
        <w:trPr>
          <w:trHeight w:val="115"/>
        </w:trPr>
        <w:tc>
          <w:tcPr>
            <w:tcW w:w="7345" w:type="dxa"/>
            <w:shd w:val="clear" w:color="auto" w:fill="FDE9D9"/>
          </w:tcPr>
          <w:p w14:paraId="6F306585"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tc>
      </w:tr>
    </w:tbl>
    <w:p w14:paraId="375B3859" w14:textId="02CBA2AD"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Извор: Управа за индиректно </w:t>
      </w:r>
      <w:r w:rsidR="00F42184">
        <w:rPr>
          <w:rFonts w:ascii="Times New Roman" w:eastAsia="Times New Roman" w:hAnsi="Times New Roman" w:cs="Times New Roman"/>
          <w:sz w:val="20"/>
          <w:szCs w:val="20"/>
          <w:lang w:val="sr-Cyrl-RS" w:eastAsia="hr-HR"/>
        </w:rPr>
        <w:t>опорезивање</w:t>
      </w:r>
      <w:r w:rsidRPr="00EA0FD7">
        <w:rPr>
          <w:rFonts w:ascii="Times New Roman" w:eastAsia="Times New Roman" w:hAnsi="Times New Roman" w:cs="Times New Roman"/>
          <w:sz w:val="20"/>
          <w:szCs w:val="20"/>
          <w:lang w:val="sr-Cyrl-RS" w:eastAsia="hr-HR"/>
        </w:rPr>
        <w:t xml:space="preserve"> БиХ, приказ ОМА</w:t>
      </w:r>
    </w:p>
    <w:p w14:paraId="418D7238" w14:textId="77777777"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p>
    <w:p w14:paraId="6A63978C" w14:textId="77777777" w:rsidR="00EA0FD7" w:rsidRPr="00EA0FD7" w:rsidRDefault="00EA0FD7" w:rsidP="00EA0FD7">
      <w:pPr>
        <w:keepNext/>
        <w:keepLines/>
        <w:spacing w:before="40" w:after="0" w:line="240" w:lineRule="auto"/>
        <w:jc w:val="both"/>
        <w:outlineLvl w:val="2"/>
        <w:rPr>
          <w:rFonts w:ascii="Times New Roman" w:eastAsia="Times New Roman" w:hAnsi="Times New Roman" w:cs="Times New Roman"/>
          <w:b/>
          <w:sz w:val="24"/>
          <w:szCs w:val="24"/>
          <w:lang w:val="sr-Cyrl-RS" w:eastAsia="hr-HR"/>
        </w:rPr>
      </w:pPr>
      <w:bookmarkStart w:id="53" w:name="_Toc100751296"/>
      <w:bookmarkStart w:id="54" w:name="_Toc4666034"/>
      <w:r w:rsidRPr="00EA0FD7">
        <w:rPr>
          <w:rFonts w:ascii="Times New Roman" w:eastAsia="Times New Roman" w:hAnsi="Times New Roman" w:cs="Times New Roman"/>
          <w:b/>
          <w:sz w:val="24"/>
          <w:szCs w:val="24"/>
          <w:lang w:val="sr-Cyrl-RS" w:eastAsia="hr-HR"/>
        </w:rPr>
        <w:t>Наплата у периоду јануар – март 2022.</w:t>
      </w:r>
      <w:bookmarkEnd w:id="53"/>
      <w:bookmarkEnd w:id="54"/>
      <w:r w:rsidRPr="00EA0FD7">
        <w:rPr>
          <w:rFonts w:ascii="Times New Roman" w:eastAsia="Times New Roman" w:hAnsi="Times New Roman" w:cs="Times New Roman"/>
          <w:b/>
          <w:sz w:val="24"/>
          <w:szCs w:val="24"/>
          <w:lang w:val="sr-Cyrl-RS" w:eastAsia="hr-HR"/>
        </w:rPr>
        <w:t xml:space="preserve"> године</w:t>
      </w:r>
    </w:p>
    <w:p w14:paraId="09B9C176"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63F790D" w14:textId="66BB79D8" w:rsid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Негативни ефекти пандемије </w:t>
      </w:r>
      <w:r w:rsidR="00F42184" w:rsidRPr="00F42184">
        <w:rPr>
          <w:rFonts w:ascii="Times New Roman" w:eastAsia="Times New Roman" w:hAnsi="Times New Roman" w:cs="Times New Roman"/>
          <w:i/>
          <w:sz w:val="24"/>
          <w:szCs w:val="24"/>
          <w:lang w:eastAsia="hr-HR"/>
        </w:rPr>
        <w:t>COVID</w:t>
      </w:r>
      <w:r w:rsidRPr="00F42184">
        <w:rPr>
          <w:rFonts w:ascii="Times New Roman" w:eastAsia="Times New Roman" w:hAnsi="Times New Roman" w:cs="Times New Roman"/>
          <w:i/>
          <w:sz w:val="24"/>
          <w:szCs w:val="24"/>
          <w:lang w:val="sr-Cyrl-RS" w:eastAsia="hr-HR"/>
        </w:rPr>
        <w:t>-19</w:t>
      </w:r>
      <w:r w:rsidRPr="00EA0FD7">
        <w:rPr>
          <w:rFonts w:ascii="Times New Roman" w:eastAsia="Times New Roman" w:hAnsi="Times New Roman" w:cs="Times New Roman"/>
          <w:sz w:val="24"/>
          <w:szCs w:val="24"/>
          <w:lang w:val="sr-Cyrl-RS" w:eastAsia="hr-HR"/>
        </w:rPr>
        <w:t xml:space="preserve"> вируса на наплату прихода од индиректних пореза анулирани су током другог полугодишта 2021. године. Либералније мјере за улазак у БиХ током љета 2021. резултирале су снажним растом наплате индиректних пореза од нерезидената (дијаспоре, туриста, прекогранични и малогранични промет) у трећем и четвртом кварталу 2021. године од 23,4% и 19,4%, што је у коначници донијело раст наплате индиректних пореза на нивоу године од 16,7% у односу на пандемијску 2020. годину, односно 5,8% у односу на до тада рекордну 2019. годину. Ни појава четвртог вала пандемије у јесен у ЕУ, нити примјена рестриктивних мјера у чланицама и окружењу, нису значајније погодиле потрошњу нерезидената у БиХ, поготово када се ради о нерезидентима из Хрватске у пограничним крајевима БиХ. Политика либералнијих мјера против пандемије у БиХ насупрот рестриктивних мјера у познатим европским скијашким центрима допринијела је афирмацији БиХ која је постала атрактивна туристичка дестинација за зимски туризам. Осим раста домаће потрошње и потрошње нерезидената други фактор раста прихода од индиректних пореза у првом кварталу 2022. јесте раст цијена деривата нафте на свјетском тржишту, па потом и цијена осталих берзанских добара и добара широке потрошње, прво због пандемије и политичких криза, а потом и због рата у Украјини. Експлозија увоза је донијела у првом кварталу 2022. године високе стопе раста прихода од ПДВ-а као </w:t>
      </w:r>
      <w:r w:rsidR="00F42184">
        <w:rPr>
          <w:rFonts w:ascii="Times New Roman" w:eastAsia="Times New Roman" w:hAnsi="Times New Roman" w:cs="Times New Roman"/>
          <w:i/>
          <w:sz w:val="24"/>
          <w:szCs w:val="24"/>
          <w:lang w:val="sr-Cyrl-RS" w:eastAsia="hr-HR"/>
        </w:rPr>
        <w:t>ad</w:t>
      </w:r>
      <w:r w:rsidRPr="00EA0FD7">
        <w:rPr>
          <w:rFonts w:ascii="Times New Roman" w:eastAsia="Times New Roman" w:hAnsi="Times New Roman" w:cs="Times New Roman"/>
          <w:i/>
          <w:sz w:val="24"/>
          <w:szCs w:val="24"/>
          <w:lang w:val="sr-Cyrl-RS" w:eastAsia="hr-HR"/>
        </w:rPr>
        <w:t xml:space="preserve"> </w:t>
      </w:r>
      <w:r w:rsidR="00F42184">
        <w:rPr>
          <w:rFonts w:ascii="Times New Roman" w:eastAsia="Times New Roman" w:hAnsi="Times New Roman" w:cs="Times New Roman"/>
          <w:i/>
          <w:sz w:val="24"/>
          <w:szCs w:val="24"/>
          <w:lang w:val="sr-Cyrl-RS" w:eastAsia="hr-HR"/>
        </w:rPr>
        <w:t>valorem</w:t>
      </w:r>
      <w:r w:rsidRPr="00EA0FD7">
        <w:rPr>
          <w:rFonts w:ascii="Times New Roman" w:eastAsia="Times New Roman" w:hAnsi="Times New Roman" w:cs="Times New Roman"/>
          <w:i/>
          <w:sz w:val="24"/>
          <w:szCs w:val="24"/>
          <w:lang w:val="sr-Cyrl-RS" w:eastAsia="hr-HR"/>
        </w:rPr>
        <w:t xml:space="preserve"> </w:t>
      </w:r>
      <w:r w:rsidRPr="00EA0FD7">
        <w:rPr>
          <w:rFonts w:ascii="Times New Roman" w:eastAsia="Times New Roman" w:hAnsi="Times New Roman" w:cs="Times New Roman"/>
          <w:sz w:val="24"/>
          <w:szCs w:val="24"/>
          <w:lang w:val="sr-Cyrl-RS" w:eastAsia="hr-HR"/>
        </w:rPr>
        <w:t>пореза, а тиме и индиректних пореза, у чијој структури доминирају приходи од ПДВ-а (Графикон 3.4).</w:t>
      </w:r>
    </w:p>
    <w:p w14:paraId="16FBBF8D" w14:textId="77777777" w:rsidR="0078010E" w:rsidRDefault="0078010E" w:rsidP="0078010E">
      <w:pPr>
        <w:suppressLineNumbers/>
        <w:suppressAutoHyphens/>
        <w:spacing w:after="0" w:line="240" w:lineRule="auto"/>
        <w:rPr>
          <w:rFonts w:ascii="Times New Roman" w:eastAsia="Times New Roman" w:hAnsi="Times New Roman" w:cs="Times New Roman"/>
          <w:sz w:val="24"/>
          <w:szCs w:val="24"/>
          <w:lang w:val="sr-Cyrl-RS" w:eastAsia="hr-HR"/>
        </w:rPr>
      </w:pPr>
      <w:bookmarkStart w:id="55" w:name="_Toc100909332"/>
    </w:p>
    <w:p w14:paraId="67DCF9EF" w14:textId="77777777" w:rsidR="0078010E" w:rsidRDefault="0078010E" w:rsidP="0078010E">
      <w:pPr>
        <w:suppressLineNumbers/>
        <w:suppressAutoHyphens/>
        <w:spacing w:after="0" w:line="240" w:lineRule="auto"/>
        <w:rPr>
          <w:rFonts w:ascii="Times New Roman" w:eastAsia="Times New Roman" w:hAnsi="Times New Roman" w:cs="Times New Roman"/>
          <w:b/>
          <w:iCs/>
          <w:color w:val="000000"/>
          <w:sz w:val="18"/>
          <w:szCs w:val="24"/>
          <w:lang w:val="sr-Cyrl-RS" w:eastAsia="ar-SA"/>
        </w:rPr>
      </w:pPr>
    </w:p>
    <w:p w14:paraId="2FF6A54E" w14:textId="77777777" w:rsidR="0078010E" w:rsidRDefault="0078010E" w:rsidP="0078010E">
      <w:pPr>
        <w:suppressLineNumbers/>
        <w:suppressAutoHyphens/>
        <w:spacing w:after="0" w:line="240" w:lineRule="auto"/>
        <w:rPr>
          <w:rFonts w:ascii="Times New Roman" w:eastAsia="Times New Roman" w:hAnsi="Times New Roman" w:cs="Times New Roman"/>
          <w:b/>
          <w:iCs/>
          <w:color w:val="000000"/>
          <w:sz w:val="18"/>
          <w:szCs w:val="24"/>
          <w:lang w:val="sr-Cyrl-RS" w:eastAsia="ar-SA"/>
        </w:rPr>
      </w:pPr>
    </w:p>
    <w:p w14:paraId="71F54A66" w14:textId="77777777" w:rsidR="0078010E" w:rsidRDefault="0078010E" w:rsidP="0078010E">
      <w:pPr>
        <w:suppressLineNumbers/>
        <w:suppressAutoHyphens/>
        <w:spacing w:after="0" w:line="240" w:lineRule="auto"/>
        <w:rPr>
          <w:rFonts w:ascii="Times New Roman" w:eastAsia="Times New Roman" w:hAnsi="Times New Roman" w:cs="Times New Roman"/>
          <w:b/>
          <w:iCs/>
          <w:color w:val="000000"/>
          <w:sz w:val="18"/>
          <w:szCs w:val="24"/>
          <w:lang w:val="sr-Cyrl-RS" w:eastAsia="ar-SA"/>
        </w:rPr>
      </w:pPr>
    </w:p>
    <w:p w14:paraId="6B3639B5" w14:textId="77777777" w:rsidR="0078010E" w:rsidRDefault="0078010E" w:rsidP="0078010E">
      <w:pPr>
        <w:suppressLineNumbers/>
        <w:suppressAutoHyphens/>
        <w:spacing w:after="0" w:line="240" w:lineRule="auto"/>
        <w:rPr>
          <w:rFonts w:ascii="Times New Roman" w:eastAsia="Times New Roman" w:hAnsi="Times New Roman" w:cs="Times New Roman"/>
          <w:b/>
          <w:iCs/>
          <w:color w:val="000000"/>
          <w:sz w:val="18"/>
          <w:szCs w:val="24"/>
          <w:lang w:val="sr-Cyrl-RS" w:eastAsia="ar-SA"/>
        </w:rPr>
      </w:pPr>
    </w:p>
    <w:p w14:paraId="296873CA" w14:textId="77777777" w:rsidR="0078010E" w:rsidRDefault="0078010E" w:rsidP="0078010E">
      <w:pPr>
        <w:suppressLineNumbers/>
        <w:suppressAutoHyphens/>
        <w:spacing w:after="0" w:line="240" w:lineRule="auto"/>
        <w:rPr>
          <w:rFonts w:ascii="Times New Roman" w:eastAsia="Times New Roman" w:hAnsi="Times New Roman" w:cs="Times New Roman"/>
          <w:b/>
          <w:iCs/>
          <w:color w:val="000000"/>
          <w:sz w:val="18"/>
          <w:szCs w:val="24"/>
          <w:lang w:val="sr-Cyrl-RS" w:eastAsia="ar-SA"/>
        </w:rPr>
      </w:pPr>
    </w:p>
    <w:p w14:paraId="4CAA913C" w14:textId="77777777" w:rsidR="0078010E" w:rsidRDefault="0078010E" w:rsidP="0078010E">
      <w:pPr>
        <w:suppressLineNumbers/>
        <w:suppressAutoHyphens/>
        <w:spacing w:after="0" w:line="240" w:lineRule="auto"/>
        <w:rPr>
          <w:rFonts w:ascii="Times New Roman" w:eastAsia="Times New Roman" w:hAnsi="Times New Roman" w:cs="Times New Roman"/>
          <w:b/>
          <w:iCs/>
          <w:color w:val="000000"/>
          <w:sz w:val="18"/>
          <w:szCs w:val="24"/>
          <w:lang w:val="sr-Cyrl-RS" w:eastAsia="ar-SA"/>
        </w:rPr>
      </w:pPr>
    </w:p>
    <w:p w14:paraId="7C22A7F7" w14:textId="77777777" w:rsidR="0078010E" w:rsidRDefault="0078010E" w:rsidP="0078010E">
      <w:pPr>
        <w:suppressLineNumbers/>
        <w:suppressAutoHyphens/>
        <w:spacing w:after="0" w:line="240" w:lineRule="auto"/>
        <w:rPr>
          <w:rFonts w:ascii="Times New Roman" w:eastAsia="Times New Roman" w:hAnsi="Times New Roman" w:cs="Times New Roman"/>
          <w:b/>
          <w:iCs/>
          <w:color w:val="000000"/>
          <w:sz w:val="18"/>
          <w:szCs w:val="24"/>
          <w:lang w:val="sr-Cyrl-RS" w:eastAsia="ar-SA"/>
        </w:rPr>
      </w:pPr>
    </w:p>
    <w:p w14:paraId="0B6B19E3" w14:textId="77777777" w:rsidR="0078010E" w:rsidRDefault="0078010E" w:rsidP="0078010E">
      <w:pPr>
        <w:suppressLineNumbers/>
        <w:suppressAutoHyphens/>
        <w:spacing w:after="0" w:line="240" w:lineRule="auto"/>
        <w:rPr>
          <w:rFonts w:ascii="Times New Roman" w:eastAsia="Times New Roman" w:hAnsi="Times New Roman" w:cs="Times New Roman"/>
          <w:b/>
          <w:iCs/>
          <w:color w:val="000000"/>
          <w:sz w:val="18"/>
          <w:szCs w:val="24"/>
          <w:lang w:val="sr-Cyrl-RS" w:eastAsia="ar-SA"/>
        </w:rPr>
      </w:pPr>
    </w:p>
    <w:p w14:paraId="19A2ADF1" w14:textId="77777777" w:rsidR="0078010E" w:rsidRDefault="0078010E" w:rsidP="0078010E">
      <w:pPr>
        <w:suppressLineNumbers/>
        <w:suppressAutoHyphens/>
        <w:spacing w:after="0" w:line="240" w:lineRule="auto"/>
        <w:rPr>
          <w:rFonts w:ascii="Times New Roman" w:eastAsia="Times New Roman" w:hAnsi="Times New Roman" w:cs="Times New Roman"/>
          <w:b/>
          <w:iCs/>
          <w:color w:val="000000"/>
          <w:sz w:val="18"/>
          <w:szCs w:val="24"/>
          <w:lang w:val="sr-Cyrl-RS" w:eastAsia="ar-SA"/>
        </w:rPr>
      </w:pPr>
    </w:p>
    <w:p w14:paraId="09A9F00D" w14:textId="77777777" w:rsidR="0078010E" w:rsidRDefault="0078010E" w:rsidP="0078010E">
      <w:pPr>
        <w:suppressLineNumbers/>
        <w:suppressAutoHyphens/>
        <w:spacing w:after="0" w:line="240" w:lineRule="auto"/>
        <w:rPr>
          <w:rFonts w:ascii="Times New Roman" w:eastAsia="Times New Roman" w:hAnsi="Times New Roman" w:cs="Times New Roman"/>
          <w:b/>
          <w:iCs/>
          <w:color w:val="000000"/>
          <w:sz w:val="18"/>
          <w:szCs w:val="24"/>
          <w:lang w:val="sr-Cyrl-RS" w:eastAsia="ar-SA"/>
        </w:rPr>
      </w:pPr>
    </w:p>
    <w:p w14:paraId="3BE12F15" w14:textId="77777777" w:rsidR="0078010E" w:rsidRDefault="0078010E" w:rsidP="0078010E">
      <w:pPr>
        <w:suppressLineNumbers/>
        <w:suppressAutoHyphens/>
        <w:spacing w:after="0" w:line="240" w:lineRule="auto"/>
        <w:rPr>
          <w:rFonts w:ascii="Times New Roman" w:eastAsia="Times New Roman" w:hAnsi="Times New Roman" w:cs="Times New Roman"/>
          <w:b/>
          <w:iCs/>
          <w:color w:val="000000"/>
          <w:sz w:val="18"/>
          <w:szCs w:val="24"/>
          <w:lang w:val="sr-Cyrl-RS" w:eastAsia="ar-SA"/>
        </w:rPr>
      </w:pPr>
    </w:p>
    <w:p w14:paraId="25322CCB" w14:textId="77777777" w:rsidR="0078010E" w:rsidRDefault="0078010E" w:rsidP="0078010E">
      <w:pPr>
        <w:suppressLineNumbers/>
        <w:suppressAutoHyphens/>
        <w:spacing w:after="0" w:line="240" w:lineRule="auto"/>
        <w:rPr>
          <w:rFonts w:ascii="Times New Roman" w:eastAsia="Times New Roman" w:hAnsi="Times New Roman" w:cs="Times New Roman"/>
          <w:b/>
          <w:iCs/>
          <w:color w:val="000000"/>
          <w:sz w:val="18"/>
          <w:szCs w:val="24"/>
          <w:lang w:val="sr-Cyrl-RS" w:eastAsia="ar-SA"/>
        </w:rPr>
      </w:pPr>
    </w:p>
    <w:p w14:paraId="3C13AF81" w14:textId="48D81889" w:rsidR="00EA0FD7" w:rsidRPr="00EA0FD7" w:rsidRDefault="00EA0FD7" w:rsidP="0078010E">
      <w:pPr>
        <w:suppressLineNumbers/>
        <w:suppressAutoHyphens/>
        <w:spacing w:after="0" w:line="240" w:lineRule="auto"/>
        <w:jc w:val="center"/>
        <w:rPr>
          <w:rFonts w:ascii="Times New Roman" w:eastAsia="Times New Roman" w:hAnsi="Times New Roman" w:cs="Times New Roman"/>
          <w:bCs/>
          <w:iCs/>
          <w:sz w:val="24"/>
          <w:szCs w:val="24"/>
          <w:lang w:val="sr-Cyrl-RS" w:eastAsia="ar-SA"/>
        </w:rPr>
      </w:pPr>
      <w:r w:rsidRPr="00AE5455">
        <w:rPr>
          <w:rFonts w:ascii="Times New Roman" w:eastAsia="Times New Roman" w:hAnsi="Times New Roman" w:cs="Times New Roman"/>
          <w:b/>
          <w:iCs/>
          <w:color w:val="000000"/>
          <w:sz w:val="18"/>
          <w:szCs w:val="24"/>
          <w:lang w:val="sr-Cyrl-RS" w:eastAsia="ar-SA"/>
        </w:rPr>
        <w:t>Графикон 3.</w:t>
      </w:r>
      <w:r w:rsidRPr="00EA0FD7">
        <w:rPr>
          <w:rFonts w:ascii="Calibri" w:eastAsia="Times New Roman" w:hAnsi="Calibri" w:cs="Tahoma"/>
          <w:i/>
          <w:iCs/>
          <w:sz w:val="24"/>
          <w:szCs w:val="24"/>
          <w:lang w:val="sr-Cyrl-RS" w:eastAsia="ar-SA"/>
        </w:rPr>
        <w:fldChar w:fldCharType="begin"/>
      </w:r>
      <w:r w:rsidRPr="00AE5455">
        <w:rPr>
          <w:rFonts w:ascii="Times New Roman" w:eastAsia="Times New Roman" w:hAnsi="Times New Roman" w:cs="Times New Roman"/>
          <w:b/>
          <w:iCs/>
          <w:color w:val="000000"/>
          <w:sz w:val="18"/>
          <w:szCs w:val="24"/>
          <w:lang w:val="sr-Cyrl-RS" w:eastAsia="ar-SA"/>
        </w:rPr>
        <w:instrText xml:space="preserve"> SEQ Grafikon_ \* ARABIC </w:instrText>
      </w:r>
      <w:r w:rsidRPr="00EA0FD7">
        <w:rPr>
          <w:rFonts w:ascii="Calibri" w:eastAsia="Times New Roman" w:hAnsi="Calibri" w:cs="Tahoma"/>
          <w:i/>
          <w:iCs/>
          <w:sz w:val="24"/>
          <w:szCs w:val="24"/>
          <w:lang w:val="sr-Cyrl-RS" w:eastAsia="ar-SA"/>
        </w:rPr>
        <w:fldChar w:fldCharType="separate"/>
      </w:r>
      <w:r w:rsidRPr="00AE5455">
        <w:rPr>
          <w:rFonts w:ascii="Times New Roman" w:eastAsia="Times New Roman" w:hAnsi="Times New Roman" w:cs="Times New Roman"/>
          <w:b/>
          <w:iCs/>
          <w:color w:val="000000"/>
          <w:sz w:val="18"/>
          <w:szCs w:val="24"/>
          <w:lang w:val="sr-Cyrl-RS" w:eastAsia="ar-SA"/>
        </w:rPr>
        <w:t>4</w:t>
      </w:r>
      <w:r w:rsidRPr="00EA0FD7">
        <w:rPr>
          <w:rFonts w:ascii="Calibri" w:eastAsia="Times New Roman" w:hAnsi="Calibri" w:cs="Tahoma"/>
          <w:i/>
          <w:iCs/>
          <w:sz w:val="24"/>
          <w:szCs w:val="24"/>
          <w:lang w:val="sr-Cyrl-RS" w:eastAsia="ar-SA"/>
        </w:rPr>
        <w:fldChar w:fldCharType="end"/>
      </w:r>
      <w:r w:rsidRPr="00EA0FD7">
        <w:rPr>
          <w:rFonts w:ascii="Times New Roman" w:eastAsia="Times New Roman" w:hAnsi="Times New Roman" w:cs="Times New Roman"/>
          <w:b/>
          <w:iCs/>
          <w:sz w:val="24"/>
          <w:szCs w:val="24"/>
          <w:lang w:val="sr-Cyrl-RS" w:eastAsia="ar-SA"/>
        </w:rPr>
        <w:t>.</w:t>
      </w:r>
      <w:r w:rsidRPr="00EA0FD7">
        <w:rPr>
          <w:rFonts w:ascii="Times New Roman" w:eastAsia="Times New Roman" w:hAnsi="Times New Roman" w:cs="Times New Roman"/>
          <w:iCs/>
          <w:sz w:val="24"/>
          <w:szCs w:val="24"/>
          <w:lang w:val="sr-Cyrl-RS" w:eastAsia="ar-SA"/>
        </w:rPr>
        <w:t xml:space="preserve"> </w:t>
      </w:r>
      <w:r w:rsidRPr="00EA0FD7">
        <w:rPr>
          <w:rFonts w:ascii="Times New Roman" w:eastAsia="Times New Roman" w:hAnsi="Times New Roman" w:cs="Times New Roman"/>
          <w:bCs/>
          <w:iCs/>
          <w:sz w:val="24"/>
          <w:szCs w:val="24"/>
          <w:lang w:val="sr-Cyrl-RS" w:eastAsia="ar-SA"/>
        </w:rPr>
        <w:t>Мјесечна наплата индиректних пореза (мил</w:t>
      </w:r>
      <w:r w:rsidR="00F42184">
        <w:rPr>
          <w:rFonts w:ascii="Times New Roman" w:eastAsia="Times New Roman" w:hAnsi="Times New Roman" w:cs="Times New Roman"/>
          <w:bCs/>
          <w:iCs/>
          <w:sz w:val="24"/>
          <w:szCs w:val="24"/>
          <w:lang w:eastAsia="ar-SA"/>
        </w:rPr>
        <w:t>.</w:t>
      </w:r>
      <w:r w:rsidRPr="00EA0FD7">
        <w:rPr>
          <w:rFonts w:ascii="Times New Roman" w:eastAsia="Times New Roman" w:hAnsi="Times New Roman" w:cs="Times New Roman"/>
          <w:bCs/>
          <w:iCs/>
          <w:sz w:val="24"/>
          <w:szCs w:val="24"/>
          <w:lang w:val="sr-Cyrl-RS" w:eastAsia="ar-SA"/>
        </w:rPr>
        <w:t xml:space="preserve"> КМ)</w:t>
      </w:r>
      <w:bookmarkEnd w:id="55"/>
    </w:p>
    <w:tbl>
      <w:tblPr>
        <w:tblW w:w="0" w:type="auto"/>
        <w:tblInd w:w="1242" w:type="dxa"/>
        <w:shd w:val="clear" w:color="auto" w:fill="FDE9D9"/>
        <w:tblLook w:val="04A0" w:firstRow="1" w:lastRow="0" w:firstColumn="1" w:lastColumn="0" w:noHBand="0" w:noVBand="1"/>
      </w:tblPr>
      <w:tblGrid>
        <w:gridCol w:w="7446"/>
      </w:tblGrid>
      <w:tr w:rsidR="00EA0FD7" w:rsidRPr="00EA0FD7" w14:paraId="0165274A" w14:textId="77777777" w:rsidTr="00EA0FD7">
        <w:trPr>
          <w:cantSplit/>
          <w:trHeight w:val="85"/>
        </w:trPr>
        <w:tc>
          <w:tcPr>
            <w:tcW w:w="7343" w:type="dxa"/>
            <w:shd w:val="clear" w:color="auto" w:fill="FDE9D9"/>
          </w:tcPr>
          <w:p w14:paraId="5A40C227"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tc>
      </w:tr>
      <w:tr w:rsidR="00EA0FD7" w:rsidRPr="00EA0FD7" w14:paraId="5BEB8555" w14:textId="77777777" w:rsidTr="00EA0FD7">
        <w:trPr>
          <w:trHeight w:val="43"/>
        </w:trPr>
        <w:tc>
          <w:tcPr>
            <w:tcW w:w="7343" w:type="dxa"/>
            <w:shd w:val="clear" w:color="auto" w:fill="FDE9D9"/>
            <w:hideMark/>
          </w:tcPr>
          <w:p w14:paraId="20A1028C"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5ACE9BB6" wp14:editId="43387FAA">
                  <wp:extent cx="4589780" cy="2760980"/>
                  <wp:effectExtent l="0" t="0" r="1270" b="12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9780" cy="2760980"/>
                          </a:xfrm>
                          <a:prstGeom prst="rect">
                            <a:avLst/>
                          </a:prstGeom>
                          <a:noFill/>
                          <a:ln>
                            <a:noFill/>
                          </a:ln>
                        </pic:spPr>
                      </pic:pic>
                    </a:graphicData>
                  </a:graphic>
                </wp:inline>
              </w:drawing>
            </w:r>
          </w:p>
        </w:tc>
      </w:tr>
      <w:tr w:rsidR="00EA0FD7" w:rsidRPr="00EA0FD7" w14:paraId="0A064646" w14:textId="77777777" w:rsidTr="00EA0FD7">
        <w:trPr>
          <w:trHeight w:val="85"/>
        </w:trPr>
        <w:tc>
          <w:tcPr>
            <w:tcW w:w="7343" w:type="dxa"/>
            <w:shd w:val="clear" w:color="auto" w:fill="FDE9D9"/>
          </w:tcPr>
          <w:p w14:paraId="7566F65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tc>
      </w:tr>
    </w:tbl>
    <w:p w14:paraId="2DC2A1E7" w14:textId="1BC203CB"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Извор: Управа за индиректно </w:t>
      </w:r>
      <w:r w:rsidR="00F42184">
        <w:rPr>
          <w:rFonts w:ascii="Times New Roman" w:eastAsia="Times New Roman" w:hAnsi="Times New Roman" w:cs="Times New Roman"/>
          <w:sz w:val="20"/>
          <w:szCs w:val="20"/>
          <w:lang w:val="sr-Cyrl-RS" w:eastAsia="hr-HR"/>
        </w:rPr>
        <w:t>опорезивање</w:t>
      </w:r>
      <w:r w:rsidRPr="00EA0FD7">
        <w:rPr>
          <w:rFonts w:ascii="Times New Roman" w:eastAsia="Times New Roman" w:hAnsi="Times New Roman" w:cs="Times New Roman"/>
          <w:sz w:val="20"/>
          <w:szCs w:val="20"/>
          <w:lang w:val="sr-Cyrl-RS" w:eastAsia="hr-HR"/>
        </w:rPr>
        <w:t xml:space="preserve"> БиХ, приказ ОМА</w:t>
      </w:r>
    </w:p>
    <w:p w14:paraId="1EC9F6C8"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p>
    <w:p w14:paraId="450D24A8" w14:textId="266157BE"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У првом кварталу 2022. године остварена је врло висока стопа раста прихода од индиректних пореза од 18,9% у односу на први квартал 2021. године (Графикон 3.5, приказ лијево). Треба имати у виду да су строже мјере против пандемије </w:t>
      </w:r>
      <w:r w:rsidR="00F42184" w:rsidRPr="00F42184">
        <w:rPr>
          <w:rFonts w:ascii="Times New Roman" w:eastAsia="Times New Roman" w:hAnsi="Times New Roman" w:cs="Times New Roman"/>
          <w:i/>
          <w:sz w:val="24"/>
          <w:szCs w:val="24"/>
          <w:lang w:eastAsia="hr-HR"/>
        </w:rPr>
        <w:t>COVID</w:t>
      </w:r>
      <w:r w:rsidRPr="00F42184">
        <w:rPr>
          <w:rFonts w:ascii="Times New Roman" w:eastAsia="Times New Roman" w:hAnsi="Times New Roman" w:cs="Times New Roman"/>
          <w:i/>
          <w:sz w:val="24"/>
          <w:szCs w:val="24"/>
          <w:lang w:val="sr-Cyrl-RS" w:eastAsia="hr-HR"/>
        </w:rPr>
        <w:t>-19</w:t>
      </w:r>
      <w:r w:rsidRPr="00EA0FD7">
        <w:rPr>
          <w:rFonts w:ascii="Times New Roman" w:eastAsia="Times New Roman" w:hAnsi="Times New Roman" w:cs="Times New Roman"/>
          <w:sz w:val="24"/>
          <w:szCs w:val="24"/>
          <w:lang w:val="sr-Cyrl-RS" w:eastAsia="hr-HR"/>
        </w:rPr>
        <w:t xml:space="preserve"> вируса у БиХ биле на снази у првих пет мјесеци 2021. године, те је наплата због негативног ефекта мјера на економију и потрошњу била значајно нижа него у осталом дијелу године (вид. Графикон 3.4 и Графикон 3.5-приказ десно). Из тог разлога основица за поређење са наплатом прихода у 2022. години је знатно нижа, што има за посљедицу да је математичким израчуном стопа раста индиректних пореза у првом кварталу 2022. године знатно виша (Графикон 3.5, приказ десно).</w:t>
      </w:r>
    </w:p>
    <w:p w14:paraId="24441E3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44908D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0E5E60B"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bookmarkStart w:id="56" w:name="_Toc100909333"/>
      <w:r w:rsidRPr="00EA0FD7">
        <w:rPr>
          <w:rFonts w:ascii="Times New Roman" w:eastAsia="Times New Roman" w:hAnsi="Times New Roman" w:cs="Times New Roman"/>
          <w:b/>
          <w:sz w:val="24"/>
          <w:szCs w:val="24"/>
          <w:lang w:val="sr-Cyrl-RS" w:eastAsia="hr-HR"/>
        </w:rPr>
        <w:t xml:space="preserve">Графикон 3. </w:t>
      </w:r>
      <w:r w:rsidRPr="00EA0FD7">
        <w:rPr>
          <w:rFonts w:ascii="Times New Roman" w:eastAsia="Times New Roman" w:hAnsi="Times New Roman" w:cs="Times New Roman"/>
          <w:sz w:val="24"/>
          <w:szCs w:val="24"/>
          <w:lang w:val="sr-Cyrl-RS" w:eastAsia="hr-HR"/>
        </w:rPr>
        <w:fldChar w:fldCharType="begin"/>
      </w:r>
      <w:r w:rsidRPr="00EA0FD7">
        <w:rPr>
          <w:rFonts w:ascii="Times New Roman" w:eastAsia="Times New Roman" w:hAnsi="Times New Roman" w:cs="Times New Roman"/>
          <w:b/>
          <w:sz w:val="24"/>
          <w:szCs w:val="24"/>
          <w:lang w:val="sr-Cyrl-RS" w:eastAsia="hr-HR"/>
        </w:rPr>
        <w:instrText xml:space="preserve"> SEQ Grafikon_ \* ARABIC </w:instrText>
      </w:r>
      <w:r w:rsidRPr="00EA0FD7">
        <w:rPr>
          <w:rFonts w:ascii="Times New Roman" w:eastAsia="Times New Roman" w:hAnsi="Times New Roman" w:cs="Times New Roman"/>
          <w:sz w:val="24"/>
          <w:szCs w:val="24"/>
          <w:lang w:val="sr-Cyrl-RS" w:eastAsia="hr-HR"/>
        </w:rPr>
        <w:fldChar w:fldCharType="separate"/>
      </w:r>
      <w:r w:rsidRPr="00EA0FD7">
        <w:rPr>
          <w:rFonts w:ascii="Times New Roman" w:eastAsia="Times New Roman" w:hAnsi="Times New Roman" w:cs="Times New Roman"/>
          <w:b/>
          <w:sz w:val="24"/>
          <w:szCs w:val="24"/>
          <w:lang w:val="sr-Cyrl-RS" w:eastAsia="hr-HR"/>
        </w:rPr>
        <w:t>5</w:t>
      </w:r>
      <w:r w:rsidRPr="00EA0FD7">
        <w:rPr>
          <w:rFonts w:ascii="Times New Roman" w:eastAsia="Times New Roman" w:hAnsi="Times New Roman" w:cs="Times New Roman"/>
          <w:sz w:val="24"/>
          <w:szCs w:val="24"/>
          <w:lang w:val="sr-Cyrl-RS" w:eastAsia="hr-HR"/>
        </w:rPr>
        <w:fldChar w:fldCharType="end"/>
      </w:r>
      <w:r w:rsidRPr="00EA0FD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
          <w:bCs/>
          <w:sz w:val="24"/>
          <w:szCs w:val="24"/>
          <w:lang w:val="sr-Cyrl-RS" w:eastAsia="hr-HR"/>
        </w:rPr>
        <w:t xml:space="preserve"> </w:t>
      </w:r>
      <w:r w:rsidRPr="00EA0FD7">
        <w:rPr>
          <w:rFonts w:ascii="Times New Roman" w:eastAsia="Times New Roman" w:hAnsi="Times New Roman" w:cs="Times New Roman"/>
          <w:bCs/>
          <w:sz w:val="24"/>
          <w:szCs w:val="24"/>
          <w:lang w:val="sr-Cyrl-RS" w:eastAsia="hr-HR"/>
        </w:rPr>
        <w:t>Наплата прихода од индиректних пореза у првом кварталу и промјене у наплати (кв/кв)</w:t>
      </w:r>
      <w:bookmarkEnd w:id="56"/>
    </w:p>
    <w:tbl>
      <w:tblPr>
        <w:tblW w:w="9780" w:type="dxa"/>
        <w:tblInd w:w="108" w:type="dxa"/>
        <w:shd w:val="clear" w:color="auto" w:fill="FDE9D9"/>
        <w:tblLayout w:type="fixed"/>
        <w:tblLook w:val="04A0" w:firstRow="1" w:lastRow="0" w:firstColumn="1" w:lastColumn="0" w:noHBand="0" w:noVBand="1"/>
      </w:tblPr>
      <w:tblGrid>
        <w:gridCol w:w="4820"/>
        <w:gridCol w:w="4960"/>
      </w:tblGrid>
      <w:tr w:rsidR="00EA0FD7" w:rsidRPr="00EA0FD7" w14:paraId="10B05C3F" w14:textId="77777777" w:rsidTr="00EA0FD7">
        <w:trPr>
          <w:trHeight w:hRule="exact" w:val="102"/>
        </w:trPr>
        <w:tc>
          <w:tcPr>
            <w:tcW w:w="4820" w:type="dxa"/>
            <w:shd w:val="clear" w:color="auto" w:fill="FDE9D9"/>
          </w:tcPr>
          <w:p w14:paraId="6EB71314"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0063D35E"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r w:rsidR="00EA0FD7" w:rsidRPr="00EA0FD7" w14:paraId="568E66CB" w14:textId="77777777" w:rsidTr="00EA0FD7">
        <w:tc>
          <w:tcPr>
            <w:tcW w:w="4820" w:type="dxa"/>
            <w:shd w:val="clear" w:color="auto" w:fill="FDE9D9"/>
            <w:hideMark/>
          </w:tcPr>
          <w:p w14:paraId="58CF9EF9"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698681D5" wp14:editId="682FC9DA">
                  <wp:extent cx="2986405" cy="2701925"/>
                  <wp:effectExtent l="0" t="0" r="4445" b="3175"/>
                  <wp:docPr id="14" name="Slika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6405" cy="2701925"/>
                          </a:xfrm>
                          <a:prstGeom prst="rect">
                            <a:avLst/>
                          </a:prstGeom>
                          <a:noFill/>
                          <a:ln>
                            <a:noFill/>
                          </a:ln>
                        </pic:spPr>
                      </pic:pic>
                    </a:graphicData>
                  </a:graphic>
                </wp:inline>
              </w:drawing>
            </w:r>
          </w:p>
        </w:tc>
        <w:tc>
          <w:tcPr>
            <w:tcW w:w="4961" w:type="dxa"/>
            <w:shd w:val="clear" w:color="auto" w:fill="FDE9D9"/>
            <w:hideMark/>
          </w:tcPr>
          <w:p w14:paraId="3012A69B"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0C5FAB9B" wp14:editId="4D471301">
                  <wp:extent cx="2986405" cy="2701925"/>
                  <wp:effectExtent l="0" t="0" r="4445" b="3175"/>
                  <wp:docPr id="15" name="Slika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6405" cy="2701925"/>
                          </a:xfrm>
                          <a:prstGeom prst="rect">
                            <a:avLst/>
                          </a:prstGeom>
                          <a:noFill/>
                          <a:ln>
                            <a:noFill/>
                          </a:ln>
                        </pic:spPr>
                      </pic:pic>
                    </a:graphicData>
                  </a:graphic>
                </wp:inline>
              </w:drawing>
            </w:r>
          </w:p>
        </w:tc>
      </w:tr>
      <w:tr w:rsidR="00EA0FD7" w:rsidRPr="00EA0FD7" w14:paraId="3D7042EA" w14:textId="77777777" w:rsidTr="00EA0FD7">
        <w:trPr>
          <w:trHeight w:hRule="exact" w:val="102"/>
        </w:trPr>
        <w:tc>
          <w:tcPr>
            <w:tcW w:w="4820" w:type="dxa"/>
            <w:shd w:val="clear" w:color="auto" w:fill="FDE9D9"/>
          </w:tcPr>
          <w:p w14:paraId="300A5576"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177D4FEF"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bl>
    <w:p w14:paraId="16C3E29A" w14:textId="266EC8AA"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Извор: Управа за индиректно </w:t>
      </w:r>
      <w:r w:rsidR="00F42184">
        <w:rPr>
          <w:rFonts w:ascii="Times New Roman" w:eastAsia="Times New Roman" w:hAnsi="Times New Roman" w:cs="Times New Roman"/>
          <w:sz w:val="20"/>
          <w:szCs w:val="20"/>
          <w:lang w:val="sr-Cyrl-RS" w:eastAsia="hr-HR"/>
        </w:rPr>
        <w:t>опорезивање</w:t>
      </w:r>
      <w:r w:rsidRPr="00EA0FD7">
        <w:rPr>
          <w:rFonts w:ascii="Times New Roman" w:eastAsia="Times New Roman" w:hAnsi="Times New Roman" w:cs="Times New Roman"/>
          <w:sz w:val="20"/>
          <w:szCs w:val="20"/>
          <w:lang w:val="sr-Cyrl-RS" w:eastAsia="hr-HR"/>
        </w:rPr>
        <w:t xml:space="preserve"> БиХ, приказ ОМА</w:t>
      </w:r>
    </w:p>
    <w:p w14:paraId="73D8EE61"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43E078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5D8E81F" w14:textId="77777777" w:rsidR="0078010E" w:rsidRDefault="0078010E" w:rsidP="00EA0FD7">
      <w:pPr>
        <w:spacing w:after="0" w:line="240" w:lineRule="auto"/>
        <w:jc w:val="both"/>
        <w:rPr>
          <w:rFonts w:ascii="Times New Roman" w:eastAsia="Times New Roman" w:hAnsi="Times New Roman" w:cs="Times New Roman"/>
          <w:b/>
          <w:sz w:val="24"/>
          <w:szCs w:val="24"/>
          <w:lang w:val="sr-Cyrl-RS" w:eastAsia="hr-HR"/>
        </w:rPr>
      </w:pPr>
    </w:p>
    <w:p w14:paraId="0AFEAC14" w14:textId="77777777" w:rsidR="0078010E" w:rsidRDefault="0078010E" w:rsidP="00EA0FD7">
      <w:pPr>
        <w:spacing w:after="0" w:line="240" w:lineRule="auto"/>
        <w:jc w:val="both"/>
        <w:rPr>
          <w:rFonts w:ascii="Times New Roman" w:eastAsia="Times New Roman" w:hAnsi="Times New Roman" w:cs="Times New Roman"/>
          <w:b/>
          <w:sz w:val="24"/>
          <w:szCs w:val="24"/>
          <w:lang w:val="sr-Cyrl-RS" w:eastAsia="hr-HR"/>
        </w:rPr>
      </w:pPr>
    </w:p>
    <w:p w14:paraId="3AB3D5D5" w14:textId="5D4DC154"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lastRenderedPageBreak/>
        <w:t>Наплата прихода по врстама</w:t>
      </w:r>
    </w:p>
    <w:p w14:paraId="201F15A9" w14:textId="77777777" w:rsidR="00EA0FD7" w:rsidRPr="00EA0FD7" w:rsidRDefault="00EA0FD7" w:rsidP="00EA0FD7">
      <w:pPr>
        <w:tabs>
          <w:tab w:val="left" w:pos="1080"/>
        </w:tabs>
        <w:spacing w:after="0" w:line="240" w:lineRule="auto"/>
        <w:rPr>
          <w:rFonts w:ascii="Times New Roman" w:eastAsia="Times New Roman" w:hAnsi="Times New Roman" w:cs="Times New Roman"/>
          <w:i/>
          <w:sz w:val="24"/>
          <w:szCs w:val="24"/>
          <w:lang w:val="sr-Cyrl-RS" w:eastAsia="hr-HR"/>
        </w:rPr>
      </w:pPr>
    </w:p>
    <w:p w14:paraId="638EC098" w14:textId="77777777" w:rsidR="00EA0FD7" w:rsidRPr="00EA0FD7" w:rsidRDefault="00EA0FD7" w:rsidP="00EA0FD7">
      <w:pPr>
        <w:tabs>
          <w:tab w:val="left" w:pos="1080"/>
        </w:tabs>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sz w:val="24"/>
          <w:szCs w:val="24"/>
          <w:lang w:val="sr-Cyrl-RS" w:eastAsia="hr-HR"/>
        </w:rPr>
        <w:t>Царине</w:t>
      </w:r>
    </w:p>
    <w:p w14:paraId="767F7D01" w14:textId="77777777" w:rsidR="00EA0FD7" w:rsidRPr="00EA0FD7" w:rsidRDefault="00EA0FD7" w:rsidP="00EA0FD7">
      <w:pPr>
        <w:tabs>
          <w:tab w:val="left" w:pos="1080"/>
        </w:tabs>
        <w:spacing w:after="0" w:line="240" w:lineRule="auto"/>
        <w:rPr>
          <w:rFonts w:ascii="Times New Roman" w:eastAsia="Times New Roman" w:hAnsi="Times New Roman" w:cs="Times New Roman"/>
          <w:i/>
          <w:sz w:val="24"/>
          <w:szCs w:val="24"/>
          <w:lang w:val="sr-Cyrl-RS" w:eastAsia="hr-HR"/>
        </w:rPr>
      </w:pPr>
    </w:p>
    <w:p w14:paraId="7C077980" w14:textId="71C03531" w:rsidR="00EA0FD7" w:rsidRPr="00EA0FD7" w:rsidRDefault="00EA0FD7" w:rsidP="00EA0FD7">
      <w:pPr>
        <w:tabs>
          <w:tab w:val="left" w:pos="1080"/>
        </w:tabs>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Тренд високих стопа раста прихода од царина траје у континуитету од марта 2021. године (Графикон </w:t>
      </w:r>
      <w:r w:rsidR="00F42184">
        <w:rPr>
          <w:rFonts w:ascii="Times New Roman" w:eastAsia="Times New Roman" w:hAnsi="Times New Roman" w:cs="Times New Roman"/>
          <w:sz w:val="24"/>
          <w:szCs w:val="24"/>
          <w:lang w:eastAsia="hr-HR"/>
        </w:rPr>
        <w:t>II</w:t>
      </w:r>
      <w:r w:rsidRPr="00EA0FD7">
        <w:rPr>
          <w:rFonts w:ascii="Times New Roman" w:eastAsia="Times New Roman" w:hAnsi="Times New Roman" w:cs="Times New Roman"/>
          <w:sz w:val="24"/>
          <w:szCs w:val="24"/>
          <w:lang w:val="sr-Cyrl-RS" w:eastAsia="hr-HR"/>
        </w:rPr>
        <w:t>. 6, приказ лијево). Раст прихода од царина посљедица је енормног раста увоза из ЕУ у дијелу добара које су под режимом царина и трећих земаља</w:t>
      </w:r>
      <w:r w:rsidRPr="00AE5455">
        <w:rPr>
          <w:rFonts w:ascii="Times New Roman" w:eastAsia="Times New Roman" w:hAnsi="Times New Roman" w:cs="Times New Roman"/>
          <w:sz w:val="24"/>
          <w:szCs w:val="24"/>
          <w:vertAlign w:val="superscript"/>
          <w:lang w:val="sr-Cyrl-RS" w:eastAsia="hr-HR"/>
        </w:rPr>
        <w:footnoteReference w:id="47"/>
      </w:r>
      <w:r w:rsidRPr="00EA0FD7">
        <w:rPr>
          <w:rFonts w:ascii="Times New Roman" w:eastAsia="Times New Roman" w:hAnsi="Times New Roman" w:cs="Times New Roman"/>
          <w:sz w:val="24"/>
          <w:szCs w:val="24"/>
          <w:lang w:val="sr-Cyrl-RS" w:eastAsia="hr-HR"/>
        </w:rPr>
        <w:t xml:space="preserve">. На нивоу првог квартала 2022. године остварен је раст прихода од царина од 30,2%, настављајући тренд високих кварталних стопа раста из претходна три квартала (Графикон 3. 6, приказ десно).  </w:t>
      </w:r>
    </w:p>
    <w:p w14:paraId="45CD1145" w14:textId="77777777"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bookmarkStart w:id="58" w:name="_Toc100909334"/>
    </w:p>
    <w:p w14:paraId="671C61F3"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szCs w:val="24"/>
          <w:lang w:val="sr-Cyrl-RS" w:eastAsia="hr-HR"/>
        </w:rPr>
        <w:t xml:space="preserve">Графикон 3. </w:t>
      </w:r>
      <w:r w:rsidRPr="00EA0FD7">
        <w:rPr>
          <w:rFonts w:ascii="Times New Roman" w:eastAsia="Times New Roman" w:hAnsi="Times New Roman" w:cs="Times New Roman"/>
          <w:sz w:val="24"/>
          <w:szCs w:val="24"/>
          <w:lang w:val="sr-Cyrl-RS" w:eastAsia="hr-HR"/>
        </w:rPr>
        <w:fldChar w:fldCharType="begin"/>
      </w:r>
      <w:r w:rsidRPr="00EA0FD7">
        <w:rPr>
          <w:rFonts w:ascii="Times New Roman" w:eastAsia="Times New Roman" w:hAnsi="Times New Roman" w:cs="Times New Roman"/>
          <w:b/>
          <w:sz w:val="24"/>
          <w:szCs w:val="24"/>
          <w:lang w:val="sr-Cyrl-RS" w:eastAsia="hr-HR"/>
        </w:rPr>
        <w:instrText xml:space="preserve"> SEQ Grafikon_ \* ARABIC </w:instrText>
      </w:r>
      <w:r w:rsidRPr="00EA0FD7">
        <w:rPr>
          <w:rFonts w:ascii="Times New Roman" w:eastAsia="Times New Roman" w:hAnsi="Times New Roman" w:cs="Times New Roman"/>
          <w:sz w:val="24"/>
          <w:szCs w:val="24"/>
          <w:lang w:val="sr-Cyrl-RS" w:eastAsia="hr-HR"/>
        </w:rPr>
        <w:fldChar w:fldCharType="separate"/>
      </w:r>
      <w:r w:rsidRPr="00EA0FD7">
        <w:rPr>
          <w:rFonts w:ascii="Times New Roman" w:eastAsia="Times New Roman" w:hAnsi="Times New Roman" w:cs="Times New Roman"/>
          <w:b/>
          <w:sz w:val="24"/>
          <w:szCs w:val="24"/>
          <w:lang w:val="sr-Cyrl-RS" w:eastAsia="hr-HR"/>
        </w:rPr>
        <w:t>6</w:t>
      </w:r>
      <w:r w:rsidRPr="00EA0FD7">
        <w:rPr>
          <w:rFonts w:ascii="Times New Roman" w:eastAsia="Times New Roman" w:hAnsi="Times New Roman" w:cs="Times New Roman"/>
          <w:sz w:val="24"/>
          <w:szCs w:val="24"/>
          <w:lang w:val="sr-Cyrl-RS" w:eastAsia="hr-HR"/>
        </w:rPr>
        <w:fldChar w:fldCharType="end"/>
      </w:r>
      <w:r w:rsidRPr="00EA0FD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Cs/>
          <w:sz w:val="24"/>
          <w:szCs w:val="24"/>
          <w:lang w:val="sr-Cyrl-RS" w:eastAsia="hr-HR"/>
        </w:rPr>
        <w:t xml:space="preserve"> Трендови у наплати прихода од царина</w:t>
      </w:r>
      <w:bookmarkEnd w:id="58"/>
    </w:p>
    <w:tbl>
      <w:tblPr>
        <w:tblW w:w="9780" w:type="dxa"/>
        <w:tblInd w:w="108" w:type="dxa"/>
        <w:shd w:val="clear" w:color="auto" w:fill="FDE9D9"/>
        <w:tblLayout w:type="fixed"/>
        <w:tblLook w:val="04A0" w:firstRow="1" w:lastRow="0" w:firstColumn="1" w:lastColumn="0" w:noHBand="0" w:noVBand="1"/>
      </w:tblPr>
      <w:tblGrid>
        <w:gridCol w:w="4820"/>
        <w:gridCol w:w="4960"/>
      </w:tblGrid>
      <w:tr w:rsidR="00EA0FD7" w:rsidRPr="00EA0FD7" w14:paraId="7B693C14" w14:textId="77777777" w:rsidTr="00EA0FD7">
        <w:trPr>
          <w:trHeight w:hRule="exact" w:val="102"/>
        </w:trPr>
        <w:tc>
          <w:tcPr>
            <w:tcW w:w="4820" w:type="dxa"/>
            <w:shd w:val="clear" w:color="auto" w:fill="FDE9D9"/>
          </w:tcPr>
          <w:p w14:paraId="46E697F8"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1760E621"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r w:rsidR="00EA0FD7" w:rsidRPr="00EA0FD7" w14:paraId="69D01C1C" w14:textId="77777777" w:rsidTr="00EA0FD7">
        <w:tc>
          <w:tcPr>
            <w:tcW w:w="4820" w:type="dxa"/>
            <w:shd w:val="clear" w:color="auto" w:fill="FDE9D9"/>
            <w:hideMark/>
          </w:tcPr>
          <w:p w14:paraId="0F32BF08"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3AB0E1F5" wp14:editId="2ED9509E">
                  <wp:extent cx="2986405" cy="2701925"/>
                  <wp:effectExtent l="0" t="0" r="4445" b="3175"/>
                  <wp:docPr id="16" name="Slika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6405" cy="2701925"/>
                          </a:xfrm>
                          <a:prstGeom prst="rect">
                            <a:avLst/>
                          </a:prstGeom>
                          <a:noFill/>
                          <a:ln>
                            <a:noFill/>
                          </a:ln>
                        </pic:spPr>
                      </pic:pic>
                    </a:graphicData>
                  </a:graphic>
                </wp:inline>
              </w:drawing>
            </w:r>
          </w:p>
        </w:tc>
        <w:tc>
          <w:tcPr>
            <w:tcW w:w="4961" w:type="dxa"/>
            <w:shd w:val="clear" w:color="auto" w:fill="FDE9D9"/>
            <w:hideMark/>
          </w:tcPr>
          <w:p w14:paraId="28D761CF"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61F6845B" wp14:editId="4940716C">
                  <wp:extent cx="2986405" cy="2701925"/>
                  <wp:effectExtent l="0" t="0" r="4445" b="3175"/>
                  <wp:docPr id="17" name="Slik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6405" cy="2701925"/>
                          </a:xfrm>
                          <a:prstGeom prst="rect">
                            <a:avLst/>
                          </a:prstGeom>
                          <a:noFill/>
                          <a:ln>
                            <a:noFill/>
                          </a:ln>
                        </pic:spPr>
                      </pic:pic>
                    </a:graphicData>
                  </a:graphic>
                </wp:inline>
              </w:drawing>
            </w:r>
          </w:p>
        </w:tc>
      </w:tr>
      <w:tr w:rsidR="00EA0FD7" w:rsidRPr="00EA0FD7" w14:paraId="14AFE827" w14:textId="77777777" w:rsidTr="00EA0FD7">
        <w:trPr>
          <w:trHeight w:hRule="exact" w:val="102"/>
        </w:trPr>
        <w:tc>
          <w:tcPr>
            <w:tcW w:w="4820" w:type="dxa"/>
            <w:shd w:val="clear" w:color="auto" w:fill="FDE9D9"/>
          </w:tcPr>
          <w:p w14:paraId="6FD35D2C"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1AAA5C9E"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bl>
    <w:p w14:paraId="3B69CFF9" w14:textId="52D79E5D"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Извор: Управа за индиректно </w:t>
      </w:r>
      <w:r w:rsidR="00F42184">
        <w:rPr>
          <w:rFonts w:ascii="Times New Roman" w:eastAsia="Times New Roman" w:hAnsi="Times New Roman" w:cs="Times New Roman"/>
          <w:sz w:val="20"/>
          <w:szCs w:val="20"/>
          <w:lang w:val="sr-Cyrl-RS" w:eastAsia="hr-HR"/>
        </w:rPr>
        <w:t>опорезивање</w:t>
      </w:r>
      <w:r w:rsidRPr="00EA0FD7">
        <w:rPr>
          <w:rFonts w:ascii="Times New Roman" w:eastAsia="Times New Roman" w:hAnsi="Times New Roman" w:cs="Times New Roman"/>
          <w:sz w:val="20"/>
          <w:szCs w:val="20"/>
          <w:lang w:val="sr-Cyrl-RS" w:eastAsia="hr-HR"/>
        </w:rPr>
        <w:t xml:space="preserve"> БиХ, приказ ОМА</w:t>
      </w:r>
    </w:p>
    <w:p w14:paraId="655C58F3" w14:textId="77777777" w:rsidR="00EA0FD7" w:rsidRPr="00EA0FD7" w:rsidRDefault="00EA0FD7" w:rsidP="00EA0FD7">
      <w:pPr>
        <w:tabs>
          <w:tab w:val="left" w:pos="1080"/>
        </w:tabs>
        <w:spacing w:after="0" w:line="240" w:lineRule="auto"/>
        <w:jc w:val="center"/>
        <w:rPr>
          <w:rFonts w:ascii="Times New Roman" w:eastAsia="Times New Roman" w:hAnsi="Times New Roman" w:cs="Times New Roman"/>
          <w:sz w:val="24"/>
          <w:szCs w:val="24"/>
          <w:lang w:val="sr-Cyrl-RS" w:eastAsia="hr-HR"/>
        </w:rPr>
      </w:pPr>
    </w:p>
    <w:p w14:paraId="22CD45C9" w14:textId="77777777" w:rsidR="00EA0FD7" w:rsidRPr="00EA0FD7" w:rsidRDefault="00EA0FD7" w:rsidP="00EA0FD7">
      <w:pPr>
        <w:tabs>
          <w:tab w:val="left" w:pos="1080"/>
        </w:tabs>
        <w:spacing w:after="0" w:line="240" w:lineRule="auto"/>
        <w:jc w:val="center"/>
        <w:rPr>
          <w:rFonts w:ascii="Times New Roman" w:eastAsia="Times New Roman" w:hAnsi="Times New Roman" w:cs="Times New Roman"/>
          <w:sz w:val="24"/>
          <w:szCs w:val="24"/>
          <w:lang w:val="sr-Cyrl-RS" w:eastAsia="hr-HR"/>
        </w:rPr>
      </w:pPr>
    </w:p>
    <w:p w14:paraId="37FAEBE3" w14:textId="77777777" w:rsidR="00EA0FD7" w:rsidRPr="00EA0FD7" w:rsidRDefault="00EA0FD7" w:rsidP="00EA0FD7">
      <w:pPr>
        <w:tabs>
          <w:tab w:val="left" w:pos="1080"/>
        </w:tabs>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sz w:val="24"/>
          <w:szCs w:val="24"/>
          <w:lang w:val="sr-Cyrl-RS" w:eastAsia="hr-HR"/>
        </w:rPr>
        <w:t>ПДВ</w:t>
      </w:r>
    </w:p>
    <w:p w14:paraId="3038425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79554257" w14:textId="75C5928E"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У марту су настављени позитивни трендови у наплати бруто ПДВ-а, који у континуитету трају од фебруара 2021. године. Може се примјетити да су мјесечне стопе раста и даље јако високе, но, и поред силазног тренда, далеко су изнад пројекција раста потрошње. У марту 2022. године наплата бруто ПДВ-а је расла за 23,4% у односу на наплату у марту 2021. године (Графикон 3. 7). </w:t>
      </w:r>
    </w:p>
    <w:p w14:paraId="56DEFBCA" w14:textId="77777777" w:rsidR="00EA0FD7" w:rsidRPr="00AE5455" w:rsidRDefault="00EA0FD7" w:rsidP="00EA0FD7">
      <w:pPr>
        <w:suppressLineNumbers/>
        <w:suppressAutoHyphens/>
        <w:spacing w:before="120" w:after="120" w:line="276" w:lineRule="auto"/>
        <w:jc w:val="center"/>
        <w:rPr>
          <w:rFonts w:ascii="Times New Roman" w:eastAsia="Times New Roman" w:hAnsi="Times New Roman" w:cs="Tahoma"/>
          <w:b/>
          <w:i/>
          <w:iCs/>
          <w:color w:val="000000"/>
          <w:sz w:val="20"/>
          <w:szCs w:val="20"/>
          <w:lang w:val="sr-Cyrl-RS" w:eastAsia="ar-SA"/>
        </w:rPr>
      </w:pPr>
    </w:p>
    <w:p w14:paraId="436E5BB6" w14:textId="3794583C" w:rsidR="00EA0FD7" w:rsidRDefault="00EA0FD7" w:rsidP="00EA0FD7">
      <w:pPr>
        <w:tabs>
          <w:tab w:val="left" w:pos="3950"/>
        </w:tabs>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Анализа структуре бруто ПДВ-а указује на закључак да је раст бруто наплате углавном резултат раста ПДВ-а на увоз. Позитивни трендови у наплати ПДВ-а на увоз трају у континуитету од фебруара 2021. године. У марту 2022. остварена је стопа раста од 34,7% (Графикон 3. 8, приказ лијево). </w:t>
      </w:r>
    </w:p>
    <w:p w14:paraId="5109B902" w14:textId="7D0B58F1" w:rsidR="00F42184" w:rsidRDefault="00F42184" w:rsidP="00EA0FD7">
      <w:pPr>
        <w:tabs>
          <w:tab w:val="left" w:pos="3950"/>
        </w:tabs>
        <w:spacing w:after="0" w:line="240" w:lineRule="auto"/>
        <w:jc w:val="both"/>
        <w:rPr>
          <w:rFonts w:ascii="Times New Roman" w:eastAsia="Times New Roman" w:hAnsi="Times New Roman" w:cs="Times New Roman"/>
          <w:sz w:val="24"/>
          <w:szCs w:val="24"/>
          <w:lang w:val="sr-Cyrl-RS" w:eastAsia="hr-HR"/>
        </w:rPr>
      </w:pPr>
    </w:p>
    <w:p w14:paraId="375FFFE0" w14:textId="78E8049F" w:rsidR="00F42184" w:rsidRDefault="00F42184" w:rsidP="00EA0FD7">
      <w:pPr>
        <w:tabs>
          <w:tab w:val="left" w:pos="3950"/>
        </w:tabs>
        <w:spacing w:after="0" w:line="240" w:lineRule="auto"/>
        <w:jc w:val="both"/>
        <w:rPr>
          <w:rFonts w:ascii="Times New Roman" w:eastAsia="Times New Roman" w:hAnsi="Times New Roman" w:cs="Times New Roman"/>
          <w:sz w:val="24"/>
          <w:szCs w:val="24"/>
          <w:lang w:val="sr-Cyrl-RS" w:eastAsia="hr-HR"/>
        </w:rPr>
      </w:pPr>
    </w:p>
    <w:p w14:paraId="78063634" w14:textId="215A5F34" w:rsidR="00F42184" w:rsidRDefault="00F42184" w:rsidP="00EA0FD7">
      <w:pPr>
        <w:tabs>
          <w:tab w:val="left" w:pos="3950"/>
        </w:tabs>
        <w:spacing w:after="0" w:line="240" w:lineRule="auto"/>
        <w:jc w:val="both"/>
        <w:rPr>
          <w:rFonts w:ascii="Times New Roman" w:eastAsia="Times New Roman" w:hAnsi="Times New Roman" w:cs="Times New Roman"/>
          <w:sz w:val="24"/>
          <w:szCs w:val="24"/>
          <w:lang w:val="sr-Cyrl-RS" w:eastAsia="hr-HR"/>
        </w:rPr>
      </w:pPr>
    </w:p>
    <w:p w14:paraId="2303208A" w14:textId="4A040F05" w:rsidR="00F42184" w:rsidRDefault="00F42184" w:rsidP="00EA0FD7">
      <w:pPr>
        <w:tabs>
          <w:tab w:val="left" w:pos="3950"/>
        </w:tabs>
        <w:spacing w:after="0" w:line="240" w:lineRule="auto"/>
        <w:jc w:val="both"/>
        <w:rPr>
          <w:rFonts w:ascii="Times New Roman" w:eastAsia="Times New Roman" w:hAnsi="Times New Roman" w:cs="Times New Roman"/>
          <w:sz w:val="24"/>
          <w:szCs w:val="24"/>
          <w:lang w:val="sr-Cyrl-RS" w:eastAsia="hr-HR"/>
        </w:rPr>
      </w:pPr>
    </w:p>
    <w:p w14:paraId="18C11832" w14:textId="42CA06C9" w:rsidR="00F42184" w:rsidRDefault="00F42184" w:rsidP="00EA0FD7">
      <w:pPr>
        <w:tabs>
          <w:tab w:val="left" w:pos="3950"/>
        </w:tabs>
        <w:spacing w:after="0" w:line="240" w:lineRule="auto"/>
        <w:jc w:val="both"/>
        <w:rPr>
          <w:rFonts w:ascii="Times New Roman" w:eastAsia="Times New Roman" w:hAnsi="Times New Roman" w:cs="Times New Roman"/>
          <w:sz w:val="24"/>
          <w:szCs w:val="24"/>
          <w:lang w:val="sr-Cyrl-RS" w:eastAsia="hr-HR"/>
        </w:rPr>
      </w:pPr>
    </w:p>
    <w:p w14:paraId="5B7337F1" w14:textId="6E35FA1B" w:rsidR="00F42184" w:rsidRDefault="00F42184" w:rsidP="00EA0FD7">
      <w:pPr>
        <w:tabs>
          <w:tab w:val="left" w:pos="3950"/>
        </w:tabs>
        <w:spacing w:after="0" w:line="240" w:lineRule="auto"/>
        <w:jc w:val="both"/>
        <w:rPr>
          <w:rFonts w:ascii="Times New Roman" w:eastAsia="Times New Roman" w:hAnsi="Times New Roman" w:cs="Times New Roman"/>
          <w:sz w:val="24"/>
          <w:szCs w:val="24"/>
          <w:lang w:val="sr-Cyrl-RS" w:eastAsia="hr-HR"/>
        </w:rPr>
      </w:pPr>
    </w:p>
    <w:p w14:paraId="7BC11B19" w14:textId="77777777" w:rsidR="00EA0FD7" w:rsidRPr="00EA0FD7" w:rsidRDefault="00EA0FD7" w:rsidP="00EA0FD7">
      <w:pPr>
        <w:spacing w:after="0" w:line="240" w:lineRule="auto"/>
        <w:rPr>
          <w:rFonts w:ascii="Times New Roman" w:eastAsia="Calibri" w:hAnsi="Times New Roman" w:cs="Times New Roman"/>
          <w:sz w:val="24"/>
          <w:szCs w:val="24"/>
          <w:lang w:val="sr-Cyrl-RS" w:eastAsia="hr-HR"/>
        </w:rPr>
      </w:pPr>
    </w:p>
    <w:p w14:paraId="3A3980F3" w14:textId="77777777" w:rsidR="00EA0FD7" w:rsidRPr="00EA0FD7" w:rsidRDefault="00EA0FD7" w:rsidP="00EA0FD7">
      <w:pPr>
        <w:suppressLineNumbers/>
        <w:suppressAutoHyphens/>
        <w:spacing w:after="0" w:line="240" w:lineRule="auto"/>
        <w:jc w:val="center"/>
        <w:rPr>
          <w:rFonts w:ascii="Calibri" w:eastAsia="Times New Roman" w:hAnsi="Calibri" w:cs="Tahoma"/>
          <w:bCs/>
          <w:iCs/>
          <w:sz w:val="24"/>
          <w:szCs w:val="24"/>
          <w:lang w:val="sr-Cyrl-RS" w:eastAsia="ar-SA"/>
        </w:rPr>
      </w:pPr>
      <w:bookmarkStart w:id="59" w:name="_Toc100909335"/>
      <w:r w:rsidRPr="00AE5455">
        <w:rPr>
          <w:rFonts w:ascii="Times New Roman" w:eastAsia="Times New Roman" w:hAnsi="Times New Roman" w:cs="Tahoma"/>
          <w:b/>
          <w:iCs/>
          <w:color w:val="000000"/>
          <w:sz w:val="18"/>
          <w:szCs w:val="24"/>
          <w:lang w:val="sr-Cyrl-RS" w:eastAsia="ar-SA"/>
        </w:rPr>
        <w:lastRenderedPageBreak/>
        <w:t xml:space="preserve">Графикон 3. </w:t>
      </w:r>
      <w:r w:rsidRPr="00EA0FD7">
        <w:rPr>
          <w:rFonts w:ascii="Calibri" w:eastAsia="Times New Roman" w:hAnsi="Calibri" w:cs="Tahoma"/>
          <w:i/>
          <w:iCs/>
          <w:sz w:val="24"/>
          <w:szCs w:val="24"/>
          <w:lang w:val="sr-Cyrl-RS" w:eastAsia="ar-SA"/>
        </w:rPr>
        <w:fldChar w:fldCharType="begin"/>
      </w:r>
      <w:r w:rsidRPr="00AE5455">
        <w:rPr>
          <w:rFonts w:ascii="Times New Roman" w:eastAsia="Times New Roman" w:hAnsi="Times New Roman" w:cs="Tahoma"/>
          <w:b/>
          <w:iCs/>
          <w:color w:val="000000"/>
          <w:sz w:val="18"/>
          <w:szCs w:val="24"/>
          <w:lang w:val="sr-Cyrl-RS" w:eastAsia="ar-SA"/>
        </w:rPr>
        <w:instrText xml:space="preserve"> SEQ Grafikon_ \* ARABIC </w:instrText>
      </w:r>
      <w:r w:rsidRPr="00EA0FD7">
        <w:rPr>
          <w:rFonts w:ascii="Calibri" w:eastAsia="Times New Roman" w:hAnsi="Calibri" w:cs="Tahoma"/>
          <w:i/>
          <w:iCs/>
          <w:sz w:val="24"/>
          <w:szCs w:val="24"/>
          <w:lang w:val="sr-Cyrl-RS" w:eastAsia="ar-SA"/>
        </w:rPr>
        <w:fldChar w:fldCharType="separate"/>
      </w:r>
      <w:r w:rsidRPr="00AE5455">
        <w:rPr>
          <w:rFonts w:ascii="Times New Roman" w:eastAsia="Times New Roman" w:hAnsi="Times New Roman" w:cs="Tahoma"/>
          <w:b/>
          <w:iCs/>
          <w:color w:val="000000"/>
          <w:sz w:val="18"/>
          <w:szCs w:val="24"/>
          <w:lang w:val="sr-Cyrl-RS" w:eastAsia="ar-SA"/>
        </w:rPr>
        <w:t>7</w:t>
      </w:r>
      <w:r w:rsidRPr="00EA0FD7">
        <w:rPr>
          <w:rFonts w:ascii="Calibri" w:eastAsia="Times New Roman" w:hAnsi="Calibri" w:cs="Tahoma"/>
          <w:i/>
          <w:iCs/>
          <w:sz w:val="24"/>
          <w:szCs w:val="24"/>
          <w:lang w:val="sr-Cyrl-RS" w:eastAsia="ar-SA"/>
        </w:rPr>
        <w:fldChar w:fldCharType="end"/>
      </w:r>
      <w:r w:rsidRPr="00EA0FD7">
        <w:rPr>
          <w:rFonts w:ascii="Calibri" w:eastAsia="Times New Roman" w:hAnsi="Calibri" w:cs="Tahoma"/>
          <w:b/>
          <w:iCs/>
          <w:sz w:val="24"/>
          <w:szCs w:val="24"/>
          <w:lang w:val="sr-Cyrl-RS" w:eastAsia="ar-SA"/>
        </w:rPr>
        <w:t>.</w:t>
      </w:r>
      <w:r w:rsidRPr="00EA0FD7">
        <w:rPr>
          <w:rFonts w:ascii="Calibri" w:eastAsia="Times New Roman" w:hAnsi="Calibri" w:cs="Tahoma"/>
          <w:iCs/>
          <w:sz w:val="24"/>
          <w:szCs w:val="24"/>
          <w:lang w:val="sr-Cyrl-RS" w:eastAsia="ar-SA"/>
        </w:rPr>
        <w:t xml:space="preserve"> </w:t>
      </w:r>
      <w:r w:rsidRPr="00EA0FD7">
        <w:rPr>
          <w:rFonts w:ascii="Calibri" w:eastAsia="Times New Roman" w:hAnsi="Calibri" w:cs="Tahoma"/>
          <w:bCs/>
          <w:iCs/>
          <w:sz w:val="24"/>
          <w:szCs w:val="24"/>
          <w:lang w:val="sr-Cyrl-RS" w:eastAsia="ar-SA"/>
        </w:rPr>
        <w:t>Трендови у наплати бруто ПДВ-а, м/м</w:t>
      </w:r>
      <w:bookmarkEnd w:id="59"/>
    </w:p>
    <w:tbl>
      <w:tblPr>
        <w:tblW w:w="0" w:type="auto"/>
        <w:tblInd w:w="1242" w:type="dxa"/>
        <w:shd w:val="clear" w:color="auto" w:fill="FDE9D9"/>
        <w:tblLook w:val="04A0" w:firstRow="1" w:lastRow="0" w:firstColumn="1" w:lastColumn="0" w:noHBand="0" w:noVBand="1"/>
      </w:tblPr>
      <w:tblGrid>
        <w:gridCol w:w="7513"/>
      </w:tblGrid>
      <w:tr w:rsidR="00EA0FD7" w:rsidRPr="00EA0FD7" w14:paraId="73956885" w14:textId="77777777" w:rsidTr="00EA0FD7">
        <w:trPr>
          <w:cantSplit/>
          <w:trHeight w:val="113"/>
        </w:trPr>
        <w:tc>
          <w:tcPr>
            <w:tcW w:w="7513" w:type="dxa"/>
            <w:shd w:val="clear" w:color="auto" w:fill="FDE9D9"/>
          </w:tcPr>
          <w:p w14:paraId="4B14AF49"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tc>
      </w:tr>
      <w:tr w:rsidR="00EA0FD7" w:rsidRPr="00EA0FD7" w14:paraId="7EA767E3" w14:textId="77777777" w:rsidTr="00EA0FD7">
        <w:trPr>
          <w:trHeight w:val="57"/>
        </w:trPr>
        <w:tc>
          <w:tcPr>
            <w:tcW w:w="7513" w:type="dxa"/>
            <w:shd w:val="clear" w:color="auto" w:fill="FDE9D9"/>
            <w:hideMark/>
          </w:tcPr>
          <w:p w14:paraId="45D7B0D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484C1852" wp14:editId="2A4DE4B2">
                  <wp:extent cx="4601845" cy="2773045"/>
                  <wp:effectExtent l="0" t="0" r="8255" b="825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1845" cy="2773045"/>
                          </a:xfrm>
                          <a:prstGeom prst="rect">
                            <a:avLst/>
                          </a:prstGeom>
                          <a:noFill/>
                          <a:ln>
                            <a:noFill/>
                          </a:ln>
                        </pic:spPr>
                      </pic:pic>
                    </a:graphicData>
                  </a:graphic>
                </wp:inline>
              </w:drawing>
            </w:r>
          </w:p>
        </w:tc>
      </w:tr>
      <w:tr w:rsidR="00EA0FD7" w:rsidRPr="00EA0FD7" w14:paraId="59394ED4" w14:textId="77777777" w:rsidTr="00EA0FD7">
        <w:trPr>
          <w:trHeight w:val="113"/>
        </w:trPr>
        <w:tc>
          <w:tcPr>
            <w:tcW w:w="7513" w:type="dxa"/>
            <w:shd w:val="clear" w:color="auto" w:fill="FDE9D9"/>
          </w:tcPr>
          <w:p w14:paraId="77497C7A"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tc>
      </w:tr>
    </w:tbl>
    <w:p w14:paraId="0691F442" w14:textId="0A5C392A"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Извор: Управа за индиректно </w:t>
      </w:r>
      <w:r w:rsidR="00F42184">
        <w:rPr>
          <w:rFonts w:ascii="Times New Roman" w:eastAsia="Times New Roman" w:hAnsi="Times New Roman" w:cs="Times New Roman"/>
          <w:sz w:val="20"/>
          <w:szCs w:val="20"/>
          <w:lang w:val="sr-Cyrl-RS" w:eastAsia="hr-HR"/>
        </w:rPr>
        <w:t>опорезивање</w:t>
      </w:r>
      <w:r w:rsidRPr="00EA0FD7">
        <w:rPr>
          <w:rFonts w:ascii="Times New Roman" w:eastAsia="Times New Roman" w:hAnsi="Times New Roman" w:cs="Times New Roman"/>
          <w:sz w:val="20"/>
          <w:szCs w:val="20"/>
          <w:lang w:val="sr-Cyrl-RS" w:eastAsia="hr-HR"/>
        </w:rPr>
        <w:t xml:space="preserve"> БиХ, приказ ОМА</w:t>
      </w:r>
    </w:p>
    <w:p w14:paraId="28544844" w14:textId="77777777" w:rsidR="00EA0FD7" w:rsidRPr="00EA0FD7" w:rsidRDefault="00EA0FD7" w:rsidP="00EA0FD7">
      <w:pPr>
        <w:tabs>
          <w:tab w:val="left" w:pos="3950"/>
        </w:tabs>
        <w:spacing w:after="0" w:line="240" w:lineRule="auto"/>
        <w:jc w:val="both"/>
        <w:rPr>
          <w:rFonts w:ascii="Times New Roman" w:eastAsia="Times New Roman" w:hAnsi="Times New Roman" w:cs="Times New Roman"/>
          <w:sz w:val="24"/>
          <w:szCs w:val="24"/>
          <w:lang w:val="sr-Cyrl-RS" w:eastAsia="hr-HR"/>
        </w:rPr>
      </w:pPr>
    </w:p>
    <w:p w14:paraId="44652CB3" w14:textId="77777777" w:rsidR="00EA0FD7" w:rsidRPr="00EA0FD7" w:rsidRDefault="00EA0FD7" w:rsidP="00EA0FD7">
      <w:pPr>
        <w:tabs>
          <w:tab w:val="left" w:pos="3950"/>
        </w:tabs>
        <w:spacing w:after="0" w:line="240" w:lineRule="auto"/>
        <w:jc w:val="both"/>
        <w:rPr>
          <w:rFonts w:ascii="Times New Roman" w:eastAsia="Times New Roman" w:hAnsi="Times New Roman" w:cs="Times New Roman"/>
          <w:sz w:val="24"/>
          <w:szCs w:val="24"/>
          <w:lang w:val="sr-Cyrl-RS" w:eastAsia="hr-HR"/>
        </w:rPr>
      </w:pPr>
    </w:p>
    <w:p w14:paraId="78709A41"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bookmarkStart w:id="60" w:name="_Toc100909336"/>
      <w:r w:rsidRPr="00EA0FD7">
        <w:rPr>
          <w:rFonts w:ascii="Times New Roman" w:eastAsia="Times New Roman" w:hAnsi="Times New Roman" w:cs="Times New Roman"/>
          <w:b/>
          <w:sz w:val="24"/>
          <w:szCs w:val="24"/>
          <w:lang w:val="sr-Cyrl-RS" w:eastAsia="hr-HR"/>
        </w:rPr>
        <w:t xml:space="preserve">Графикон 3. </w:t>
      </w:r>
      <w:r w:rsidRPr="00EA0FD7">
        <w:rPr>
          <w:rFonts w:ascii="Times New Roman" w:eastAsia="Times New Roman" w:hAnsi="Times New Roman" w:cs="Times New Roman"/>
          <w:sz w:val="24"/>
          <w:szCs w:val="24"/>
          <w:lang w:val="sr-Cyrl-RS" w:eastAsia="hr-HR"/>
        </w:rPr>
        <w:fldChar w:fldCharType="begin"/>
      </w:r>
      <w:r w:rsidRPr="00EA0FD7">
        <w:rPr>
          <w:rFonts w:ascii="Times New Roman" w:eastAsia="Times New Roman" w:hAnsi="Times New Roman" w:cs="Times New Roman"/>
          <w:b/>
          <w:sz w:val="24"/>
          <w:szCs w:val="24"/>
          <w:lang w:val="sr-Cyrl-RS" w:eastAsia="hr-HR"/>
        </w:rPr>
        <w:instrText xml:space="preserve"> SEQ Grafikon_ \* ARABIC </w:instrText>
      </w:r>
      <w:r w:rsidRPr="00EA0FD7">
        <w:rPr>
          <w:rFonts w:ascii="Times New Roman" w:eastAsia="Times New Roman" w:hAnsi="Times New Roman" w:cs="Times New Roman"/>
          <w:sz w:val="24"/>
          <w:szCs w:val="24"/>
          <w:lang w:val="sr-Cyrl-RS" w:eastAsia="hr-HR"/>
        </w:rPr>
        <w:fldChar w:fldCharType="separate"/>
      </w:r>
      <w:r w:rsidRPr="00EA0FD7">
        <w:rPr>
          <w:rFonts w:ascii="Times New Roman" w:eastAsia="Times New Roman" w:hAnsi="Times New Roman" w:cs="Times New Roman"/>
          <w:b/>
          <w:sz w:val="24"/>
          <w:szCs w:val="24"/>
          <w:lang w:val="sr-Cyrl-RS" w:eastAsia="hr-HR"/>
        </w:rPr>
        <w:t>8</w:t>
      </w:r>
      <w:r w:rsidRPr="00EA0FD7">
        <w:rPr>
          <w:rFonts w:ascii="Times New Roman" w:eastAsia="Times New Roman" w:hAnsi="Times New Roman" w:cs="Times New Roman"/>
          <w:sz w:val="24"/>
          <w:szCs w:val="24"/>
          <w:lang w:val="sr-Cyrl-RS" w:eastAsia="hr-HR"/>
        </w:rPr>
        <w:fldChar w:fldCharType="end"/>
      </w:r>
      <w:r w:rsidRPr="00EA0FD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Cs/>
          <w:sz w:val="24"/>
          <w:szCs w:val="24"/>
          <w:lang w:val="sr-Cyrl-RS" w:eastAsia="hr-HR"/>
        </w:rPr>
        <w:t xml:space="preserve"> Мјесечна наплата прихода од ПДВ-а на увоз и домаћег ПДВ-а</w:t>
      </w:r>
      <w:bookmarkEnd w:id="60"/>
    </w:p>
    <w:tbl>
      <w:tblPr>
        <w:tblW w:w="9780" w:type="dxa"/>
        <w:tblInd w:w="108" w:type="dxa"/>
        <w:shd w:val="clear" w:color="auto" w:fill="FDE9D9"/>
        <w:tblLayout w:type="fixed"/>
        <w:tblLook w:val="04A0" w:firstRow="1" w:lastRow="0" w:firstColumn="1" w:lastColumn="0" w:noHBand="0" w:noVBand="1"/>
      </w:tblPr>
      <w:tblGrid>
        <w:gridCol w:w="4820"/>
        <w:gridCol w:w="4960"/>
      </w:tblGrid>
      <w:tr w:rsidR="00EA0FD7" w:rsidRPr="00EA0FD7" w14:paraId="4829C044" w14:textId="77777777" w:rsidTr="00EA0FD7">
        <w:trPr>
          <w:trHeight w:hRule="exact" w:val="102"/>
        </w:trPr>
        <w:tc>
          <w:tcPr>
            <w:tcW w:w="4820" w:type="dxa"/>
            <w:shd w:val="clear" w:color="auto" w:fill="FDE9D9"/>
          </w:tcPr>
          <w:p w14:paraId="12DA978B"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66F46092"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r w:rsidR="00EA0FD7" w:rsidRPr="00EA0FD7" w14:paraId="61305F2C" w14:textId="77777777" w:rsidTr="00EA0FD7">
        <w:tc>
          <w:tcPr>
            <w:tcW w:w="4820" w:type="dxa"/>
            <w:shd w:val="clear" w:color="auto" w:fill="FDE9D9"/>
            <w:hideMark/>
          </w:tcPr>
          <w:p w14:paraId="04C1DAE1"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094B5184" wp14:editId="2982E80E">
                  <wp:extent cx="2986405" cy="2701925"/>
                  <wp:effectExtent l="0" t="0" r="4445" b="3175"/>
                  <wp:docPr id="19" name="Slika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6405" cy="2701925"/>
                          </a:xfrm>
                          <a:prstGeom prst="rect">
                            <a:avLst/>
                          </a:prstGeom>
                          <a:noFill/>
                          <a:ln>
                            <a:noFill/>
                          </a:ln>
                        </pic:spPr>
                      </pic:pic>
                    </a:graphicData>
                  </a:graphic>
                </wp:inline>
              </w:drawing>
            </w:r>
          </w:p>
        </w:tc>
        <w:tc>
          <w:tcPr>
            <w:tcW w:w="4961" w:type="dxa"/>
            <w:shd w:val="clear" w:color="auto" w:fill="FDE9D9"/>
            <w:hideMark/>
          </w:tcPr>
          <w:p w14:paraId="1BF6ABFA"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1E0D3648" wp14:editId="7BE82FC9">
                  <wp:extent cx="2986405" cy="2701925"/>
                  <wp:effectExtent l="0" t="0" r="4445" b="3175"/>
                  <wp:docPr id="20" name="Slika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6405" cy="2701925"/>
                          </a:xfrm>
                          <a:prstGeom prst="rect">
                            <a:avLst/>
                          </a:prstGeom>
                          <a:noFill/>
                          <a:ln>
                            <a:noFill/>
                          </a:ln>
                        </pic:spPr>
                      </pic:pic>
                    </a:graphicData>
                  </a:graphic>
                </wp:inline>
              </w:drawing>
            </w:r>
          </w:p>
        </w:tc>
      </w:tr>
      <w:tr w:rsidR="00EA0FD7" w:rsidRPr="00EA0FD7" w14:paraId="3211854B" w14:textId="77777777" w:rsidTr="00EA0FD7">
        <w:trPr>
          <w:trHeight w:hRule="exact" w:val="102"/>
        </w:trPr>
        <w:tc>
          <w:tcPr>
            <w:tcW w:w="4820" w:type="dxa"/>
            <w:shd w:val="clear" w:color="auto" w:fill="FDE9D9"/>
          </w:tcPr>
          <w:p w14:paraId="17C01485"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3EDFFD9F"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bl>
    <w:p w14:paraId="6533617D" w14:textId="056300E4"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Извор: Управа за индиректно </w:t>
      </w:r>
      <w:r w:rsidR="00F42184">
        <w:rPr>
          <w:rFonts w:ascii="Times New Roman" w:eastAsia="Times New Roman" w:hAnsi="Times New Roman" w:cs="Times New Roman"/>
          <w:sz w:val="20"/>
          <w:szCs w:val="20"/>
          <w:lang w:val="sr-Cyrl-RS" w:eastAsia="hr-HR"/>
        </w:rPr>
        <w:t>опорезивање</w:t>
      </w:r>
      <w:r w:rsidRPr="00EA0FD7">
        <w:rPr>
          <w:rFonts w:ascii="Times New Roman" w:eastAsia="Times New Roman" w:hAnsi="Times New Roman" w:cs="Times New Roman"/>
          <w:sz w:val="20"/>
          <w:szCs w:val="20"/>
          <w:lang w:val="sr-Cyrl-RS" w:eastAsia="hr-HR"/>
        </w:rPr>
        <w:t xml:space="preserve"> БиХ, приказ ОМА</w:t>
      </w:r>
    </w:p>
    <w:p w14:paraId="7F2FF10B" w14:textId="77777777" w:rsidR="00EA0FD7" w:rsidRPr="00EA0FD7" w:rsidRDefault="00EA0FD7" w:rsidP="00EA0FD7">
      <w:pPr>
        <w:tabs>
          <w:tab w:val="left" w:pos="3950"/>
        </w:tabs>
        <w:spacing w:after="0" w:line="240" w:lineRule="auto"/>
        <w:jc w:val="center"/>
        <w:rPr>
          <w:rFonts w:ascii="Times New Roman" w:eastAsia="Times New Roman" w:hAnsi="Times New Roman" w:cs="Times New Roman"/>
          <w:sz w:val="24"/>
          <w:szCs w:val="24"/>
          <w:lang w:val="sr-Cyrl-RS" w:eastAsia="hr-HR"/>
        </w:rPr>
      </w:pPr>
    </w:p>
    <w:p w14:paraId="70B3D020" w14:textId="47C053B9" w:rsidR="00EA0FD7" w:rsidRPr="00EA0FD7" w:rsidRDefault="00EA0FD7" w:rsidP="00EA0FD7">
      <w:pPr>
        <w:tabs>
          <w:tab w:val="left" w:pos="3950"/>
        </w:tabs>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За разлику од трендова у наплати ПДВ-а на увоз, наплата домаћег ПДВ-а биљежи скромније стопе раста у посљедњих шест мјесеци, поготово у фебруару и марту 2022.</w:t>
      </w:r>
      <w:r w:rsidR="00F42184">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године када су остварене стопе раста од 3,1% и 1,6%, респективно (Графикон 3.8, приказ десно). У првом кварталу 2022. наплата ПДВ-а на увоз је забиљежила раст од 36,4%, а домаћег ПДВ-а од 5,1% (Графикон 3.9). Преглед кварталних трендова наплате компоненти бруто ПДВ-а показује растући тренд код ПДВ-а на увоз, што је и очекивано, с обзиром на раст увоза, који је додатно подстакнут растом цијена на свјетском тржишту. Насупрот томе, код наплате домаћег ПДВ-а евидентан је силазни тренд кварталних стопа раста, што може бити посљедица пада потрошње грађана због смањења куповне моћи у условима раста инфлације коју не прати раст зарада, али и због повећаних исплата поврата ПДВ-а увозницима. Наиме, могуће је да се, страхујући од наставка раста цијена на свјетском тржишту и несташице добара, увозе веће количине добара коју не може апсорбирати тржиште у БиХ у кратком року. Будући да је у марту евидентирано 45 мил КМ неусклађених прихода, имајући у виду да се већи дио неусклађених прихода редов</w:t>
      </w:r>
      <w:r w:rsidR="00F42184">
        <w:rPr>
          <w:rFonts w:ascii="Times New Roman" w:eastAsia="Times New Roman" w:hAnsi="Times New Roman" w:cs="Times New Roman"/>
          <w:sz w:val="24"/>
          <w:szCs w:val="24"/>
          <w:lang w:val="sr-Cyrl-RS" w:eastAsia="hr-HR"/>
        </w:rPr>
        <w:t>но</w:t>
      </w:r>
      <w:r w:rsidRPr="00EA0FD7">
        <w:rPr>
          <w:rFonts w:ascii="Times New Roman" w:eastAsia="Times New Roman" w:hAnsi="Times New Roman" w:cs="Times New Roman"/>
          <w:sz w:val="24"/>
          <w:szCs w:val="24"/>
          <w:lang w:val="sr-Cyrl-RS" w:eastAsia="hr-HR"/>
        </w:rPr>
        <w:t xml:space="preserve"> односи на уплате ПДВ-а, при коначном усклађивању прихода може се </w:t>
      </w:r>
      <w:r w:rsidRPr="00EA0FD7">
        <w:rPr>
          <w:rFonts w:ascii="Times New Roman" w:eastAsia="Times New Roman" w:hAnsi="Times New Roman" w:cs="Times New Roman"/>
          <w:sz w:val="24"/>
          <w:szCs w:val="24"/>
          <w:lang w:val="sr-Cyrl-RS" w:eastAsia="hr-HR"/>
        </w:rPr>
        <w:lastRenderedPageBreak/>
        <w:t>очекивати и виша стопа раста домаћег ПДВ-а у марту 2022. године, а тиме и повећање стоп</w:t>
      </w:r>
      <w:bookmarkStart w:id="61" w:name="_Toc100909337"/>
      <w:r w:rsidRPr="00EA0FD7">
        <w:rPr>
          <w:rFonts w:ascii="Times New Roman" w:eastAsia="Times New Roman" w:hAnsi="Times New Roman" w:cs="Times New Roman"/>
          <w:sz w:val="24"/>
          <w:szCs w:val="24"/>
          <w:lang w:val="sr-Cyrl-RS" w:eastAsia="hr-HR"/>
        </w:rPr>
        <w:t>е раста у првом кварталу 2022.</w:t>
      </w:r>
      <w:r w:rsidR="00F42184">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године.</w:t>
      </w:r>
    </w:p>
    <w:p w14:paraId="3D444EF1" w14:textId="77777777" w:rsidR="00EA0FD7" w:rsidRPr="00AE5455" w:rsidRDefault="00EA0FD7" w:rsidP="00EA0FD7">
      <w:pPr>
        <w:tabs>
          <w:tab w:val="left" w:pos="3950"/>
        </w:tabs>
        <w:spacing w:after="0" w:line="240" w:lineRule="auto"/>
        <w:jc w:val="both"/>
        <w:rPr>
          <w:rFonts w:ascii="Times New Roman" w:eastAsia="Times New Roman" w:hAnsi="Times New Roman" w:cs="Times New Roman"/>
          <w:color w:val="000000"/>
          <w:sz w:val="18"/>
          <w:szCs w:val="24"/>
          <w:lang w:val="sr-Cyrl-RS" w:eastAsia="hr-HR"/>
        </w:rPr>
      </w:pPr>
    </w:p>
    <w:p w14:paraId="00953C03" w14:textId="77777777" w:rsidR="00EA0FD7" w:rsidRPr="00EA0FD7" w:rsidRDefault="00EA0FD7" w:rsidP="00EA0FD7">
      <w:pPr>
        <w:suppressLineNumbers/>
        <w:suppressAutoHyphens/>
        <w:spacing w:after="0" w:line="240" w:lineRule="auto"/>
        <w:jc w:val="center"/>
        <w:rPr>
          <w:rFonts w:ascii="Calibri" w:eastAsia="Times New Roman" w:hAnsi="Calibri" w:cs="Tahoma"/>
          <w:bCs/>
          <w:iCs/>
          <w:sz w:val="24"/>
          <w:szCs w:val="24"/>
          <w:lang w:val="sr-Cyrl-RS" w:eastAsia="ar-SA"/>
        </w:rPr>
      </w:pPr>
      <w:r w:rsidRPr="00AE5455">
        <w:rPr>
          <w:rFonts w:ascii="Times New Roman" w:eastAsia="Times New Roman" w:hAnsi="Times New Roman" w:cs="Times New Roman"/>
          <w:b/>
          <w:iCs/>
          <w:color w:val="000000"/>
          <w:sz w:val="18"/>
          <w:szCs w:val="24"/>
          <w:lang w:val="sr-Cyrl-RS" w:eastAsia="ar-SA"/>
        </w:rPr>
        <w:t>Графикон 3.</w:t>
      </w:r>
      <w:r w:rsidRPr="00EA0FD7">
        <w:rPr>
          <w:rFonts w:ascii="Calibri" w:eastAsia="Times New Roman" w:hAnsi="Calibri" w:cs="Tahoma"/>
          <w:i/>
          <w:iCs/>
          <w:sz w:val="24"/>
          <w:szCs w:val="24"/>
          <w:lang w:val="sr-Cyrl-RS" w:eastAsia="ar-SA"/>
        </w:rPr>
        <w:fldChar w:fldCharType="begin"/>
      </w:r>
      <w:r w:rsidRPr="00AE5455">
        <w:rPr>
          <w:rFonts w:ascii="Times New Roman" w:eastAsia="Times New Roman" w:hAnsi="Times New Roman" w:cs="Times New Roman"/>
          <w:b/>
          <w:iCs/>
          <w:color w:val="000000"/>
          <w:sz w:val="18"/>
          <w:szCs w:val="24"/>
          <w:lang w:val="sr-Cyrl-RS" w:eastAsia="ar-SA"/>
        </w:rPr>
        <w:instrText xml:space="preserve"> SEQ Grafikon_ \* ARABIC </w:instrText>
      </w:r>
      <w:r w:rsidRPr="00EA0FD7">
        <w:rPr>
          <w:rFonts w:ascii="Calibri" w:eastAsia="Times New Roman" w:hAnsi="Calibri" w:cs="Tahoma"/>
          <w:i/>
          <w:iCs/>
          <w:sz w:val="24"/>
          <w:szCs w:val="24"/>
          <w:lang w:val="sr-Cyrl-RS" w:eastAsia="ar-SA"/>
        </w:rPr>
        <w:fldChar w:fldCharType="separate"/>
      </w:r>
      <w:r w:rsidRPr="00AE5455">
        <w:rPr>
          <w:rFonts w:ascii="Times New Roman" w:eastAsia="Times New Roman" w:hAnsi="Times New Roman" w:cs="Times New Roman"/>
          <w:b/>
          <w:iCs/>
          <w:color w:val="000000"/>
          <w:sz w:val="18"/>
          <w:szCs w:val="24"/>
          <w:lang w:val="sr-Cyrl-RS" w:eastAsia="ar-SA"/>
        </w:rPr>
        <w:t>9</w:t>
      </w:r>
      <w:r w:rsidRPr="00EA0FD7">
        <w:rPr>
          <w:rFonts w:ascii="Calibri" w:eastAsia="Times New Roman" w:hAnsi="Calibri" w:cs="Tahoma"/>
          <w:i/>
          <w:iCs/>
          <w:sz w:val="24"/>
          <w:szCs w:val="24"/>
          <w:lang w:val="sr-Cyrl-RS" w:eastAsia="ar-SA"/>
        </w:rPr>
        <w:fldChar w:fldCharType="end"/>
      </w:r>
      <w:r w:rsidRPr="00EA0FD7">
        <w:rPr>
          <w:rFonts w:ascii="Times New Roman" w:eastAsia="Times New Roman" w:hAnsi="Times New Roman" w:cs="Times New Roman"/>
          <w:b/>
          <w:iCs/>
          <w:sz w:val="24"/>
          <w:szCs w:val="24"/>
          <w:lang w:val="sr-Cyrl-RS" w:eastAsia="ar-SA"/>
        </w:rPr>
        <w:t xml:space="preserve">. </w:t>
      </w:r>
      <w:r w:rsidRPr="00EA0FD7">
        <w:rPr>
          <w:rFonts w:ascii="Times New Roman" w:eastAsia="Times New Roman" w:hAnsi="Times New Roman" w:cs="Times New Roman"/>
          <w:bCs/>
          <w:iCs/>
          <w:sz w:val="24"/>
          <w:szCs w:val="24"/>
          <w:lang w:val="sr-Cyrl-RS" w:eastAsia="ar-SA"/>
        </w:rPr>
        <w:t>Квартални трендови у наплати компоненти бруто ПДВ-а</w:t>
      </w:r>
      <w:bookmarkEnd w:id="61"/>
    </w:p>
    <w:tbl>
      <w:tblPr>
        <w:tblW w:w="0" w:type="auto"/>
        <w:tblInd w:w="1242" w:type="dxa"/>
        <w:shd w:val="clear" w:color="auto" w:fill="FDE9D9"/>
        <w:tblLook w:val="04A0" w:firstRow="1" w:lastRow="0" w:firstColumn="1" w:lastColumn="0" w:noHBand="0" w:noVBand="1"/>
      </w:tblPr>
      <w:tblGrid>
        <w:gridCol w:w="7513"/>
      </w:tblGrid>
      <w:tr w:rsidR="00EA0FD7" w:rsidRPr="00EA0FD7" w14:paraId="46FD2DC2" w14:textId="77777777" w:rsidTr="00EA0FD7">
        <w:trPr>
          <w:cantSplit/>
          <w:trHeight w:val="113"/>
        </w:trPr>
        <w:tc>
          <w:tcPr>
            <w:tcW w:w="7513" w:type="dxa"/>
            <w:shd w:val="clear" w:color="auto" w:fill="FDE9D9"/>
          </w:tcPr>
          <w:p w14:paraId="782BE500"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tc>
      </w:tr>
      <w:tr w:rsidR="00EA0FD7" w:rsidRPr="00EA0FD7" w14:paraId="6AD617AF" w14:textId="77777777" w:rsidTr="00EA0FD7">
        <w:trPr>
          <w:trHeight w:val="57"/>
        </w:trPr>
        <w:tc>
          <w:tcPr>
            <w:tcW w:w="7513" w:type="dxa"/>
            <w:shd w:val="clear" w:color="auto" w:fill="FDE9D9"/>
            <w:hideMark/>
          </w:tcPr>
          <w:p w14:paraId="79D13B1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157E24BD" wp14:editId="23541DBC">
                  <wp:extent cx="4589780" cy="2760980"/>
                  <wp:effectExtent l="0" t="0" r="1270" b="127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9780" cy="2760980"/>
                          </a:xfrm>
                          <a:prstGeom prst="rect">
                            <a:avLst/>
                          </a:prstGeom>
                          <a:noFill/>
                          <a:ln>
                            <a:noFill/>
                          </a:ln>
                        </pic:spPr>
                      </pic:pic>
                    </a:graphicData>
                  </a:graphic>
                </wp:inline>
              </w:drawing>
            </w:r>
          </w:p>
        </w:tc>
      </w:tr>
      <w:tr w:rsidR="00EA0FD7" w:rsidRPr="00EA0FD7" w14:paraId="62A9026C" w14:textId="77777777" w:rsidTr="00EA0FD7">
        <w:trPr>
          <w:trHeight w:val="113"/>
        </w:trPr>
        <w:tc>
          <w:tcPr>
            <w:tcW w:w="7513" w:type="dxa"/>
            <w:shd w:val="clear" w:color="auto" w:fill="FDE9D9"/>
          </w:tcPr>
          <w:p w14:paraId="3257857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tc>
      </w:tr>
    </w:tbl>
    <w:p w14:paraId="08CEC64D" w14:textId="41E806D8"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Извор: Управа за индиректно </w:t>
      </w:r>
      <w:r w:rsidR="00F42184">
        <w:rPr>
          <w:rFonts w:ascii="Times New Roman" w:eastAsia="Times New Roman" w:hAnsi="Times New Roman" w:cs="Times New Roman"/>
          <w:sz w:val="20"/>
          <w:szCs w:val="20"/>
          <w:lang w:val="sr-Cyrl-RS" w:eastAsia="hr-HR"/>
        </w:rPr>
        <w:t>опорезивање</w:t>
      </w:r>
      <w:r w:rsidRPr="00EA0FD7">
        <w:rPr>
          <w:rFonts w:ascii="Times New Roman" w:eastAsia="Times New Roman" w:hAnsi="Times New Roman" w:cs="Times New Roman"/>
          <w:sz w:val="20"/>
          <w:szCs w:val="20"/>
          <w:lang w:val="sr-Cyrl-RS" w:eastAsia="hr-HR"/>
        </w:rPr>
        <w:t xml:space="preserve"> БиХ, приказ ОМА</w:t>
      </w:r>
    </w:p>
    <w:p w14:paraId="7F9A1C02"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56318717"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Исплате поврата ПДВ-а у марту 2022. године су биле чак за 43,4% веће него у истом мјесецу 2021. године (Графикон 3. 10, приказ лијево). У првом кварталу 2022. године забиљежен је раст поврата од 38,1% (Графикон 3.10, приказ десно). </w:t>
      </w:r>
    </w:p>
    <w:p w14:paraId="45185BB1" w14:textId="77777777" w:rsidR="00EA0FD7" w:rsidRPr="00EA0FD7" w:rsidRDefault="00EA0FD7" w:rsidP="00EA0FD7">
      <w:pPr>
        <w:tabs>
          <w:tab w:val="left" w:pos="1080"/>
        </w:tabs>
        <w:spacing w:after="0" w:line="240" w:lineRule="auto"/>
        <w:jc w:val="center"/>
        <w:rPr>
          <w:rFonts w:ascii="Times New Roman" w:eastAsia="Times New Roman" w:hAnsi="Times New Roman" w:cs="Times New Roman"/>
          <w:sz w:val="24"/>
          <w:szCs w:val="24"/>
          <w:lang w:val="sr-Cyrl-RS" w:eastAsia="hr-HR"/>
        </w:rPr>
      </w:pPr>
    </w:p>
    <w:p w14:paraId="52826313"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bookmarkStart w:id="62" w:name="_Toc100909338"/>
      <w:r w:rsidRPr="00EA0FD7">
        <w:rPr>
          <w:rFonts w:ascii="Times New Roman" w:eastAsia="Times New Roman" w:hAnsi="Times New Roman" w:cs="Times New Roman"/>
          <w:b/>
          <w:sz w:val="24"/>
          <w:szCs w:val="24"/>
          <w:lang w:val="sr-Cyrl-RS" w:eastAsia="hr-HR"/>
        </w:rPr>
        <w:t xml:space="preserve">Графикон 3. </w:t>
      </w:r>
      <w:r w:rsidRPr="00EA0FD7">
        <w:rPr>
          <w:rFonts w:ascii="Times New Roman" w:eastAsia="Times New Roman" w:hAnsi="Times New Roman" w:cs="Times New Roman"/>
          <w:sz w:val="24"/>
          <w:szCs w:val="24"/>
          <w:lang w:val="sr-Cyrl-RS" w:eastAsia="hr-HR"/>
        </w:rPr>
        <w:fldChar w:fldCharType="begin"/>
      </w:r>
      <w:r w:rsidRPr="00EA0FD7">
        <w:rPr>
          <w:rFonts w:ascii="Times New Roman" w:eastAsia="Times New Roman" w:hAnsi="Times New Roman" w:cs="Times New Roman"/>
          <w:b/>
          <w:sz w:val="24"/>
          <w:szCs w:val="24"/>
          <w:lang w:val="sr-Cyrl-RS" w:eastAsia="hr-HR"/>
        </w:rPr>
        <w:instrText xml:space="preserve"> SEQ Grafikon_ \* ARABIC </w:instrText>
      </w:r>
      <w:r w:rsidRPr="00EA0FD7">
        <w:rPr>
          <w:rFonts w:ascii="Times New Roman" w:eastAsia="Times New Roman" w:hAnsi="Times New Roman" w:cs="Times New Roman"/>
          <w:sz w:val="24"/>
          <w:szCs w:val="24"/>
          <w:lang w:val="sr-Cyrl-RS" w:eastAsia="hr-HR"/>
        </w:rPr>
        <w:fldChar w:fldCharType="separate"/>
      </w:r>
      <w:r w:rsidRPr="00EA0FD7">
        <w:rPr>
          <w:rFonts w:ascii="Times New Roman" w:eastAsia="Times New Roman" w:hAnsi="Times New Roman" w:cs="Times New Roman"/>
          <w:b/>
          <w:sz w:val="24"/>
          <w:szCs w:val="24"/>
          <w:lang w:val="sr-Cyrl-RS" w:eastAsia="hr-HR"/>
        </w:rPr>
        <w:t>10</w:t>
      </w:r>
      <w:r w:rsidRPr="00EA0FD7">
        <w:rPr>
          <w:rFonts w:ascii="Times New Roman" w:eastAsia="Times New Roman" w:hAnsi="Times New Roman" w:cs="Times New Roman"/>
          <w:sz w:val="24"/>
          <w:szCs w:val="24"/>
          <w:lang w:val="sr-Cyrl-RS" w:eastAsia="hr-HR"/>
        </w:rPr>
        <w:fldChar w:fldCharType="end"/>
      </w:r>
      <w:r w:rsidRPr="00EA0FD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
          <w:bCs/>
          <w:sz w:val="24"/>
          <w:szCs w:val="24"/>
          <w:lang w:val="sr-Cyrl-RS" w:eastAsia="hr-HR"/>
        </w:rPr>
        <w:t xml:space="preserve"> </w:t>
      </w:r>
      <w:r w:rsidRPr="00EA0FD7">
        <w:rPr>
          <w:rFonts w:ascii="Times New Roman" w:eastAsia="Times New Roman" w:hAnsi="Times New Roman" w:cs="Times New Roman"/>
          <w:bCs/>
          <w:sz w:val="24"/>
          <w:szCs w:val="24"/>
          <w:lang w:val="sr-Cyrl-RS" w:eastAsia="hr-HR"/>
        </w:rPr>
        <w:t>Трендови у исплати ПДВ поврата</w:t>
      </w:r>
      <w:bookmarkEnd w:id="62"/>
    </w:p>
    <w:tbl>
      <w:tblPr>
        <w:tblW w:w="9780" w:type="dxa"/>
        <w:tblInd w:w="108" w:type="dxa"/>
        <w:shd w:val="clear" w:color="auto" w:fill="FDE9D9"/>
        <w:tblLayout w:type="fixed"/>
        <w:tblLook w:val="04A0" w:firstRow="1" w:lastRow="0" w:firstColumn="1" w:lastColumn="0" w:noHBand="0" w:noVBand="1"/>
      </w:tblPr>
      <w:tblGrid>
        <w:gridCol w:w="4820"/>
        <w:gridCol w:w="4960"/>
      </w:tblGrid>
      <w:tr w:rsidR="00EA0FD7" w:rsidRPr="00EA0FD7" w14:paraId="113B16A9" w14:textId="77777777" w:rsidTr="00EA0FD7">
        <w:trPr>
          <w:trHeight w:hRule="exact" w:val="102"/>
        </w:trPr>
        <w:tc>
          <w:tcPr>
            <w:tcW w:w="4820" w:type="dxa"/>
            <w:shd w:val="clear" w:color="auto" w:fill="FDE9D9"/>
          </w:tcPr>
          <w:p w14:paraId="6F1FBE92"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2FDECBBE"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r w:rsidR="00EA0FD7" w:rsidRPr="00EA0FD7" w14:paraId="3A8449E5" w14:textId="77777777" w:rsidTr="00EA0FD7">
        <w:tc>
          <w:tcPr>
            <w:tcW w:w="4820" w:type="dxa"/>
            <w:shd w:val="clear" w:color="auto" w:fill="FDE9D9"/>
            <w:hideMark/>
          </w:tcPr>
          <w:p w14:paraId="22E114AF"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6D057C2D" wp14:editId="0679C41C">
                  <wp:extent cx="2986405" cy="2737485"/>
                  <wp:effectExtent l="0" t="0" r="4445" b="5715"/>
                  <wp:docPr id="22" name="Slika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6405" cy="2737485"/>
                          </a:xfrm>
                          <a:prstGeom prst="rect">
                            <a:avLst/>
                          </a:prstGeom>
                          <a:noFill/>
                          <a:ln>
                            <a:noFill/>
                          </a:ln>
                        </pic:spPr>
                      </pic:pic>
                    </a:graphicData>
                  </a:graphic>
                </wp:inline>
              </w:drawing>
            </w:r>
          </w:p>
        </w:tc>
        <w:tc>
          <w:tcPr>
            <w:tcW w:w="4961" w:type="dxa"/>
            <w:shd w:val="clear" w:color="auto" w:fill="FDE9D9"/>
            <w:hideMark/>
          </w:tcPr>
          <w:p w14:paraId="2FE33566"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08652018" wp14:editId="2A8CFBDB">
                  <wp:extent cx="2986405" cy="2737485"/>
                  <wp:effectExtent l="0" t="0" r="4445" b="5715"/>
                  <wp:docPr id="23" name="Slika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6405" cy="2737485"/>
                          </a:xfrm>
                          <a:prstGeom prst="rect">
                            <a:avLst/>
                          </a:prstGeom>
                          <a:noFill/>
                          <a:ln>
                            <a:noFill/>
                          </a:ln>
                        </pic:spPr>
                      </pic:pic>
                    </a:graphicData>
                  </a:graphic>
                </wp:inline>
              </w:drawing>
            </w:r>
          </w:p>
        </w:tc>
      </w:tr>
      <w:tr w:rsidR="00EA0FD7" w:rsidRPr="00EA0FD7" w14:paraId="021C60B8" w14:textId="77777777" w:rsidTr="00EA0FD7">
        <w:trPr>
          <w:trHeight w:hRule="exact" w:val="102"/>
        </w:trPr>
        <w:tc>
          <w:tcPr>
            <w:tcW w:w="4820" w:type="dxa"/>
            <w:shd w:val="clear" w:color="auto" w:fill="FDE9D9"/>
          </w:tcPr>
          <w:p w14:paraId="0013A6BE"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0CF0849E"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bl>
    <w:p w14:paraId="15B72046" w14:textId="369054F3"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Извор: Управа за индиректно </w:t>
      </w:r>
      <w:r w:rsidR="00F42184">
        <w:rPr>
          <w:rFonts w:ascii="Times New Roman" w:eastAsia="Times New Roman" w:hAnsi="Times New Roman" w:cs="Times New Roman"/>
          <w:sz w:val="20"/>
          <w:szCs w:val="20"/>
          <w:lang w:val="sr-Cyrl-RS" w:eastAsia="hr-HR"/>
        </w:rPr>
        <w:t>опорезивање</w:t>
      </w:r>
      <w:r w:rsidRPr="00EA0FD7">
        <w:rPr>
          <w:rFonts w:ascii="Times New Roman" w:eastAsia="Times New Roman" w:hAnsi="Times New Roman" w:cs="Times New Roman"/>
          <w:sz w:val="20"/>
          <w:szCs w:val="20"/>
          <w:lang w:val="sr-Cyrl-RS" w:eastAsia="hr-HR"/>
        </w:rPr>
        <w:t xml:space="preserve"> БиХ, приказ ОМА</w:t>
      </w:r>
    </w:p>
    <w:p w14:paraId="2D5DCBE8" w14:textId="77777777" w:rsidR="00EA0FD7" w:rsidRPr="00EA0FD7" w:rsidRDefault="00EA0FD7" w:rsidP="00EA0FD7">
      <w:pPr>
        <w:tabs>
          <w:tab w:val="left" w:pos="1080"/>
        </w:tabs>
        <w:spacing w:after="0" w:line="240" w:lineRule="auto"/>
        <w:jc w:val="center"/>
        <w:rPr>
          <w:rFonts w:ascii="Times New Roman" w:eastAsia="Times New Roman" w:hAnsi="Times New Roman" w:cs="Times New Roman"/>
          <w:sz w:val="24"/>
          <w:szCs w:val="24"/>
          <w:lang w:val="sr-Cyrl-RS" w:eastAsia="hr-HR"/>
        </w:rPr>
      </w:pPr>
    </w:p>
    <w:p w14:paraId="02645D98" w14:textId="3CBE48DD"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првом кварталу 2022. године обвезницима је враћено 158,3 мил</w:t>
      </w:r>
      <w:r w:rsidR="00F42184">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КМ поврата ПДВ-а више него у истом периоду 2021. године, док су исплате поврата међународним пројектима биле мање за 23,7 мил</w:t>
      </w:r>
      <w:r w:rsidR="00F42184">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КМ.</w:t>
      </w:r>
    </w:p>
    <w:p w14:paraId="5F67371B"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5B9EB11" w14:textId="2A5711F4"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lastRenderedPageBreak/>
        <w:t xml:space="preserve">Потребно је нагласити да се по први пут у аналитици поврата ПДВ-а јављају поврати који су извршени страним </w:t>
      </w:r>
      <w:r w:rsidRPr="00AE5455">
        <w:rPr>
          <w:rFonts w:ascii="Times New Roman" w:eastAsia="Times New Roman" w:hAnsi="Times New Roman" w:cs="Times New Roman"/>
          <w:sz w:val="24"/>
          <w:szCs w:val="24"/>
          <w:lang w:val="sr-Cyrl-RS" w:eastAsia="hr-HR"/>
        </w:rPr>
        <w:t>пореск</w:t>
      </w:r>
      <w:r w:rsidRPr="00EA0FD7">
        <w:rPr>
          <w:rFonts w:ascii="Times New Roman" w:eastAsia="Times New Roman" w:hAnsi="Times New Roman" w:cs="Times New Roman"/>
          <w:sz w:val="24"/>
          <w:szCs w:val="24"/>
          <w:lang w:val="sr-Cyrl-RS" w:eastAsia="hr-HR"/>
        </w:rPr>
        <w:t>им обвезницима</w:t>
      </w:r>
      <w:r w:rsidRPr="00AE5455">
        <w:rPr>
          <w:rFonts w:ascii="Times New Roman" w:eastAsia="Times New Roman" w:hAnsi="Times New Roman" w:cs="Times New Roman"/>
          <w:sz w:val="24"/>
          <w:szCs w:val="24"/>
          <w:vertAlign w:val="superscript"/>
          <w:lang w:val="sr-Cyrl-RS" w:eastAsia="hr-HR"/>
        </w:rPr>
        <w:footnoteReference w:id="48"/>
      </w:r>
      <w:r w:rsidRPr="00EA0FD7">
        <w:rPr>
          <w:rFonts w:ascii="Times New Roman" w:eastAsia="Times New Roman" w:hAnsi="Times New Roman" w:cs="Times New Roman"/>
          <w:sz w:val="24"/>
          <w:szCs w:val="24"/>
          <w:lang w:val="sr-Cyrl-RS" w:eastAsia="hr-HR"/>
        </w:rPr>
        <w:t xml:space="preserve">. </w:t>
      </w:r>
    </w:p>
    <w:p w14:paraId="187BB702"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5D28744F" w14:textId="6AFE1149"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Због снажног раста исплата поврата удио кумулатива поврата ПДВ-а у кумулативу бруто ПДВ у првом кварталу 2022. године износи 29,6%, што је за 3,3 п.</w:t>
      </w:r>
      <w:r w:rsidR="00F42184">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п. изнад удјела у истом периоду 2021. године. Висок удио поврата у бруто наплати ПДВ-а у првом кварталу посљедица је снажног раста извоза и увоза у посљедња два мјесеца 2021. године и у прва два мјесеца 2022. године.</w:t>
      </w:r>
      <w:r w:rsidRPr="00AE5455">
        <w:rPr>
          <w:rFonts w:ascii="Times New Roman" w:eastAsia="Times New Roman" w:hAnsi="Times New Roman" w:cs="Times New Roman"/>
          <w:sz w:val="24"/>
          <w:szCs w:val="24"/>
          <w:vertAlign w:val="superscript"/>
          <w:lang w:val="sr-Cyrl-RS" w:eastAsia="hr-HR"/>
        </w:rPr>
        <w:footnoteReference w:id="49"/>
      </w:r>
    </w:p>
    <w:p w14:paraId="7402D775"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C109EC3" w14:textId="2C52D5C3"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Висок раст исплата поврата је у само мањој мјери умањио нето ефекте наплате ПДВ-а, будући да је истовремено остварена и висока бруто наплата. У марту је остварен раст нето ПДВ-а од 16,3% (Графикон 3.11, приказ лијево). На нивоу првог квартала 2022. године забиљежен је раст од 17,3%, што је идентично стопи раста у четвртом кварталу 2021. године (Графикон 3.11, приказ десно). С обзиром да је у марту евидентирано 45 мил</w:t>
      </w:r>
      <w:r w:rsidR="00F42184">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КМ неусклађених прихода, могу се очекивати и знатно више мјесечне и кумулативне стопе раста нето ПДВ-а у првом кварталу 2022. године јер се већи дио неусклађених прихода редов</w:t>
      </w:r>
      <w:r w:rsidR="00F42184">
        <w:rPr>
          <w:rFonts w:ascii="Times New Roman" w:eastAsia="Times New Roman" w:hAnsi="Times New Roman" w:cs="Times New Roman"/>
          <w:sz w:val="24"/>
          <w:szCs w:val="24"/>
          <w:lang w:val="sr-Cyrl-RS" w:eastAsia="hr-HR"/>
        </w:rPr>
        <w:t>но</w:t>
      </w:r>
      <w:r w:rsidRPr="00EA0FD7">
        <w:rPr>
          <w:rFonts w:ascii="Times New Roman" w:eastAsia="Times New Roman" w:hAnsi="Times New Roman" w:cs="Times New Roman"/>
          <w:sz w:val="24"/>
          <w:szCs w:val="24"/>
          <w:lang w:val="sr-Cyrl-RS" w:eastAsia="hr-HR"/>
        </w:rPr>
        <w:t xml:space="preserve"> односи на уплате ПДВ-а. </w:t>
      </w:r>
    </w:p>
    <w:p w14:paraId="14A7710A" w14:textId="77777777" w:rsidR="00EA0FD7" w:rsidRPr="00EA0FD7" w:rsidRDefault="00EA0FD7" w:rsidP="00EA0FD7">
      <w:pPr>
        <w:tabs>
          <w:tab w:val="left" w:pos="1080"/>
        </w:tabs>
        <w:spacing w:after="0" w:line="240" w:lineRule="auto"/>
        <w:jc w:val="both"/>
        <w:rPr>
          <w:rFonts w:ascii="Times New Roman" w:eastAsia="Times New Roman" w:hAnsi="Times New Roman" w:cs="Times New Roman"/>
          <w:sz w:val="24"/>
          <w:szCs w:val="24"/>
          <w:lang w:val="sr-Cyrl-RS" w:eastAsia="hr-HR"/>
        </w:rPr>
      </w:pPr>
    </w:p>
    <w:p w14:paraId="76A84A12" w14:textId="77777777" w:rsidR="00EA0FD7" w:rsidRPr="00EA0FD7" w:rsidRDefault="00EA0FD7" w:rsidP="00EA0FD7">
      <w:pPr>
        <w:tabs>
          <w:tab w:val="left" w:pos="1080"/>
        </w:tabs>
        <w:spacing w:after="0" w:line="240" w:lineRule="auto"/>
        <w:jc w:val="both"/>
        <w:rPr>
          <w:rFonts w:ascii="Times New Roman" w:eastAsia="Times New Roman" w:hAnsi="Times New Roman" w:cs="Times New Roman"/>
          <w:sz w:val="24"/>
          <w:szCs w:val="24"/>
          <w:lang w:val="sr-Cyrl-RS" w:eastAsia="hr-HR"/>
        </w:rPr>
      </w:pPr>
    </w:p>
    <w:p w14:paraId="312E92A5"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bookmarkStart w:id="64" w:name="_Toc100909339"/>
      <w:r w:rsidRPr="00EA0FD7">
        <w:rPr>
          <w:rFonts w:ascii="Times New Roman" w:eastAsia="Times New Roman" w:hAnsi="Times New Roman" w:cs="Times New Roman"/>
          <w:b/>
          <w:sz w:val="24"/>
          <w:szCs w:val="24"/>
          <w:lang w:val="sr-Cyrl-RS" w:eastAsia="hr-HR"/>
        </w:rPr>
        <w:t xml:space="preserve">Графикон 3. </w:t>
      </w:r>
      <w:r w:rsidRPr="00EA0FD7">
        <w:rPr>
          <w:rFonts w:ascii="Times New Roman" w:eastAsia="Times New Roman" w:hAnsi="Times New Roman" w:cs="Times New Roman"/>
          <w:sz w:val="24"/>
          <w:szCs w:val="24"/>
          <w:lang w:val="sr-Cyrl-RS" w:eastAsia="hr-HR"/>
        </w:rPr>
        <w:fldChar w:fldCharType="begin"/>
      </w:r>
      <w:r w:rsidRPr="00EA0FD7">
        <w:rPr>
          <w:rFonts w:ascii="Times New Roman" w:eastAsia="Times New Roman" w:hAnsi="Times New Roman" w:cs="Times New Roman"/>
          <w:b/>
          <w:sz w:val="24"/>
          <w:szCs w:val="24"/>
          <w:lang w:val="sr-Cyrl-RS" w:eastAsia="hr-HR"/>
        </w:rPr>
        <w:instrText xml:space="preserve"> SEQ Grafikon_ \* ARABIC </w:instrText>
      </w:r>
      <w:r w:rsidRPr="00EA0FD7">
        <w:rPr>
          <w:rFonts w:ascii="Times New Roman" w:eastAsia="Times New Roman" w:hAnsi="Times New Roman" w:cs="Times New Roman"/>
          <w:sz w:val="24"/>
          <w:szCs w:val="24"/>
          <w:lang w:val="sr-Cyrl-RS" w:eastAsia="hr-HR"/>
        </w:rPr>
        <w:fldChar w:fldCharType="separate"/>
      </w:r>
      <w:r w:rsidRPr="00EA0FD7">
        <w:rPr>
          <w:rFonts w:ascii="Times New Roman" w:eastAsia="Times New Roman" w:hAnsi="Times New Roman" w:cs="Times New Roman"/>
          <w:b/>
          <w:sz w:val="24"/>
          <w:szCs w:val="24"/>
          <w:lang w:val="sr-Cyrl-RS" w:eastAsia="hr-HR"/>
        </w:rPr>
        <w:t>11</w:t>
      </w:r>
      <w:r w:rsidRPr="00EA0FD7">
        <w:rPr>
          <w:rFonts w:ascii="Times New Roman" w:eastAsia="Times New Roman" w:hAnsi="Times New Roman" w:cs="Times New Roman"/>
          <w:sz w:val="24"/>
          <w:szCs w:val="24"/>
          <w:lang w:val="sr-Cyrl-RS" w:eastAsia="hr-HR"/>
        </w:rPr>
        <w:fldChar w:fldCharType="end"/>
      </w:r>
      <w:r w:rsidRPr="00EA0FD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Cs/>
          <w:sz w:val="24"/>
          <w:szCs w:val="24"/>
          <w:lang w:val="sr-Cyrl-RS" w:eastAsia="hr-HR"/>
        </w:rPr>
        <w:t xml:space="preserve"> Трендови у наплати нето ПДВ-а</w:t>
      </w:r>
      <w:bookmarkEnd w:id="64"/>
    </w:p>
    <w:tbl>
      <w:tblPr>
        <w:tblW w:w="9780" w:type="dxa"/>
        <w:tblInd w:w="108" w:type="dxa"/>
        <w:shd w:val="clear" w:color="auto" w:fill="FDE9D9"/>
        <w:tblLayout w:type="fixed"/>
        <w:tblLook w:val="04A0" w:firstRow="1" w:lastRow="0" w:firstColumn="1" w:lastColumn="0" w:noHBand="0" w:noVBand="1"/>
      </w:tblPr>
      <w:tblGrid>
        <w:gridCol w:w="4820"/>
        <w:gridCol w:w="4960"/>
      </w:tblGrid>
      <w:tr w:rsidR="00EA0FD7" w:rsidRPr="00EA0FD7" w14:paraId="42D23786" w14:textId="77777777" w:rsidTr="00EA0FD7">
        <w:trPr>
          <w:trHeight w:hRule="exact" w:val="102"/>
        </w:trPr>
        <w:tc>
          <w:tcPr>
            <w:tcW w:w="4820" w:type="dxa"/>
            <w:shd w:val="clear" w:color="auto" w:fill="FDE9D9"/>
          </w:tcPr>
          <w:p w14:paraId="62BC9264"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7748E6FC"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r w:rsidR="00EA0FD7" w:rsidRPr="00EA0FD7" w14:paraId="41579746" w14:textId="77777777" w:rsidTr="00EA0FD7">
        <w:tc>
          <w:tcPr>
            <w:tcW w:w="4820" w:type="dxa"/>
            <w:shd w:val="clear" w:color="auto" w:fill="FDE9D9"/>
            <w:hideMark/>
          </w:tcPr>
          <w:p w14:paraId="15A8F1C4"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7DA6D0CE" wp14:editId="03A55D49">
                  <wp:extent cx="2998470" cy="274320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8470" cy="2743200"/>
                          </a:xfrm>
                          <a:prstGeom prst="rect">
                            <a:avLst/>
                          </a:prstGeom>
                          <a:noFill/>
                          <a:ln>
                            <a:noFill/>
                          </a:ln>
                        </pic:spPr>
                      </pic:pic>
                    </a:graphicData>
                  </a:graphic>
                </wp:inline>
              </w:drawing>
            </w:r>
          </w:p>
        </w:tc>
        <w:tc>
          <w:tcPr>
            <w:tcW w:w="4961" w:type="dxa"/>
            <w:shd w:val="clear" w:color="auto" w:fill="FDE9D9"/>
            <w:hideMark/>
          </w:tcPr>
          <w:p w14:paraId="0D4F96C4"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79F8631A" wp14:editId="48FED561">
                  <wp:extent cx="2998470" cy="274320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8470" cy="2743200"/>
                          </a:xfrm>
                          <a:prstGeom prst="rect">
                            <a:avLst/>
                          </a:prstGeom>
                          <a:noFill/>
                          <a:ln>
                            <a:noFill/>
                          </a:ln>
                        </pic:spPr>
                      </pic:pic>
                    </a:graphicData>
                  </a:graphic>
                </wp:inline>
              </w:drawing>
            </w:r>
          </w:p>
        </w:tc>
      </w:tr>
      <w:tr w:rsidR="00EA0FD7" w:rsidRPr="00EA0FD7" w14:paraId="0F9090D8" w14:textId="77777777" w:rsidTr="00EA0FD7">
        <w:trPr>
          <w:trHeight w:hRule="exact" w:val="102"/>
        </w:trPr>
        <w:tc>
          <w:tcPr>
            <w:tcW w:w="4820" w:type="dxa"/>
            <w:shd w:val="clear" w:color="auto" w:fill="FDE9D9"/>
          </w:tcPr>
          <w:p w14:paraId="58532980"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096C01DF"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bl>
    <w:p w14:paraId="3811773A" w14:textId="5C4B453E"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0"/>
          <w:szCs w:val="20"/>
          <w:lang w:val="sr-Cyrl-RS" w:eastAsia="hr-HR"/>
        </w:rPr>
        <w:t xml:space="preserve">Извор: Управа за индиректно </w:t>
      </w:r>
      <w:r w:rsidR="00F42184">
        <w:rPr>
          <w:rFonts w:ascii="Times New Roman" w:eastAsia="Times New Roman" w:hAnsi="Times New Roman" w:cs="Times New Roman"/>
          <w:sz w:val="20"/>
          <w:szCs w:val="20"/>
          <w:lang w:val="sr-Cyrl-RS" w:eastAsia="hr-HR"/>
        </w:rPr>
        <w:t>опорезивање</w:t>
      </w:r>
      <w:r w:rsidRPr="00EA0FD7">
        <w:rPr>
          <w:rFonts w:ascii="Times New Roman" w:eastAsia="Times New Roman" w:hAnsi="Times New Roman" w:cs="Times New Roman"/>
          <w:sz w:val="20"/>
          <w:szCs w:val="20"/>
          <w:lang w:val="sr-Cyrl-RS" w:eastAsia="hr-HR"/>
        </w:rPr>
        <w:t xml:space="preserve"> БиХ, приказ ОМА</w:t>
      </w:r>
    </w:p>
    <w:p w14:paraId="1117ADDC"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p w14:paraId="547596D4"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sz w:val="24"/>
          <w:szCs w:val="24"/>
          <w:lang w:val="sr-Cyrl-RS" w:eastAsia="hr-HR"/>
        </w:rPr>
        <w:t>Акцизе</w:t>
      </w:r>
    </w:p>
    <w:p w14:paraId="3E282EEA"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269C9011"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Наплата акциза у првом кварталу 2022. године је снажно осцилирала. Високе стопе раста забиљежене су у јануару и марту, а у фебруару значајан пад (Графикон 3.12, приказ лијево). На нивоу квартала остварен је раст од 15,2%. Ипак, осцилације у наплати нису угрозиле позитиван тренд наплате акциза који траје у континуитету четири квартала (Графикон 3.12, приказ десно). </w:t>
      </w:r>
    </w:p>
    <w:p w14:paraId="5F4F9379" w14:textId="77777777" w:rsidR="00EA0FD7" w:rsidRPr="00EA0FD7" w:rsidRDefault="00EA0FD7" w:rsidP="00EA0FD7">
      <w:pPr>
        <w:spacing w:after="0" w:line="240" w:lineRule="auto"/>
        <w:rPr>
          <w:rFonts w:ascii="Times New Roman" w:eastAsia="Times New Roman" w:hAnsi="Times New Roman" w:cs="Times New Roman"/>
          <w:sz w:val="20"/>
          <w:szCs w:val="20"/>
          <w:lang w:val="sr-Cyrl-RS" w:eastAsia="hr-HR"/>
        </w:rPr>
      </w:pPr>
      <w:bookmarkStart w:id="65" w:name="_Toc100909340"/>
    </w:p>
    <w:p w14:paraId="0AD964BF" w14:textId="77777777" w:rsidR="00EA0FD7" w:rsidRPr="00EA0FD7" w:rsidRDefault="00EA0FD7" w:rsidP="00EA0FD7">
      <w:pPr>
        <w:spacing w:after="0" w:line="240" w:lineRule="auto"/>
        <w:rPr>
          <w:rFonts w:ascii="Times New Roman" w:eastAsia="Times New Roman" w:hAnsi="Times New Roman" w:cs="Times New Roman"/>
          <w:sz w:val="20"/>
          <w:szCs w:val="20"/>
          <w:lang w:val="sr-Cyrl-RS" w:eastAsia="hr-HR"/>
        </w:rPr>
      </w:pPr>
    </w:p>
    <w:p w14:paraId="50FABA6B" w14:textId="77777777" w:rsidR="00EA0FD7" w:rsidRPr="00EA0FD7" w:rsidRDefault="00EA0FD7" w:rsidP="00EA0FD7">
      <w:pPr>
        <w:spacing w:after="0" w:line="240" w:lineRule="auto"/>
        <w:rPr>
          <w:rFonts w:ascii="Times New Roman" w:eastAsia="Times New Roman" w:hAnsi="Times New Roman" w:cs="Times New Roman"/>
          <w:sz w:val="20"/>
          <w:szCs w:val="20"/>
          <w:lang w:val="sr-Cyrl-RS" w:eastAsia="hr-HR"/>
        </w:rPr>
      </w:pPr>
    </w:p>
    <w:p w14:paraId="3DCE7C34" w14:textId="77777777" w:rsidR="00EA0FD7" w:rsidRPr="00EA0FD7" w:rsidRDefault="00EA0FD7" w:rsidP="00EA0FD7">
      <w:pPr>
        <w:spacing w:after="0" w:line="240" w:lineRule="auto"/>
        <w:rPr>
          <w:rFonts w:ascii="Times New Roman" w:eastAsia="Times New Roman" w:hAnsi="Times New Roman" w:cs="Times New Roman"/>
          <w:sz w:val="20"/>
          <w:szCs w:val="20"/>
          <w:lang w:val="sr-Cyrl-RS" w:eastAsia="hr-HR"/>
        </w:rPr>
      </w:pPr>
    </w:p>
    <w:p w14:paraId="357FAEDB" w14:textId="77777777" w:rsidR="00EA0FD7" w:rsidRPr="00EA0FD7" w:rsidRDefault="00EA0FD7" w:rsidP="00EA0FD7">
      <w:pPr>
        <w:spacing w:after="0" w:line="240" w:lineRule="auto"/>
        <w:rPr>
          <w:rFonts w:ascii="Times New Roman" w:eastAsia="Times New Roman" w:hAnsi="Times New Roman" w:cs="Times New Roman"/>
          <w:sz w:val="20"/>
          <w:szCs w:val="20"/>
          <w:lang w:val="sr-Cyrl-RS" w:eastAsia="hr-HR"/>
        </w:rPr>
      </w:pPr>
    </w:p>
    <w:p w14:paraId="750376A5" w14:textId="77777777" w:rsidR="00EA0FD7" w:rsidRPr="00EA0FD7" w:rsidRDefault="00EA0FD7" w:rsidP="00EA0FD7">
      <w:pPr>
        <w:spacing w:after="0" w:line="240" w:lineRule="auto"/>
        <w:rPr>
          <w:rFonts w:ascii="Times New Roman" w:eastAsia="Times New Roman" w:hAnsi="Times New Roman" w:cs="Times New Roman"/>
          <w:sz w:val="20"/>
          <w:szCs w:val="20"/>
          <w:lang w:val="sr-Cyrl-RS" w:eastAsia="hr-HR"/>
        </w:rPr>
      </w:pPr>
    </w:p>
    <w:p w14:paraId="20EB7EAC"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szCs w:val="24"/>
          <w:lang w:val="sr-Cyrl-RS" w:eastAsia="hr-HR"/>
        </w:rPr>
        <w:lastRenderedPageBreak/>
        <w:t xml:space="preserve">Графикон 3. </w:t>
      </w:r>
      <w:r w:rsidRPr="00EA0FD7">
        <w:rPr>
          <w:rFonts w:ascii="Times New Roman" w:eastAsia="Times New Roman" w:hAnsi="Times New Roman" w:cs="Times New Roman"/>
          <w:sz w:val="24"/>
          <w:szCs w:val="24"/>
          <w:lang w:val="sr-Cyrl-RS" w:eastAsia="hr-HR"/>
        </w:rPr>
        <w:fldChar w:fldCharType="begin"/>
      </w:r>
      <w:r w:rsidRPr="00EA0FD7">
        <w:rPr>
          <w:rFonts w:ascii="Times New Roman" w:eastAsia="Times New Roman" w:hAnsi="Times New Roman" w:cs="Times New Roman"/>
          <w:b/>
          <w:sz w:val="24"/>
          <w:szCs w:val="24"/>
          <w:lang w:val="sr-Cyrl-RS" w:eastAsia="hr-HR"/>
        </w:rPr>
        <w:instrText xml:space="preserve"> SEQ Grafikon_ \* ARABIC </w:instrText>
      </w:r>
      <w:r w:rsidRPr="00EA0FD7">
        <w:rPr>
          <w:rFonts w:ascii="Times New Roman" w:eastAsia="Times New Roman" w:hAnsi="Times New Roman" w:cs="Times New Roman"/>
          <w:sz w:val="24"/>
          <w:szCs w:val="24"/>
          <w:lang w:val="sr-Cyrl-RS" w:eastAsia="hr-HR"/>
        </w:rPr>
        <w:fldChar w:fldCharType="separate"/>
      </w:r>
      <w:r w:rsidRPr="00EA0FD7">
        <w:rPr>
          <w:rFonts w:ascii="Times New Roman" w:eastAsia="Times New Roman" w:hAnsi="Times New Roman" w:cs="Times New Roman"/>
          <w:b/>
          <w:sz w:val="24"/>
          <w:szCs w:val="24"/>
          <w:lang w:val="sr-Cyrl-RS" w:eastAsia="hr-HR"/>
        </w:rPr>
        <w:t>12</w:t>
      </w:r>
      <w:r w:rsidRPr="00EA0FD7">
        <w:rPr>
          <w:rFonts w:ascii="Times New Roman" w:eastAsia="Times New Roman" w:hAnsi="Times New Roman" w:cs="Times New Roman"/>
          <w:sz w:val="24"/>
          <w:szCs w:val="24"/>
          <w:lang w:val="sr-Cyrl-RS" w:eastAsia="hr-HR"/>
        </w:rPr>
        <w:fldChar w:fldCharType="end"/>
      </w:r>
      <w:r w:rsidRPr="00EA0FD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Cs/>
          <w:sz w:val="24"/>
          <w:szCs w:val="24"/>
          <w:lang w:val="sr-Cyrl-RS" w:eastAsia="hr-HR"/>
        </w:rPr>
        <w:t xml:space="preserve"> Трендови у наплати акциза</w:t>
      </w:r>
      <w:bookmarkEnd w:id="65"/>
    </w:p>
    <w:tbl>
      <w:tblPr>
        <w:tblW w:w="9780" w:type="dxa"/>
        <w:tblInd w:w="108" w:type="dxa"/>
        <w:shd w:val="clear" w:color="auto" w:fill="FDE9D9"/>
        <w:tblLayout w:type="fixed"/>
        <w:tblLook w:val="04A0" w:firstRow="1" w:lastRow="0" w:firstColumn="1" w:lastColumn="0" w:noHBand="0" w:noVBand="1"/>
      </w:tblPr>
      <w:tblGrid>
        <w:gridCol w:w="4820"/>
        <w:gridCol w:w="4960"/>
      </w:tblGrid>
      <w:tr w:rsidR="00EA0FD7" w:rsidRPr="00EA0FD7" w14:paraId="390F0146" w14:textId="77777777" w:rsidTr="00EA0FD7">
        <w:trPr>
          <w:trHeight w:hRule="exact" w:val="102"/>
        </w:trPr>
        <w:tc>
          <w:tcPr>
            <w:tcW w:w="4820" w:type="dxa"/>
            <w:shd w:val="clear" w:color="auto" w:fill="FDE9D9"/>
          </w:tcPr>
          <w:p w14:paraId="0567412A"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653B8FF8"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r w:rsidR="00EA0FD7" w:rsidRPr="00EA0FD7" w14:paraId="26830240" w14:textId="77777777" w:rsidTr="00EA0FD7">
        <w:tc>
          <w:tcPr>
            <w:tcW w:w="4820" w:type="dxa"/>
            <w:shd w:val="clear" w:color="auto" w:fill="FDE9D9"/>
            <w:hideMark/>
          </w:tcPr>
          <w:p w14:paraId="0FB0AEA7"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734CCAAB" wp14:editId="6407F98E">
                  <wp:extent cx="2986405" cy="2737485"/>
                  <wp:effectExtent l="0" t="0" r="4445" b="5715"/>
                  <wp:docPr id="26" name="Slika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6405" cy="2737485"/>
                          </a:xfrm>
                          <a:prstGeom prst="rect">
                            <a:avLst/>
                          </a:prstGeom>
                          <a:noFill/>
                          <a:ln>
                            <a:noFill/>
                          </a:ln>
                        </pic:spPr>
                      </pic:pic>
                    </a:graphicData>
                  </a:graphic>
                </wp:inline>
              </w:drawing>
            </w:r>
          </w:p>
        </w:tc>
        <w:tc>
          <w:tcPr>
            <w:tcW w:w="4961" w:type="dxa"/>
            <w:shd w:val="clear" w:color="auto" w:fill="FDE9D9"/>
            <w:hideMark/>
          </w:tcPr>
          <w:p w14:paraId="0828F671"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20FDAB1B" wp14:editId="3E9A0193">
                  <wp:extent cx="2986405" cy="2737485"/>
                  <wp:effectExtent l="0" t="0" r="4445" b="5715"/>
                  <wp:docPr id="27" name="Slika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6405" cy="2737485"/>
                          </a:xfrm>
                          <a:prstGeom prst="rect">
                            <a:avLst/>
                          </a:prstGeom>
                          <a:noFill/>
                          <a:ln>
                            <a:noFill/>
                          </a:ln>
                        </pic:spPr>
                      </pic:pic>
                    </a:graphicData>
                  </a:graphic>
                </wp:inline>
              </w:drawing>
            </w:r>
          </w:p>
        </w:tc>
      </w:tr>
      <w:tr w:rsidR="00EA0FD7" w:rsidRPr="00EA0FD7" w14:paraId="7E45EAE6" w14:textId="77777777" w:rsidTr="00EA0FD7">
        <w:trPr>
          <w:trHeight w:hRule="exact" w:val="102"/>
        </w:trPr>
        <w:tc>
          <w:tcPr>
            <w:tcW w:w="4820" w:type="dxa"/>
            <w:shd w:val="clear" w:color="auto" w:fill="FDE9D9"/>
          </w:tcPr>
          <w:p w14:paraId="0AFA29BE"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3A20255B"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bl>
    <w:p w14:paraId="5B516766" w14:textId="427EE051"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Извор: Управа за индиректно </w:t>
      </w:r>
      <w:r w:rsidR="00F42184">
        <w:rPr>
          <w:rFonts w:ascii="Times New Roman" w:eastAsia="Times New Roman" w:hAnsi="Times New Roman" w:cs="Times New Roman"/>
          <w:sz w:val="20"/>
          <w:szCs w:val="20"/>
          <w:lang w:val="sr-Cyrl-RS" w:eastAsia="hr-HR"/>
        </w:rPr>
        <w:t>опорезивање</w:t>
      </w:r>
      <w:r w:rsidRPr="00EA0FD7">
        <w:rPr>
          <w:rFonts w:ascii="Times New Roman" w:eastAsia="Times New Roman" w:hAnsi="Times New Roman" w:cs="Times New Roman"/>
          <w:sz w:val="20"/>
          <w:szCs w:val="20"/>
          <w:lang w:val="sr-Cyrl-RS" w:eastAsia="hr-HR"/>
        </w:rPr>
        <w:t xml:space="preserve"> БиХ, приказ ОМА</w:t>
      </w:r>
    </w:p>
    <w:p w14:paraId="5CF898FB"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p>
    <w:p w14:paraId="4811C8B9" w14:textId="0F871514"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структури прихода од акциза доминирају акцизе на ду</w:t>
      </w:r>
      <w:r w:rsidR="00F42184">
        <w:rPr>
          <w:rFonts w:ascii="Times New Roman" w:eastAsia="Times New Roman" w:hAnsi="Times New Roman" w:cs="Times New Roman"/>
          <w:sz w:val="24"/>
          <w:szCs w:val="24"/>
          <w:lang w:val="sr-Cyrl-RS" w:eastAsia="hr-HR"/>
        </w:rPr>
        <w:t>в</w:t>
      </w:r>
      <w:r w:rsidRPr="00EA0FD7">
        <w:rPr>
          <w:rFonts w:ascii="Times New Roman" w:eastAsia="Times New Roman" w:hAnsi="Times New Roman" w:cs="Times New Roman"/>
          <w:sz w:val="24"/>
          <w:szCs w:val="24"/>
          <w:lang w:val="sr-Cyrl-RS" w:eastAsia="hr-HR"/>
        </w:rPr>
        <w:t xml:space="preserve">анске прерађевине и акцизе на деривате нафте. Осцилације у наплати акциза у првом кварталу су посљедица осцилација у наплати акциза на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 xml:space="preserve">ске прерађевине, које су забиљежиле високе стопе раста у јануару и марту (чак 60,6%), те пад наплате у фебруару 2022. године (Графикон 3.13, приказ лијево). На тржишту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 xml:space="preserve">ских прерађевина у БиХ у првом кварталу 2022. године десила се велика промјена, будући да је угашена домаћа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 xml:space="preserve">ска индустрија након четири године рапидног смањења производње. Наведено се одразило и на аналитику прихода од акциза у којој од сада постоје само акцизе на увезене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 xml:space="preserve">ске прерађевине (Графикон 3.13, приказ лијево, „домаћи“).                                                                                                                                                                                                                                                                                                                                                                                                                                                                                                                                                                       </w:t>
      </w:r>
    </w:p>
    <w:p w14:paraId="6D4E3E7E"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p>
    <w:p w14:paraId="6DC04714" w14:textId="5BD0A692"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bookmarkStart w:id="66" w:name="_Toc100909341"/>
      <w:r w:rsidRPr="00EA0FD7">
        <w:rPr>
          <w:rFonts w:ascii="Times New Roman" w:eastAsia="Times New Roman" w:hAnsi="Times New Roman" w:cs="Times New Roman"/>
          <w:b/>
          <w:sz w:val="24"/>
          <w:szCs w:val="24"/>
          <w:lang w:val="sr-Cyrl-RS" w:eastAsia="hr-HR"/>
        </w:rPr>
        <w:t xml:space="preserve">Графикон 3. </w:t>
      </w:r>
      <w:r w:rsidRPr="00EA0FD7">
        <w:rPr>
          <w:rFonts w:ascii="Times New Roman" w:eastAsia="Times New Roman" w:hAnsi="Times New Roman" w:cs="Times New Roman"/>
          <w:sz w:val="24"/>
          <w:szCs w:val="24"/>
          <w:lang w:val="sr-Cyrl-RS" w:eastAsia="hr-HR"/>
        </w:rPr>
        <w:fldChar w:fldCharType="begin"/>
      </w:r>
      <w:r w:rsidRPr="00EA0FD7">
        <w:rPr>
          <w:rFonts w:ascii="Times New Roman" w:eastAsia="Times New Roman" w:hAnsi="Times New Roman" w:cs="Times New Roman"/>
          <w:b/>
          <w:sz w:val="24"/>
          <w:szCs w:val="24"/>
          <w:lang w:val="sr-Cyrl-RS" w:eastAsia="hr-HR"/>
        </w:rPr>
        <w:instrText xml:space="preserve"> SEQ Grafikon_ \* ARABIC </w:instrText>
      </w:r>
      <w:r w:rsidRPr="00EA0FD7">
        <w:rPr>
          <w:rFonts w:ascii="Times New Roman" w:eastAsia="Times New Roman" w:hAnsi="Times New Roman" w:cs="Times New Roman"/>
          <w:sz w:val="24"/>
          <w:szCs w:val="24"/>
          <w:lang w:val="sr-Cyrl-RS" w:eastAsia="hr-HR"/>
        </w:rPr>
        <w:fldChar w:fldCharType="separate"/>
      </w:r>
      <w:r w:rsidRPr="00EA0FD7">
        <w:rPr>
          <w:rFonts w:ascii="Times New Roman" w:eastAsia="Times New Roman" w:hAnsi="Times New Roman" w:cs="Times New Roman"/>
          <w:b/>
          <w:sz w:val="24"/>
          <w:szCs w:val="24"/>
          <w:lang w:val="sr-Cyrl-RS" w:eastAsia="hr-HR"/>
        </w:rPr>
        <w:t>13</w:t>
      </w:r>
      <w:r w:rsidRPr="00EA0FD7">
        <w:rPr>
          <w:rFonts w:ascii="Times New Roman" w:eastAsia="Times New Roman" w:hAnsi="Times New Roman" w:cs="Times New Roman"/>
          <w:sz w:val="24"/>
          <w:szCs w:val="24"/>
          <w:lang w:val="sr-Cyrl-RS" w:eastAsia="hr-HR"/>
        </w:rPr>
        <w:fldChar w:fldCharType="end"/>
      </w:r>
      <w:r w:rsidRPr="00EA0FD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
          <w:bCs/>
          <w:sz w:val="24"/>
          <w:szCs w:val="24"/>
          <w:lang w:val="sr-Cyrl-RS" w:eastAsia="hr-HR"/>
        </w:rPr>
        <w:t xml:space="preserve"> </w:t>
      </w:r>
      <w:r w:rsidRPr="00EA0FD7">
        <w:rPr>
          <w:rFonts w:ascii="Times New Roman" w:eastAsia="Times New Roman" w:hAnsi="Times New Roman" w:cs="Times New Roman"/>
          <w:bCs/>
          <w:sz w:val="24"/>
          <w:szCs w:val="24"/>
          <w:lang w:val="sr-Cyrl-RS" w:eastAsia="hr-HR"/>
        </w:rPr>
        <w:t xml:space="preserve">Трендови у наплати акциза на </w:t>
      </w:r>
      <w:r w:rsidR="00F42184">
        <w:rPr>
          <w:rFonts w:ascii="Times New Roman" w:eastAsia="Times New Roman" w:hAnsi="Times New Roman" w:cs="Times New Roman"/>
          <w:bCs/>
          <w:sz w:val="24"/>
          <w:szCs w:val="24"/>
          <w:lang w:val="sr-Cyrl-RS" w:eastAsia="hr-HR"/>
        </w:rPr>
        <w:t>дуван</w:t>
      </w:r>
      <w:bookmarkEnd w:id="66"/>
    </w:p>
    <w:tbl>
      <w:tblPr>
        <w:tblW w:w="9780" w:type="dxa"/>
        <w:tblInd w:w="108" w:type="dxa"/>
        <w:shd w:val="clear" w:color="auto" w:fill="FDE9D9"/>
        <w:tblLayout w:type="fixed"/>
        <w:tblLook w:val="04A0" w:firstRow="1" w:lastRow="0" w:firstColumn="1" w:lastColumn="0" w:noHBand="0" w:noVBand="1"/>
      </w:tblPr>
      <w:tblGrid>
        <w:gridCol w:w="4820"/>
        <w:gridCol w:w="4960"/>
      </w:tblGrid>
      <w:tr w:rsidR="00EA0FD7" w:rsidRPr="00EA0FD7" w14:paraId="0F5DEA58" w14:textId="77777777" w:rsidTr="00EA0FD7">
        <w:trPr>
          <w:trHeight w:hRule="exact" w:val="102"/>
        </w:trPr>
        <w:tc>
          <w:tcPr>
            <w:tcW w:w="4820" w:type="dxa"/>
            <w:shd w:val="clear" w:color="auto" w:fill="FDE9D9"/>
          </w:tcPr>
          <w:p w14:paraId="0473CC45"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69702C3C"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r w:rsidR="00EA0FD7" w:rsidRPr="00EA0FD7" w14:paraId="6B05A338" w14:textId="77777777" w:rsidTr="00EA0FD7">
        <w:tc>
          <w:tcPr>
            <w:tcW w:w="4820" w:type="dxa"/>
            <w:shd w:val="clear" w:color="auto" w:fill="FDE9D9"/>
            <w:hideMark/>
          </w:tcPr>
          <w:p w14:paraId="20F3DEB4"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353B4B48" wp14:editId="3EC3CBB1">
                  <wp:extent cx="2998470" cy="274320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8470" cy="2743200"/>
                          </a:xfrm>
                          <a:prstGeom prst="rect">
                            <a:avLst/>
                          </a:prstGeom>
                          <a:noFill/>
                          <a:ln>
                            <a:noFill/>
                          </a:ln>
                        </pic:spPr>
                      </pic:pic>
                    </a:graphicData>
                  </a:graphic>
                </wp:inline>
              </w:drawing>
            </w:r>
          </w:p>
        </w:tc>
        <w:tc>
          <w:tcPr>
            <w:tcW w:w="4961" w:type="dxa"/>
            <w:shd w:val="clear" w:color="auto" w:fill="FDE9D9"/>
            <w:hideMark/>
          </w:tcPr>
          <w:p w14:paraId="46B363BA"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786A2A87" wp14:editId="1BEE6618">
                  <wp:extent cx="3028315" cy="2773045"/>
                  <wp:effectExtent l="0" t="0" r="635" b="825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8315" cy="2773045"/>
                          </a:xfrm>
                          <a:prstGeom prst="rect">
                            <a:avLst/>
                          </a:prstGeom>
                          <a:noFill/>
                          <a:ln>
                            <a:noFill/>
                          </a:ln>
                        </pic:spPr>
                      </pic:pic>
                    </a:graphicData>
                  </a:graphic>
                </wp:inline>
              </w:drawing>
            </w:r>
          </w:p>
        </w:tc>
      </w:tr>
      <w:tr w:rsidR="00EA0FD7" w:rsidRPr="00EA0FD7" w14:paraId="6D3551B4" w14:textId="77777777" w:rsidTr="00EA0FD7">
        <w:trPr>
          <w:trHeight w:hRule="exact" w:val="102"/>
        </w:trPr>
        <w:tc>
          <w:tcPr>
            <w:tcW w:w="4820" w:type="dxa"/>
            <w:shd w:val="clear" w:color="auto" w:fill="FDE9D9"/>
          </w:tcPr>
          <w:p w14:paraId="52539494"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6B77C7B5"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bl>
    <w:p w14:paraId="318C5669" w14:textId="2794A3F3"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Извор: Управа за индиректно </w:t>
      </w:r>
      <w:r w:rsidR="00F42184">
        <w:rPr>
          <w:rFonts w:ascii="Times New Roman" w:eastAsia="Times New Roman" w:hAnsi="Times New Roman" w:cs="Times New Roman"/>
          <w:sz w:val="20"/>
          <w:szCs w:val="20"/>
          <w:lang w:val="sr-Cyrl-RS" w:eastAsia="hr-HR"/>
        </w:rPr>
        <w:t>опорезивање</w:t>
      </w:r>
      <w:r w:rsidRPr="00EA0FD7">
        <w:rPr>
          <w:rFonts w:ascii="Times New Roman" w:eastAsia="Times New Roman" w:hAnsi="Times New Roman" w:cs="Times New Roman"/>
          <w:sz w:val="20"/>
          <w:szCs w:val="20"/>
          <w:lang w:val="sr-Cyrl-RS" w:eastAsia="hr-HR"/>
        </w:rPr>
        <w:t xml:space="preserve"> БиХ, приказ ОМА</w:t>
      </w:r>
    </w:p>
    <w:p w14:paraId="6FDBC2E6"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p>
    <w:p w14:paraId="5CD0D9B4" w14:textId="696FC4A4"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Након нестанка великог домаћег произвођача на тржишту БиХ остала су </w:t>
      </w:r>
      <w:r w:rsidR="00F42184">
        <w:rPr>
          <w:rFonts w:ascii="Times New Roman" w:eastAsia="Times New Roman" w:hAnsi="Times New Roman" w:cs="Times New Roman"/>
          <w:i/>
          <w:sz w:val="24"/>
          <w:szCs w:val="24"/>
          <w:lang w:val="sr-Cyrl-RS" w:eastAsia="hr-HR"/>
        </w:rPr>
        <w:t>de</w:t>
      </w:r>
      <w:r w:rsidRPr="00EA0FD7">
        <w:rPr>
          <w:rFonts w:ascii="Times New Roman" w:eastAsia="Times New Roman" w:hAnsi="Times New Roman" w:cs="Times New Roman"/>
          <w:i/>
          <w:sz w:val="24"/>
          <w:szCs w:val="24"/>
          <w:lang w:val="sr-Cyrl-RS" w:eastAsia="hr-HR"/>
        </w:rPr>
        <w:t xml:space="preserve"> </w:t>
      </w:r>
      <w:r w:rsidR="00F42184">
        <w:rPr>
          <w:rFonts w:ascii="Times New Roman" w:eastAsia="Times New Roman" w:hAnsi="Times New Roman" w:cs="Times New Roman"/>
          <w:i/>
          <w:sz w:val="24"/>
          <w:szCs w:val="24"/>
          <w:lang w:val="sr-Cyrl-RS" w:eastAsia="hr-HR"/>
        </w:rPr>
        <w:t>facto</w:t>
      </w:r>
      <w:r w:rsidRPr="00EA0FD7">
        <w:rPr>
          <w:rFonts w:ascii="Times New Roman" w:eastAsia="Times New Roman" w:hAnsi="Times New Roman" w:cs="Times New Roman"/>
          <w:i/>
          <w:sz w:val="24"/>
          <w:szCs w:val="24"/>
          <w:lang w:val="sr-Cyrl-RS" w:eastAsia="hr-HR"/>
        </w:rPr>
        <w:t xml:space="preserve"> </w:t>
      </w:r>
      <w:r w:rsidRPr="00EA0FD7">
        <w:rPr>
          <w:rFonts w:ascii="Times New Roman" w:eastAsia="Times New Roman" w:hAnsi="Times New Roman" w:cs="Times New Roman"/>
          <w:sz w:val="24"/>
          <w:szCs w:val="24"/>
          <w:lang w:val="sr-Cyrl-RS" w:eastAsia="hr-HR"/>
        </w:rPr>
        <w:t xml:space="preserve">само три иноземне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 xml:space="preserve">ске компаније. Наплата акциза на краћи рок је непредвидива јер је повезана са пословним политикама те три компаније, а у основи нема директне везе са потрошњом, као код осталих акцизних производа, јер се акцизне маркице због производње изван БиХ преузимају најмање мјесец и по прије стављања цигарета у промет. И поред мјесечних </w:t>
      </w:r>
      <w:r w:rsidRPr="00EA0FD7">
        <w:rPr>
          <w:rFonts w:ascii="Times New Roman" w:eastAsia="Times New Roman" w:hAnsi="Times New Roman" w:cs="Times New Roman"/>
          <w:sz w:val="24"/>
          <w:szCs w:val="24"/>
          <w:lang w:val="sr-Cyrl-RS" w:eastAsia="hr-HR"/>
        </w:rPr>
        <w:lastRenderedPageBreak/>
        <w:t xml:space="preserve">осцилација у наплати у првом кварталу остварен је раст од 21,3%, чиме је настављена серија високих стопа раста из претходна три квартала (Графикон 3.13, приказ десно). </w:t>
      </w:r>
    </w:p>
    <w:p w14:paraId="533CBAD0" w14:textId="77777777" w:rsidR="00EA0FD7" w:rsidRPr="00D21440" w:rsidRDefault="00EA0FD7" w:rsidP="00EA0FD7">
      <w:pPr>
        <w:spacing w:after="0" w:line="240" w:lineRule="auto"/>
        <w:jc w:val="center"/>
        <w:rPr>
          <w:rFonts w:ascii="Times New Roman" w:eastAsia="Times New Roman" w:hAnsi="Times New Roman" w:cs="Times New Roman"/>
          <w:sz w:val="24"/>
          <w:szCs w:val="24"/>
          <w:lang w:val="bs-Cyrl-BA" w:eastAsia="hr-HR"/>
        </w:rPr>
      </w:pPr>
    </w:p>
    <w:p w14:paraId="5BD79108" w14:textId="0430FC43"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Важан фактор раста наплате акциза у првом кварталу јесте стабилна цјеновна политика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ских компанија, које ове године нису повећавале цијене, за разлику од претходне двије године када су растом цијена настојале надокнадити губитке због смањења продаје, чак и кад је акцизна политика била непромијењена</w:t>
      </w:r>
      <w:r w:rsidRPr="00AE5455">
        <w:rPr>
          <w:rFonts w:ascii="Times New Roman" w:eastAsia="Times New Roman" w:hAnsi="Times New Roman" w:cs="Times New Roman"/>
          <w:sz w:val="24"/>
          <w:szCs w:val="24"/>
          <w:vertAlign w:val="superscript"/>
          <w:lang w:val="sr-Cyrl-RS" w:eastAsia="hr-HR"/>
        </w:rPr>
        <w:footnoteReference w:id="50"/>
      </w:r>
      <w:r w:rsidRPr="00EA0FD7">
        <w:rPr>
          <w:rFonts w:ascii="Times New Roman" w:eastAsia="Times New Roman" w:hAnsi="Times New Roman" w:cs="Times New Roman"/>
          <w:sz w:val="24"/>
          <w:szCs w:val="24"/>
          <w:lang w:val="sr-Cyrl-RS" w:eastAsia="hr-HR"/>
        </w:rPr>
        <w:t>. Стабилна цјеновна политика омогућује фокусирање на економију обима, што има за резултат веће кориш</w:t>
      </w:r>
      <w:r w:rsidR="00D21440">
        <w:rPr>
          <w:rFonts w:ascii="Times New Roman" w:eastAsia="Times New Roman" w:hAnsi="Times New Roman" w:cs="Times New Roman"/>
          <w:sz w:val="24"/>
          <w:szCs w:val="24"/>
          <w:lang w:val="sr-Cyrl-RS" w:eastAsia="hr-HR"/>
        </w:rPr>
        <w:t>ћ</w:t>
      </w:r>
      <w:r w:rsidRPr="00EA0FD7">
        <w:rPr>
          <w:rFonts w:ascii="Times New Roman" w:eastAsia="Times New Roman" w:hAnsi="Times New Roman" w:cs="Times New Roman"/>
          <w:sz w:val="24"/>
          <w:szCs w:val="24"/>
          <w:lang w:val="sr-Cyrl-RS" w:eastAsia="hr-HR"/>
        </w:rPr>
        <w:t xml:space="preserve">ење капацитета, рентабилност пословања и раст добити. Поред цијена, које су конкурентне у односу на чланице ЕУ, расту продаје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 xml:space="preserve">ских прерађевина у првом кварталу 2022. године допринијела је и потрошња нерезидената (дијаспора, туристи, путници у транзиту, становници из пограничног појаса), која је повећана захваљујући благим епидемиолошким мјерама у односу на окружење и чланице ЕУ. Повратак нерезидената након празника у земље боравишта, крај распуста и скијашке сезоне у БиХ довели су, очекивано, до смањења потражње за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 xml:space="preserve">ским прерађевинама, на што су реагирале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 xml:space="preserve">ске компаније са захтјевима за издавање мањих количина акцизних маркица на које се уплаћују акцизе, што је имало за посљедицу пад наплате акциза у фебруару. Но, већ у марту су повећане наруџбе акцизних маркица у очекивању раста потрошње нерезидената за вријеме наступајућих вјерских и државних празника у априлу и мају, што је имало позитиван ефекат на наплату акциза у првом кварталу 2022.  године.                 </w:t>
      </w:r>
    </w:p>
    <w:p w14:paraId="77E3C714"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78594F09"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53A0761"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bookmarkStart w:id="67" w:name="_Toc100909342"/>
      <w:r w:rsidRPr="00EA0FD7">
        <w:rPr>
          <w:rFonts w:ascii="Times New Roman" w:eastAsia="Times New Roman" w:hAnsi="Times New Roman" w:cs="Times New Roman"/>
          <w:b/>
          <w:sz w:val="24"/>
          <w:szCs w:val="24"/>
          <w:lang w:val="sr-Cyrl-RS" w:eastAsia="hr-HR"/>
        </w:rPr>
        <w:t xml:space="preserve">Графикон 3. </w:t>
      </w:r>
      <w:r w:rsidRPr="00EA0FD7">
        <w:rPr>
          <w:rFonts w:ascii="Times New Roman" w:eastAsia="Times New Roman" w:hAnsi="Times New Roman" w:cs="Times New Roman"/>
          <w:sz w:val="24"/>
          <w:szCs w:val="24"/>
          <w:lang w:val="sr-Cyrl-RS" w:eastAsia="hr-HR"/>
        </w:rPr>
        <w:fldChar w:fldCharType="begin"/>
      </w:r>
      <w:r w:rsidRPr="00EA0FD7">
        <w:rPr>
          <w:rFonts w:ascii="Times New Roman" w:eastAsia="Times New Roman" w:hAnsi="Times New Roman" w:cs="Times New Roman"/>
          <w:b/>
          <w:sz w:val="24"/>
          <w:szCs w:val="24"/>
          <w:lang w:val="sr-Cyrl-RS" w:eastAsia="hr-HR"/>
        </w:rPr>
        <w:instrText xml:space="preserve"> SEQ Grafikon_ \* ARABIC </w:instrText>
      </w:r>
      <w:r w:rsidRPr="00EA0FD7">
        <w:rPr>
          <w:rFonts w:ascii="Times New Roman" w:eastAsia="Times New Roman" w:hAnsi="Times New Roman" w:cs="Times New Roman"/>
          <w:sz w:val="24"/>
          <w:szCs w:val="24"/>
          <w:lang w:val="sr-Cyrl-RS" w:eastAsia="hr-HR"/>
        </w:rPr>
        <w:fldChar w:fldCharType="separate"/>
      </w:r>
      <w:r w:rsidRPr="00EA0FD7">
        <w:rPr>
          <w:rFonts w:ascii="Times New Roman" w:eastAsia="Times New Roman" w:hAnsi="Times New Roman" w:cs="Times New Roman"/>
          <w:b/>
          <w:sz w:val="24"/>
          <w:szCs w:val="24"/>
          <w:lang w:val="sr-Cyrl-RS" w:eastAsia="hr-HR"/>
        </w:rPr>
        <w:t>14</w:t>
      </w:r>
      <w:r w:rsidRPr="00EA0FD7">
        <w:rPr>
          <w:rFonts w:ascii="Times New Roman" w:eastAsia="Times New Roman" w:hAnsi="Times New Roman" w:cs="Times New Roman"/>
          <w:sz w:val="24"/>
          <w:szCs w:val="24"/>
          <w:lang w:val="sr-Cyrl-RS" w:eastAsia="hr-HR"/>
        </w:rPr>
        <w:fldChar w:fldCharType="end"/>
      </w:r>
      <w:r w:rsidRPr="00EA0FD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Cs/>
          <w:sz w:val="24"/>
          <w:szCs w:val="24"/>
          <w:lang w:val="sr-Cyrl-RS" w:eastAsia="hr-HR"/>
        </w:rPr>
        <w:t xml:space="preserve"> Трендови у наплати акциза на деривате нафте</w:t>
      </w:r>
      <w:bookmarkEnd w:id="67"/>
    </w:p>
    <w:tbl>
      <w:tblPr>
        <w:tblW w:w="9780" w:type="dxa"/>
        <w:tblInd w:w="108" w:type="dxa"/>
        <w:shd w:val="clear" w:color="auto" w:fill="FDE9D9"/>
        <w:tblLayout w:type="fixed"/>
        <w:tblLook w:val="04A0" w:firstRow="1" w:lastRow="0" w:firstColumn="1" w:lastColumn="0" w:noHBand="0" w:noVBand="1"/>
      </w:tblPr>
      <w:tblGrid>
        <w:gridCol w:w="4820"/>
        <w:gridCol w:w="4960"/>
      </w:tblGrid>
      <w:tr w:rsidR="00EA0FD7" w:rsidRPr="00EA0FD7" w14:paraId="1BCA1E38" w14:textId="77777777" w:rsidTr="00EA0FD7">
        <w:trPr>
          <w:trHeight w:hRule="exact" w:val="102"/>
        </w:trPr>
        <w:tc>
          <w:tcPr>
            <w:tcW w:w="4820" w:type="dxa"/>
            <w:shd w:val="clear" w:color="auto" w:fill="FDE9D9"/>
          </w:tcPr>
          <w:p w14:paraId="6E39D87F"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3C336C2F"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r w:rsidR="00EA0FD7" w:rsidRPr="00EA0FD7" w14:paraId="6CF968DE" w14:textId="77777777" w:rsidTr="00EA0FD7">
        <w:tc>
          <w:tcPr>
            <w:tcW w:w="4820" w:type="dxa"/>
            <w:shd w:val="clear" w:color="auto" w:fill="FDE9D9"/>
            <w:hideMark/>
          </w:tcPr>
          <w:p w14:paraId="33F60756"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23CF73AC" wp14:editId="689555DD">
                  <wp:extent cx="2998470" cy="274320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8470" cy="2743200"/>
                          </a:xfrm>
                          <a:prstGeom prst="rect">
                            <a:avLst/>
                          </a:prstGeom>
                          <a:noFill/>
                          <a:ln>
                            <a:noFill/>
                          </a:ln>
                        </pic:spPr>
                      </pic:pic>
                    </a:graphicData>
                  </a:graphic>
                </wp:inline>
              </w:drawing>
            </w:r>
          </w:p>
        </w:tc>
        <w:tc>
          <w:tcPr>
            <w:tcW w:w="4961" w:type="dxa"/>
            <w:shd w:val="clear" w:color="auto" w:fill="FDE9D9"/>
            <w:hideMark/>
          </w:tcPr>
          <w:p w14:paraId="0084428A"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440BEAF5" wp14:editId="18419385">
                  <wp:extent cx="2998470" cy="274320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8470" cy="2743200"/>
                          </a:xfrm>
                          <a:prstGeom prst="rect">
                            <a:avLst/>
                          </a:prstGeom>
                          <a:noFill/>
                          <a:ln>
                            <a:noFill/>
                          </a:ln>
                        </pic:spPr>
                      </pic:pic>
                    </a:graphicData>
                  </a:graphic>
                </wp:inline>
              </w:drawing>
            </w:r>
          </w:p>
        </w:tc>
      </w:tr>
      <w:tr w:rsidR="00EA0FD7" w:rsidRPr="00EA0FD7" w14:paraId="61B2E57D" w14:textId="77777777" w:rsidTr="00EA0FD7">
        <w:trPr>
          <w:trHeight w:hRule="exact" w:val="102"/>
        </w:trPr>
        <w:tc>
          <w:tcPr>
            <w:tcW w:w="4820" w:type="dxa"/>
            <w:shd w:val="clear" w:color="auto" w:fill="FDE9D9"/>
          </w:tcPr>
          <w:p w14:paraId="37390A75"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2252E89F"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bl>
    <w:p w14:paraId="271AE26D" w14:textId="35A4A767"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Извор: Управа за индиректно </w:t>
      </w:r>
      <w:r w:rsidR="00F42184">
        <w:rPr>
          <w:rFonts w:ascii="Times New Roman" w:eastAsia="Times New Roman" w:hAnsi="Times New Roman" w:cs="Times New Roman"/>
          <w:sz w:val="20"/>
          <w:szCs w:val="20"/>
          <w:lang w:val="sr-Cyrl-RS" w:eastAsia="hr-HR"/>
        </w:rPr>
        <w:t>опорезивање</w:t>
      </w:r>
      <w:r w:rsidRPr="00EA0FD7">
        <w:rPr>
          <w:rFonts w:ascii="Times New Roman" w:eastAsia="Times New Roman" w:hAnsi="Times New Roman" w:cs="Times New Roman"/>
          <w:sz w:val="20"/>
          <w:szCs w:val="20"/>
          <w:lang w:val="sr-Cyrl-RS" w:eastAsia="hr-HR"/>
        </w:rPr>
        <w:t xml:space="preserve"> БиХ, приказ ОМА</w:t>
      </w:r>
    </w:p>
    <w:p w14:paraId="4D6D264B"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F62FC03" w14:textId="42B32F7D"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У првом кварталу су забиљежене и осцилације у наплати акциза на деривате нафте, но, оне, због мањег пондера у структури нису детерминирале осцилације у наплати укупних акциза као што је случај са акцизама на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 xml:space="preserve">ске прерађевине. Након снажног раста наплаћених прихода од акциза на деривате нафте у јануару 2022. године од 20,9% у фебруару је остварен раст од само 0,2%. У марту је забиљежен раст наплате од 7% (Графикон 3.14, приказ лијево). Наплата акциза на деривате нафте је у позитивној зони раста већ четири квартала узастопно, при чему је раст од 8,5%, који је остварен у првом кварталу 2022. године, на нивоу раста из четвртог квартала 2021. године (Графикон 3.14, приказ десно). Успоравање раста прихода од акциза на деривате нафте након зимских празника је било очекивано, као и у случају акциза на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 xml:space="preserve">ске прерађевине, због смањене потрошње нерезидената. Ипак због цјеновне и </w:t>
      </w:r>
      <w:r w:rsidRPr="00AE5455">
        <w:rPr>
          <w:rFonts w:ascii="Times New Roman" w:eastAsia="Times New Roman" w:hAnsi="Times New Roman" w:cs="Times New Roman"/>
          <w:sz w:val="24"/>
          <w:szCs w:val="24"/>
          <w:lang w:val="sr-Cyrl-RS" w:eastAsia="hr-HR"/>
        </w:rPr>
        <w:t>пореск</w:t>
      </w:r>
      <w:r w:rsidRPr="00EA0FD7">
        <w:rPr>
          <w:rFonts w:ascii="Times New Roman" w:eastAsia="Times New Roman" w:hAnsi="Times New Roman" w:cs="Times New Roman"/>
          <w:sz w:val="24"/>
          <w:szCs w:val="24"/>
          <w:lang w:val="sr-Cyrl-RS" w:eastAsia="hr-HR"/>
        </w:rPr>
        <w:t xml:space="preserve">е конкурентности деривата нафте у БиХ, захваљујући нижим стопама акциза и ПДВ-а, још </w:t>
      </w:r>
      <w:r w:rsidRPr="00EA0FD7">
        <w:rPr>
          <w:rFonts w:ascii="Times New Roman" w:eastAsia="Times New Roman" w:hAnsi="Times New Roman" w:cs="Times New Roman"/>
          <w:sz w:val="24"/>
          <w:szCs w:val="24"/>
          <w:lang w:val="sr-Cyrl-RS" w:eastAsia="hr-HR"/>
        </w:rPr>
        <w:lastRenderedPageBreak/>
        <w:t xml:space="preserve">увијек постоји потицај за већу потражњу од стране нерезидената који живе у пограничним подручјима и особа у транзиту. С друге стране, контракције домаће потрошње деривата нафте су очекиване због снажног раста малопродајних цијена због поремећаја на свјетском тржишту проузрокованих ратом у Украјини и политичком кризом глобалних размјера. </w:t>
      </w:r>
    </w:p>
    <w:p w14:paraId="436AE717"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p>
    <w:p w14:paraId="77303BB0"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Наплата прихода од путарине прати наплату акциза на деривате нафте, са одређеним разликама које потичу од различитих основица на које се обрачунава и плаћа путарина, односно акцизе на деривате нафте. У односу на акцизе на деривате нафте, стопа раста прихода од путарине је нешто нижа, у фебруару чак и негативна (Графикон 3.15, приказ лијево), а на нивоу првог квартала стопа раста износи 7,2% (Графикон 3.15, приказ десно).</w:t>
      </w:r>
    </w:p>
    <w:p w14:paraId="106EC314"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043E9EBA"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p>
    <w:p w14:paraId="715BEB7B"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bookmarkStart w:id="68" w:name="_Toc100909343"/>
      <w:r w:rsidRPr="00EA0FD7">
        <w:rPr>
          <w:rFonts w:ascii="Times New Roman" w:eastAsia="Times New Roman" w:hAnsi="Times New Roman" w:cs="Times New Roman"/>
          <w:b/>
          <w:sz w:val="24"/>
          <w:szCs w:val="24"/>
          <w:lang w:val="sr-Cyrl-RS" w:eastAsia="hr-HR"/>
        </w:rPr>
        <w:t>Графикон 3.</w:t>
      </w:r>
      <w:r w:rsidRPr="00EA0FD7">
        <w:rPr>
          <w:rFonts w:ascii="Times New Roman" w:eastAsia="Times New Roman" w:hAnsi="Times New Roman" w:cs="Times New Roman"/>
          <w:sz w:val="24"/>
          <w:szCs w:val="24"/>
          <w:lang w:val="sr-Cyrl-RS" w:eastAsia="hr-HR"/>
        </w:rPr>
        <w:fldChar w:fldCharType="begin"/>
      </w:r>
      <w:r w:rsidRPr="00EA0FD7">
        <w:rPr>
          <w:rFonts w:ascii="Times New Roman" w:eastAsia="Times New Roman" w:hAnsi="Times New Roman" w:cs="Times New Roman"/>
          <w:b/>
          <w:sz w:val="24"/>
          <w:szCs w:val="24"/>
          <w:lang w:val="sr-Cyrl-RS" w:eastAsia="hr-HR"/>
        </w:rPr>
        <w:instrText xml:space="preserve"> SEQ Grafikon_ \* ARABIC </w:instrText>
      </w:r>
      <w:r w:rsidRPr="00EA0FD7">
        <w:rPr>
          <w:rFonts w:ascii="Times New Roman" w:eastAsia="Times New Roman" w:hAnsi="Times New Roman" w:cs="Times New Roman"/>
          <w:sz w:val="24"/>
          <w:szCs w:val="24"/>
          <w:lang w:val="sr-Cyrl-RS" w:eastAsia="hr-HR"/>
        </w:rPr>
        <w:fldChar w:fldCharType="separate"/>
      </w:r>
      <w:r w:rsidRPr="00EA0FD7">
        <w:rPr>
          <w:rFonts w:ascii="Times New Roman" w:eastAsia="Times New Roman" w:hAnsi="Times New Roman" w:cs="Times New Roman"/>
          <w:b/>
          <w:sz w:val="24"/>
          <w:szCs w:val="24"/>
          <w:lang w:val="sr-Cyrl-RS" w:eastAsia="hr-HR"/>
        </w:rPr>
        <w:t>15</w:t>
      </w:r>
      <w:r w:rsidRPr="00EA0FD7">
        <w:rPr>
          <w:rFonts w:ascii="Times New Roman" w:eastAsia="Times New Roman" w:hAnsi="Times New Roman" w:cs="Times New Roman"/>
          <w:sz w:val="24"/>
          <w:szCs w:val="24"/>
          <w:lang w:val="sr-Cyrl-RS" w:eastAsia="hr-HR"/>
        </w:rPr>
        <w:fldChar w:fldCharType="end"/>
      </w:r>
      <w:r w:rsidRPr="00EA0FD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Cs/>
          <w:sz w:val="24"/>
          <w:szCs w:val="24"/>
          <w:lang w:val="sr-Cyrl-RS" w:eastAsia="hr-HR"/>
        </w:rPr>
        <w:t xml:space="preserve"> Трендови у наплати прихода од путарине</w:t>
      </w:r>
      <w:bookmarkEnd w:id="68"/>
    </w:p>
    <w:tbl>
      <w:tblPr>
        <w:tblW w:w="9780" w:type="dxa"/>
        <w:tblInd w:w="108" w:type="dxa"/>
        <w:shd w:val="clear" w:color="auto" w:fill="FDE9D9"/>
        <w:tblLayout w:type="fixed"/>
        <w:tblLook w:val="04A0" w:firstRow="1" w:lastRow="0" w:firstColumn="1" w:lastColumn="0" w:noHBand="0" w:noVBand="1"/>
      </w:tblPr>
      <w:tblGrid>
        <w:gridCol w:w="4820"/>
        <w:gridCol w:w="4960"/>
      </w:tblGrid>
      <w:tr w:rsidR="00EA0FD7" w:rsidRPr="00EA0FD7" w14:paraId="677CA414" w14:textId="77777777" w:rsidTr="00EA0FD7">
        <w:trPr>
          <w:trHeight w:hRule="exact" w:val="102"/>
        </w:trPr>
        <w:tc>
          <w:tcPr>
            <w:tcW w:w="4820" w:type="dxa"/>
            <w:shd w:val="clear" w:color="auto" w:fill="FDE9D9"/>
          </w:tcPr>
          <w:p w14:paraId="6E65CA70"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52141529"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r w:rsidR="00EA0FD7" w:rsidRPr="00EA0FD7" w14:paraId="6FA56608" w14:textId="77777777" w:rsidTr="00EA0FD7">
        <w:tc>
          <w:tcPr>
            <w:tcW w:w="4820" w:type="dxa"/>
            <w:shd w:val="clear" w:color="auto" w:fill="FDE9D9"/>
            <w:hideMark/>
          </w:tcPr>
          <w:p w14:paraId="33AF7978"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26C518FB" wp14:editId="725C097B">
                  <wp:extent cx="2998470" cy="274320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8470" cy="2743200"/>
                          </a:xfrm>
                          <a:prstGeom prst="rect">
                            <a:avLst/>
                          </a:prstGeom>
                          <a:noFill/>
                          <a:ln>
                            <a:noFill/>
                          </a:ln>
                        </pic:spPr>
                      </pic:pic>
                    </a:graphicData>
                  </a:graphic>
                </wp:inline>
              </w:drawing>
            </w:r>
          </w:p>
        </w:tc>
        <w:tc>
          <w:tcPr>
            <w:tcW w:w="4961" w:type="dxa"/>
            <w:shd w:val="clear" w:color="auto" w:fill="FDE9D9"/>
            <w:hideMark/>
          </w:tcPr>
          <w:p w14:paraId="6DD3C124"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4FE4ABA5" wp14:editId="1299AB71">
                  <wp:extent cx="2998470" cy="274320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8470" cy="2743200"/>
                          </a:xfrm>
                          <a:prstGeom prst="rect">
                            <a:avLst/>
                          </a:prstGeom>
                          <a:noFill/>
                          <a:ln>
                            <a:noFill/>
                          </a:ln>
                        </pic:spPr>
                      </pic:pic>
                    </a:graphicData>
                  </a:graphic>
                </wp:inline>
              </w:drawing>
            </w:r>
          </w:p>
        </w:tc>
      </w:tr>
      <w:tr w:rsidR="00EA0FD7" w:rsidRPr="00EA0FD7" w14:paraId="14B69E38" w14:textId="77777777" w:rsidTr="00EA0FD7">
        <w:trPr>
          <w:trHeight w:hRule="exact" w:val="102"/>
        </w:trPr>
        <w:tc>
          <w:tcPr>
            <w:tcW w:w="4820" w:type="dxa"/>
            <w:shd w:val="clear" w:color="auto" w:fill="FDE9D9"/>
          </w:tcPr>
          <w:p w14:paraId="374826BC"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6602CE70"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bl>
    <w:p w14:paraId="3CE083AA" w14:textId="6E3294BB"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Извор: Управа за индиректно </w:t>
      </w:r>
      <w:r w:rsidR="00F42184">
        <w:rPr>
          <w:rFonts w:ascii="Times New Roman" w:eastAsia="Times New Roman" w:hAnsi="Times New Roman" w:cs="Times New Roman"/>
          <w:sz w:val="20"/>
          <w:szCs w:val="20"/>
          <w:lang w:val="sr-Cyrl-RS" w:eastAsia="hr-HR"/>
        </w:rPr>
        <w:t>опорезивање</w:t>
      </w:r>
      <w:r w:rsidRPr="00EA0FD7">
        <w:rPr>
          <w:rFonts w:ascii="Times New Roman" w:eastAsia="Times New Roman" w:hAnsi="Times New Roman" w:cs="Times New Roman"/>
          <w:sz w:val="20"/>
          <w:szCs w:val="20"/>
          <w:lang w:val="sr-Cyrl-RS" w:eastAsia="hr-HR"/>
        </w:rPr>
        <w:t xml:space="preserve"> БиХ, приказ ОМА</w:t>
      </w:r>
    </w:p>
    <w:p w14:paraId="0C27E8E1"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p>
    <w:p w14:paraId="721DA43A" w14:textId="4804EADE" w:rsidR="00EA0FD7" w:rsidRPr="00EA0FD7" w:rsidRDefault="00EA0FD7" w:rsidP="00EA0FD7">
      <w:pPr>
        <w:suppressLineNumbers/>
        <w:suppressAutoHyphens/>
        <w:spacing w:after="0" w:line="240" w:lineRule="auto"/>
        <w:jc w:val="center"/>
        <w:rPr>
          <w:rFonts w:ascii="Times New Roman" w:eastAsia="Times New Roman" w:hAnsi="Times New Roman" w:cs="Times New Roman"/>
          <w:bCs/>
          <w:iCs/>
          <w:sz w:val="24"/>
          <w:szCs w:val="24"/>
          <w:lang w:val="sr-Cyrl-RS" w:eastAsia="ar-SA"/>
        </w:rPr>
      </w:pPr>
      <w:bookmarkStart w:id="69" w:name="_Toc100909344"/>
      <w:r w:rsidRPr="00AE5455">
        <w:rPr>
          <w:rFonts w:ascii="Times New Roman" w:eastAsia="Times New Roman" w:hAnsi="Times New Roman" w:cs="Times New Roman"/>
          <w:b/>
          <w:iCs/>
          <w:color w:val="000000"/>
          <w:sz w:val="18"/>
          <w:szCs w:val="24"/>
          <w:lang w:val="sr-Cyrl-RS" w:eastAsia="ar-SA"/>
        </w:rPr>
        <w:t xml:space="preserve">Графикон 3. </w:t>
      </w:r>
      <w:r w:rsidRPr="00EA0FD7">
        <w:rPr>
          <w:rFonts w:ascii="Calibri" w:eastAsia="Times New Roman" w:hAnsi="Calibri" w:cs="Tahoma"/>
          <w:i/>
          <w:iCs/>
          <w:sz w:val="24"/>
          <w:szCs w:val="24"/>
          <w:lang w:val="sr-Cyrl-RS" w:eastAsia="ar-SA"/>
        </w:rPr>
        <w:fldChar w:fldCharType="begin"/>
      </w:r>
      <w:r w:rsidRPr="00AE5455">
        <w:rPr>
          <w:rFonts w:ascii="Times New Roman" w:eastAsia="Times New Roman" w:hAnsi="Times New Roman" w:cs="Times New Roman"/>
          <w:b/>
          <w:iCs/>
          <w:color w:val="000000"/>
          <w:sz w:val="18"/>
          <w:szCs w:val="24"/>
          <w:lang w:val="sr-Cyrl-RS" w:eastAsia="ar-SA"/>
        </w:rPr>
        <w:instrText xml:space="preserve"> SEQ Grafikon_ \* ARABIC </w:instrText>
      </w:r>
      <w:r w:rsidRPr="00EA0FD7">
        <w:rPr>
          <w:rFonts w:ascii="Calibri" w:eastAsia="Times New Roman" w:hAnsi="Calibri" w:cs="Tahoma"/>
          <w:i/>
          <w:iCs/>
          <w:sz w:val="24"/>
          <w:szCs w:val="24"/>
          <w:lang w:val="sr-Cyrl-RS" w:eastAsia="ar-SA"/>
        </w:rPr>
        <w:fldChar w:fldCharType="separate"/>
      </w:r>
      <w:r w:rsidRPr="00AE5455">
        <w:rPr>
          <w:rFonts w:ascii="Times New Roman" w:eastAsia="Times New Roman" w:hAnsi="Times New Roman" w:cs="Times New Roman"/>
          <w:b/>
          <w:iCs/>
          <w:color w:val="000000"/>
          <w:sz w:val="18"/>
          <w:szCs w:val="24"/>
          <w:lang w:val="sr-Cyrl-RS" w:eastAsia="ar-SA"/>
        </w:rPr>
        <w:t>16</w:t>
      </w:r>
      <w:r w:rsidRPr="00EA0FD7">
        <w:rPr>
          <w:rFonts w:ascii="Calibri" w:eastAsia="Times New Roman" w:hAnsi="Calibri" w:cs="Tahoma"/>
          <w:i/>
          <w:iCs/>
          <w:sz w:val="24"/>
          <w:szCs w:val="24"/>
          <w:lang w:val="sr-Cyrl-RS" w:eastAsia="ar-SA"/>
        </w:rPr>
        <w:fldChar w:fldCharType="end"/>
      </w:r>
      <w:r w:rsidRPr="00EA0FD7">
        <w:rPr>
          <w:rFonts w:ascii="Times New Roman" w:eastAsia="Times New Roman" w:hAnsi="Times New Roman" w:cs="Times New Roman"/>
          <w:b/>
          <w:iCs/>
          <w:sz w:val="24"/>
          <w:szCs w:val="24"/>
          <w:lang w:val="sr-Cyrl-RS" w:eastAsia="ar-SA"/>
        </w:rPr>
        <w:t>.</w:t>
      </w:r>
      <w:r w:rsidRPr="00EA0FD7">
        <w:rPr>
          <w:rFonts w:ascii="Times New Roman" w:eastAsia="Times New Roman" w:hAnsi="Times New Roman" w:cs="Times New Roman"/>
          <w:iCs/>
          <w:sz w:val="24"/>
          <w:szCs w:val="24"/>
          <w:lang w:val="sr-Cyrl-RS" w:eastAsia="ar-SA"/>
        </w:rPr>
        <w:t xml:space="preserve"> </w:t>
      </w:r>
      <w:r w:rsidRPr="00EA0FD7">
        <w:rPr>
          <w:rFonts w:ascii="Times New Roman" w:eastAsia="Times New Roman" w:hAnsi="Times New Roman" w:cs="Times New Roman"/>
          <w:bCs/>
          <w:iCs/>
          <w:sz w:val="24"/>
          <w:szCs w:val="24"/>
          <w:lang w:val="sr-Cyrl-RS" w:eastAsia="ar-SA"/>
        </w:rPr>
        <w:t>Трендови у наплати прихода од акциза на ка</w:t>
      </w:r>
      <w:r w:rsidR="00D21440">
        <w:rPr>
          <w:rFonts w:ascii="Times New Roman" w:eastAsia="Times New Roman" w:hAnsi="Times New Roman" w:cs="Times New Roman"/>
          <w:bCs/>
          <w:iCs/>
          <w:sz w:val="24"/>
          <w:szCs w:val="24"/>
          <w:lang w:val="sr-Cyrl-RS" w:eastAsia="ar-SA"/>
        </w:rPr>
        <w:t>ф</w:t>
      </w:r>
      <w:r w:rsidRPr="00EA0FD7">
        <w:rPr>
          <w:rFonts w:ascii="Times New Roman" w:eastAsia="Times New Roman" w:hAnsi="Times New Roman" w:cs="Times New Roman"/>
          <w:bCs/>
          <w:iCs/>
          <w:sz w:val="24"/>
          <w:szCs w:val="24"/>
          <w:lang w:val="sr-Cyrl-RS" w:eastAsia="ar-SA"/>
        </w:rPr>
        <w:t>у</w:t>
      </w:r>
      <w:bookmarkEnd w:id="69"/>
    </w:p>
    <w:tbl>
      <w:tblPr>
        <w:tblW w:w="0" w:type="auto"/>
        <w:tblInd w:w="1242" w:type="dxa"/>
        <w:shd w:val="clear" w:color="auto" w:fill="FDE9D9"/>
        <w:tblLook w:val="04A0" w:firstRow="1" w:lastRow="0" w:firstColumn="1" w:lastColumn="0" w:noHBand="0" w:noVBand="1"/>
      </w:tblPr>
      <w:tblGrid>
        <w:gridCol w:w="7513"/>
      </w:tblGrid>
      <w:tr w:rsidR="00EA0FD7" w:rsidRPr="00EA0FD7" w14:paraId="7E7C2412" w14:textId="77777777" w:rsidTr="00EA0FD7">
        <w:trPr>
          <w:cantSplit/>
          <w:trHeight w:val="113"/>
        </w:trPr>
        <w:tc>
          <w:tcPr>
            <w:tcW w:w="7513" w:type="dxa"/>
            <w:shd w:val="clear" w:color="auto" w:fill="FDE9D9"/>
          </w:tcPr>
          <w:p w14:paraId="76323084"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tc>
      </w:tr>
      <w:tr w:rsidR="00EA0FD7" w:rsidRPr="00EA0FD7" w14:paraId="16F63188" w14:textId="77777777" w:rsidTr="00EA0FD7">
        <w:trPr>
          <w:trHeight w:val="57"/>
        </w:trPr>
        <w:tc>
          <w:tcPr>
            <w:tcW w:w="7513" w:type="dxa"/>
            <w:shd w:val="clear" w:color="auto" w:fill="FDE9D9"/>
            <w:hideMark/>
          </w:tcPr>
          <w:p w14:paraId="7B80CAE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2C52C101" wp14:editId="7DC30A9E">
                  <wp:extent cx="4601845" cy="2760980"/>
                  <wp:effectExtent l="0" t="0" r="8255" b="127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01845" cy="2760980"/>
                          </a:xfrm>
                          <a:prstGeom prst="rect">
                            <a:avLst/>
                          </a:prstGeom>
                          <a:noFill/>
                          <a:ln>
                            <a:noFill/>
                          </a:ln>
                        </pic:spPr>
                      </pic:pic>
                    </a:graphicData>
                  </a:graphic>
                </wp:inline>
              </w:drawing>
            </w:r>
          </w:p>
        </w:tc>
      </w:tr>
    </w:tbl>
    <w:p w14:paraId="7DD6E7D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88A626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FEED8B9"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78FD04F9" w14:textId="605B020C"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Наплата прихода од акциза на каву је протеклих година била подложна снажним осцилацијама. Међутим у посљедња два квартала 2021. године забиљежене су скромне стопе раста, а у првом кварталу и пад од 1,1% (Графикон 3.16), што представља изненађење с </w:t>
      </w:r>
      <w:r w:rsidRPr="00EA0FD7">
        <w:rPr>
          <w:rFonts w:ascii="Times New Roman" w:eastAsia="Times New Roman" w:hAnsi="Times New Roman" w:cs="Times New Roman"/>
          <w:sz w:val="24"/>
          <w:szCs w:val="24"/>
          <w:lang w:val="sr-Cyrl-RS" w:eastAsia="hr-HR"/>
        </w:rPr>
        <w:lastRenderedPageBreak/>
        <w:t xml:space="preserve">обзиром на раст потрошње осталих добара, посебно потрошње нерезидената и посљедично, наплате акциза на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 xml:space="preserve">ске прерађевине и деривате нафте.  </w:t>
      </w:r>
    </w:p>
    <w:p w14:paraId="1DB4C782"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3B56943A"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bookmarkStart w:id="70" w:name="_Toc100909345"/>
      <w:r w:rsidRPr="00EA0FD7">
        <w:rPr>
          <w:rFonts w:ascii="Times New Roman" w:eastAsia="Times New Roman" w:hAnsi="Times New Roman" w:cs="Times New Roman"/>
          <w:b/>
          <w:sz w:val="24"/>
          <w:szCs w:val="24"/>
          <w:lang w:val="sr-Cyrl-RS" w:eastAsia="hr-HR"/>
        </w:rPr>
        <w:t xml:space="preserve">Графикон 3. </w:t>
      </w:r>
      <w:r w:rsidRPr="00EA0FD7">
        <w:rPr>
          <w:rFonts w:ascii="Times New Roman" w:eastAsia="Times New Roman" w:hAnsi="Times New Roman" w:cs="Times New Roman"/>
          <w:sz w:val="24"/>
          <w:szCs w:val="24"/>
          <w:lang w:val="sr-Cyrl-RS" w:eastAsia="hr-HR"/>
        </w:rPr>
        <w:fldChar w:fldCharType="begin"/>
      </w:r>
      <w:r w:rsidRPr="00EA0FD7">
        <w:rPr>
          <w:rFonts w:ascii="Times New Roman" w:eastAsia="Times New Roman" w:hAnsi="Times New Roman" w:cs="Times New Roman"/>
          <w:b/>
          <w:sz w:val="24"/>
          <w:szCs w:val="24"/>
          <w:lang w:val="sr-Cyrl-RS" w:eastAsia="hr-HR"/>
        </w:rPr>
        <w:instrText xml:space="preserve"> SEQ Grafikon_ \* ARABIC </w:instrText>
      </w:r>
      <w:r w:rsidRPr="00EA0FD7">
        <w:rPr>
          <w:rFonts w:ascii="Times New Roman" w:eastAsia="Times New Roman" w:hAnsi="Times New Roman" w:cs="Times New Roman"/>
          <w:sz w:val="24"/>
          <w:szCs w:val="24"/>
          <w:lang w:val="sr-Cyrl-RS" w:eastAsia="hr-HR"/>
        </w:rPr>
        <w:fldChar w:fldCharType="separate"/>
      </w:r>
      <w:r w:rsidRPr="00EA0FD7">
        <w:rPr>
          <w:rFonts w:ascii="Times New Roman" w:eastAsia="Times New Roman" w:hAnsi="Times New Roman" w:cs="Times New Roman"/>
          <w:b/>
          <w:sz w:val="24"/>
          <w:szCs w:val="24"/>
          <w:lang w:val="sr-Cyrl-RS" w:eastAsia="hr-HR"/>
        </w:rPr>
        <w:t>17</w:t>
      </w:r>
      <w:r w:rsidRPr="00EA0FD7">
        <w:rPr>
          <w:rFonts w:ascii="Times New Roman" w:eastAsia="Times New Roman" w:hAnsi="Times New Roman" w:cs="Times New Roman"/>
          <w:sz w:val="24"/>
          <w:szCs w:val="24"/>
          <w:lang w:val="sr-Cyrl-RS" w:eastAsia="hr-HR"/>
        </w:rPr>
        <w:fldChar w:fldCharType="end"/>
      </w:r>
      <w:r w:rsidRPr="00EA0FD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Cs/>
          <w:sz w:val="24"/>
          <w:szCs w:val="24"/>
          <w:lang w:val="sr-Cyrl-RS" w:eastAsia="hr-HR"/>
        </w:rPr>
        <w:t xml:space="preserve"> Тредови у наплати акциза на пиво, безалкохолна пића, алкохол и алкохолна пића и вино</w:t>
      </w:r>
      <w:bookmarkEnd w:id="70"/>
    </w:p>
    <w:tbl>
      <w:tblPr>
        <w:tblW w:w="9780" w:type="dxa"/>
        <w:tblInd w:w="108" w:type="dxa"/>
        <w:shd w:val="clear" w:color="auto" w:fill="FDE9D9"/>
        <w:tblLayout w:type="fixed"/>
        <w:tblLook w:val="04A0" w:firstRow="1" w:lastRow="0" w:firstColumn="1" w:lastColumn="0" w:noHBand="0" w:noVBand="1"/>
      </w:tblPr>
      <w:tblGrid>
        <w:gridCol w:w="4820"/>
        <w:gridCol w:w="4960"/>
      </w:tblGrid>
      <w:tr w:rsidR="00EA0FD7" w:rsidRPr="00EA0FD7" w14:paraId="5CD523E5" w14:textId="77777777" w:rsidTr="00EA0FD7">
        <w:trPr>
          <w:trHeight w:hRule="exact" w:val="102"/>
        </w:trPr>
        <w:tc>
          <w:tcPr>
            <w:tcW w:w="4820" w:type="dxa"/>
            <w:shd w:val="clear" w:color="auto" w:fill="FDE9D9"/>
          </w:tcPr>
          <w:p w14:paraId="03815249"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133E6C80"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r w:rsidR="00EA0FD7" w:rsidRPr="00EA0FD7" w14:paraId="175CE181" w14:textId="77777777" w:rsidTr="00EA0FD7">
        <w:tc>
          <w:tcPr>
            <w:tcW w:w="4820" w:type="dxa"/>
            <w:shd w:val="clear" w:color="auto" w:fill="FDE9D9"/>
            <w:hideMark/>
          </w:tcPr>
          <w:p w14:paraId="77CEE746"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3E7B45A3" wp14:editId="1A2B49F8">
                  <wp:extent cx="2986405" cy="2517775"/>
                  <wp:effectExtent l="0" t="0" r="4445" b="0"/>
                  <wp:docPr id="35" name="Slika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6405" cy="2517775"/>
                          </a:xfrm>
                          <a:prstGeom prst="rect">
                            <a:avLst/>
                          </a:prstGeom>
                          <a:noFill/>
                          <a:ln>
                            <a:noFill/>
                          </a:ln>
                        </pic:spPr>
                      </pic:pic>
                    </a:graphicData>
                  </a:graphic>
                </wp:inline>
              </w:drawing>
            </w:r>
          </w:p>
        </w:tc>
        <w:tc>
          <w:tcPr>
            <w:tcW w:w="4961" w:type="dxa"/>
            <w:shd w:val="clear" w:color="auto" w:fill="FDE9D9"/>
            <w:hideMark/>
          </w:tcPr>
          <w:p w14:paraId="578B5586"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09C17B13" wp14:editId="5E9B426B">
                  <wp:extent cx="2986405" cy="2517775"/>
                  <wp:effectExtent l="0" t="0" r="4445" b="0"/>
                  <wp:docPr id="36" name="Slika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6405" cy="2517775"/>
                          </a:xfrm>
                          <a:prstGeom prst="rect">
                            <a:avLst/>
                          </a:prstGeom>
                          <a:noFill/>
                          <a:ln>
                            <a:noFill/>
                          </a:ln>
                        </pic:spPr>
                      </pic:pic>
                    </a:graphicData>
                  </a:graphic>
                </wp:inline>
              </w:drawing>
            </w:r>
          </w:p>
        </w:tc>
      </w:tr>
      <w:tr w:rsidR="00EA0FD7" w:rsidRPr="00EA0FD7" w14:paraId="2B4761DD" w14:textId="77777777" w:rsidTr="00EA0FD7">
        <w:tc>
          <w:tcPr>
            <w:tcW w:w="4820" w:type="dxa"/>
            <w:shd w:val="clear" w:color="auto" w:fill="FDE9D9"/>
            <w:hideMark/>
          </w:tcPr>
          <w:p w14:paraId="6143D3F3"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054FFDC2" wp14:editId="68C6AAC1">
                  <wp:extent cx="2986405" cy="2517775"/>
                  <wp:effectExtent l="0" t="0" r="4445" b="0"/>
                  <wp:docPr id="37" name="Slika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86405" cy="2517775"/>
                          </a:xfrm>
                          <a:prstGeom prst="rect">
                            <a:avLst/>
                          </a:prstGeom>
                          <a:noFill/>
                          <a:ln>
                            <a:noFill/>
                          </a:ln>
                        </pic:spPr>
                      </pic:pic>
                    </a:graphicData>
                  </a:graphic>
                </wp:inline>
              </w:drawing>
            </w:r>
          </w:p>
        </w:tc>
        <w:tc>
          <w:tcPr>
            <w:tcW w:w="4961" w:type="dxa"/>
            <w:shd w:val="clear" w:color="auto" w:fill="FDE9D9"/>
            <w:hideMark/>
          </w:tcPr>
          <w:p w14:paraId="0226F310"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28919F8E" wp14:editId="75A2E492">
                  <wp:extent cx="2986405" cy="2517775"/>
                  <wp:effectExtent l="0" t="0" r="4445" b="0"/>
                  <wp:docPr id="38" name="Slika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6405" cy="2517775"/>
                          </a:xfrm>
                          <a:prstGeom prst="rect">
                            <a:avLst/>
                          </a:prstGeom>
                          <a:noFill/>
                          <a:ln>
                            <a:noFill/>
                          </a:ln>
                        </pic:spPr>
                      </pic:pic>
                    </a:graphicData>
                  </a:graphic>
                </wp:inline>
              </w:drawing>
            </w:r>
          </w:p>
        </w:tc>
      </w:tr>
      <w:tr w:rsidR="00EA0FD7" w:rsidRPr="00EA0FD7" w14:paraId="0F7EF9AE" w14:textId="77777777" w:rsidTr="00EA0FD7">
        <w:trPr>
          <w:trHeight w:hRule="exact" w:val="102"/>
        </w:trPr>
        <w:tc>
          <w:tcPr>
            <w:tcW w:w="4820" w:type="dxa"/>
            <w:shd w:val="clear" w:color="auto" w:fill="FDE9D9"/>
          </w:tcPr>
          <w:p w14:paraId="6C8225D7"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57F28FAE"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bl>
    <w:p w14:paraId="153D382B" w14:textId="584D78AB"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Извор: Управа за индиректно </w:t>
      </w:r>
      <w:r w:rsidR="00F42184">
        <w:rPr>
          <w:rFonts w:ascii="Times New Roman" w:eastAsia="Times New Roman" w:hAnsi="Times New Roman" w:cs="Times New Roman"/>
          <w:sz w:val="20"/>
          <w:szCs w:val="20"/>
          <w:lang w:val="sr-Cyrl-RS" w:eastAsia="hr-HR"/>
        </w:rPr>
        <w:t>опорезивање</w:t>
      </w:r>
      <w:r w:rsidRPr="00EA0FD7">
        <w:rPr>
          <w:rFonts w:ascii="Times New Roman" w:eastAsia="Times New Roman" w:hAnsi="Times New Roman" w:cs="Times New Roman"/>
          <w:sz w:val="20"/>
          <w:szCs w:val="20"/>
          <w:lang w:val="sr-Cyrl-RS" w:eastAsia="hr-HR"/>
        </w:rPr>
        <w:t xml:space="preserve"> БиХ, приказ ОМА</w:t>
      </w:r>
    </w:p>
    <w:p w14:paraId="68A086AF" w14:textId="77777777"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p>
    <w:p w14:paraId="715BE93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првом кварталу 2022. године остварен је раст прихода од акциза на безалкохолна пића од 4%, акциза на вино од 30,2% и акциза на алкохол и алкохолна пића од 23,3%, чиме су настављени позитивни трендови из 2021. године (Графикон 3.17). С друге стране, настављају се негативни трендови у наплати акциза на пиво, код којих је забиљежен пад наплате у првом кварталу 2022. године од -7,8% (Графикон 3.17), при чему је  наплата акциза на увозна пива на нивоу наплате из првог квартала 2021. године, док је наплата акциза на домаћа пива мања за чак 27,2%.</w:t>
      </w:r>
    </w:p>
    <w:p w14:paraId="6E0E2C81"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p>
    <w:p w14:paraId="30CE4F1E" w14:textId="112F8A5B" w:rsidR="00EA0FD7" w:rsidRPr="00EA0FD7" w:rsidRDefault="00EA0FD7" w:rsidP="00EA0FD7">
      <w:pPr>
        <w:keepNext/>
        <w:spacing w:after="0" w:line="240" w:lineRule="auto"/>
        <w:jc w:val="both"/>
        <w:outlineLvl w:val="0"/>
        <w:rPr>
          <w:rFonts w:ascii="Times New Roman" w:eastAsia="Times New Roman" w:hAnsi="Times New Roman" w:cs="Times New Roman"/>
          <w:b/>
          <w:kern w:val="24"/>
          <w:sz w:val="24"/>
          <w:szCs w:val="24"/>
          <w:lang w:val="sr-Cyrl-RS" w:eastAsia="hr-HR"/>
        </w:rPr>
      </w:pPr>
      <w:bookmarkStart w:id="71" w:name="_Toc4666035"/>
      <w:bookmarkStart w:id="72" w:name="_Toc100751297"/>
      <w:r w:rsidRPr="00EA0FD7">
        <w:rPr>
          <w:rFonts w:ascii="Times New Roman" w:eastAsia="Times New Roman" w:hAnsi="Times New Roman" w:cs="Times New Roman"/>
          <w:b/>
          <w:kern w:val="24"/>
          <w:sz w:val="24"/>
          <w:szCs w:val="24"/>
          <w:lang w:val="sr-Cyrl-RS" w:eastAsia="hr-HR"/>
        </w:rPr>
        <w:t>Пројекције прихода од индиректних пореза 2022</w:t>
      </w:r>
      <w:r w:rsidR="00D21440">
        <w:rPr>
          <w:rFonts w:ascii="Times New Roman" w:eastAsia="Times New Roman" w:hAnsi="Times New Roman" w:cs="Times New Roman"/>
          <w:b/>
          <w:kern w:val="24"/>
          <w:sz w:val="24"/>
          <w:szCs w:val="24"/>
          <w:lang w:val="sr-Cyrl-RS" w:eastAsia="hr-HR"/>
        </w:rPr>
        <w:t>–</w:t>
      </w:r>
      <w:r w:rsidRPr="00EA0FD7">
        <w:rPr>
          <w:rFonts w:ascii="Times New Roman" w:eastAsia="Times New Roman" w:hAnsi="Times New Roman" w:cs="Times New Roman"/>
          <w:b/>
          <w:kern w:val="24"/>
          <w:sz w:val="24"/>
          <w:szCs w:val="24"/>
          <w:lang w:val="sr-Cyrl-RS" w:eastAsia="hr-HR"/>
        </w:rPr>
        <w:t>202</w:t>
      </w:r>
      <w:bookmarkEnd w:id="71"/>
      <w:r w:rsidRPr="00EA0FD7">
        <w:rPr>
          <w:rFonts w:ascii="Times New Roman" w:eastAsia="Times New Roman" w:hAnsi="Times New Roman" w:cs="Times New Roman"/>
          <w:b/>
          <w:kern w:val="24"/>
          <w:sz w:val="24"/>
          <w:szCs w:val="24"/>
          <w:lang w:val="sr-Cyrl-RS" w:eastAsia="hr-HR"/>
        </w:rPr>
        <w:t xml:space="preserve">5. године </w:t>
      </w:r>
      <w:bookmarkEnd w:id="72"/>
    </w:p>
    <w:p w14:paraId="75BE0E4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736DEF0" w14:textId="177CE2F4"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Пројекције прихода за период 2022</w:t>
      </w:r>
      <w:r w:rsidR="00D21440">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2025. године доступне су у Табели 3.3. </w:t>
      </w:r>
      <w:r w:rsidR="00D21440">
        <w:rPr>
          <w:rFonts w:ascii="Times New Roman" w:eastAsia="Times New Roman" w:hAnsi="Times New Roman" w:cs="Times New Roman"/>
          <w:sz w:val="24"/>
          <w:szCs w:val="24"/>
          <w:lang w:val="sr-Cyrl-RS" w:eastAsia="hr-HR"/>
        </w:rPr>
        <w:t>к</w:t>
      </w:r>
      <w:r w:rsidRPr="00EA0FD7">
        <w:rPr>
          <w:rFonts w:ascii="Times New Roman" w:eastAsia="Times New Roman" w:hAnsi="Times New Roman" w:cs="Times New Roman"/>
          <w:sz w:val="24"/>
          <w:szCs w:val="24"/>
          <w:lang w:val="sr-Cyrl-RS" w:eastAsia="hr-HR"/>
        </w:rPr>
        <w:t>ако би се о</w:t>
      </w:r>
      <w:r w:rsidR="00D21440">
        <w:rPr>
          <w:rFonts w:ascii="Times New Roman" w:eastAsia="Times New Roman" w:hAnsi="Times New Roman" w:cs="Times New Roman"/>
          <w:sz w:val="24"/>
          <w:szCs w:val="24"/>
          <w:lang w:val="sr-Cyrl-RS" w:eastAsia="hr-HR"/>
        </w:rPr>
        <w:t>безбиједила</w:t>
      </w:r>
      <w:r w:rsidRPr="00EA0FD7">
        <w:rPr>
          <w:rFonts w:ascii="Times New Roman" w:eastAsia="Times New Roman" w:hAnsi="Times New Roman" w:cs="Times New Roman"/>
          <w:sz w:val="24"/>
          <w:szCs w:val="24"/>
          <w:lang w:val="sr-Cyrl-RS" w:eastAsia="hr-HR"/>
        </w:rPr>
        <w:t xml:space="preserve"> упоредивост пројектираних и наплаћених прихода од индиректних пореза, пројекције прихода од индиректних пореза приказане су на готовинској основи у складу са извјештајима УИО о наплати по врстама прихода. У Табели 3.4. су приказане пројекције прихода у % БДП-а.  </w:t>
      </w:r>
    </w:p>
    <w:p w14:paraId="2F135D8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4F8C530"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sectPr w:rsidR="00EA0FD7" w:rsidRPr="00EA0FD7" w:rsidSect="000C192B">
          <w:pgSz w:w="11906" w:h="16838"/>
          <w:pgMar w:top="993" w:right="1134" w:bottom="567" w:left="1134" w:header="709" w:footer="1247" w:gutter="0"/>
          <w:pgNumType w:chapStyle="1"/>
          <w:cols w:space="720"/>
        </w:sectPr>
      </w:pPr>
    </w:p>
    <w:p w14:paraId="26B1898C" w14:textId="4C3AF1B9"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bookmarkStart w:id="73" w:name="_Toc100909150"/>
      <w:r w:rsidRPr="00EA0FD7">
        <w:rPr>
          <w:rFonts w:ascii="Times New Roman" w:eastAsia="Times New Roman" w:hAnsi="Times New Roman" w:cs="Times New Roman"/>
          <w:b/>
          <w:sz w:val="24"/>
          <w:szCs w:val="24"/>
          <w:lang w:val="sr-Cyrl-RS" w:eastAsia="hr-HR"/>
        </w:rPr>
        <w:lastRenderedPageBreak/>
        <w:t xml:space="preserve">Табела 3. </w:t>
      </w:r>
      <w:r w:rsidRPr="00EA0FD7">
        <w:rPr>
          <w:rFonts w:ascii="Times New Roman" w:eastAsia="Times New Roman" w:hAnsi="Times New Roman" w:cs="Times New Roman"/>
          <w:sz w:val="24"/>
          <w:szCs w:val="24"/>
          <w:lang w:val="sr-Cyrl-RS" w:eastAsia="hr-HR"/>
        </w:rPr>
        <w:fldChar w:fldCharType="begin"/>
      </w:r>
      <w:r w:rsidRPr="00EA0FD7">
        <w:rPr>
          <w:rFonts w:ascii="Times New Roman" w:eastAsia="Times New Roman" w:hAnsi="Times New Roman" w:cs="Times New Roman"/>
          <w:b/>
          <w:sz w:val="24"/>
          <w:szCs w:val="24"/>
          <w:lang w:val="sr-Cyrl-RS" w:eastAsia="hr-HR"/>
        </w:rPr>
        <w:instrText xml:space="preserve"> SEQ Tabela \* ARABIC </w:instrText>
      </w:r>
      <w:r w:rsidRPr="00EA0FD7">
        <w:rPr>
          <w:rFonts w:ascii="Times New Roman" w:eastAsia="Times New Roman" w:hAnsi="Times New Roman" w:cs="Times New Roman"/>
          <w:sz w:val="24"/>
          <w:szCs w:val="24"/>
          <w:lang w:val="sr-Cyrl-RS" w:eastAsia="hr-HR"/>
        </w:rPr>
        <w:fldChar w:fldCharType="separate"/>
      </w:r>
      <w:r w:rsidRPr="00EA0FD7">
        <w:rPr>
          <w:rFonts w:ascii="Times New Roman" w:eastAsia="Times New Roman" w:hAnsi="Times New Roman" w:cs="Times New Roman"/>
          <w:b/>
          <w:sz w:val="24"/>
          <w:szCs w:val="24"/>
          <w:lang w:val="sr-Cyrl-RS" w:eastAsia="hr-HR"/>
        </w:rPr>
        <w:t>3</w:t>
      </w:r>
      <w:r w:rsidRPr="00EA0FD7">
        <w:rPr>
          <w:rFonts w:ascii="Times New Roman" w:eastAsia="Times New Roman" w:hAnsi="Times New Roman" w:cs="Times New Roman"/>
          <w:sz w:val="24"/>
          <w:szCs w:val="24"/>
          <w:lang w:val="sr-Cyrl-RS" w:eastAsia="hr-HR"/>
        </w:rPr>
        <w:fldChar w:fldCharType="end"/>
      </w:r>
      <w:r w:rsidRPr="00EA0FD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sz w:val="24"/>
          <w:szCs w:val="24"/>
          <w:lang w:val="sr-Cyrl-RS" w:eastAsia="hr-HR"/>
        </w:rPr>
        <w:t xml:space="preserve"> Основни сценарио пројекција прихода од индиректних пореза (2022</w:t>
      </w:r>
      <w:r w:rsidR="00D21440">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2025), април 2022. године</w:t>
      </w:r>
      <w:bookmarkEnd w:id="73"/>
    </w:p>
    <w:tbl>
      <w:tblPr>
        <w:tblW w:w="14607" w:type="dxa"/>
        <w:tblInd w:w="93" w:type="dxa"/>
        <w:tblLook w:val="04A0" w:firstRow="1" w:lastRow="0" w:firstColumn="1" w:lastColumn="0" w:noHBand="0" w:noVBand="1"/>
      </w:tblPr>
      <w:tblGrid>
        <w:gridCol w:w="3554"/>
        <w:gridCol w:w="1289"/>
        <w:gridCol w:w="1179"/>
        <w:gridCol w:w="1179"/>
        <w:gridCol w:w="1179"/>
        <w:gridCol w:w="1179"/>
        <w:gridCol w:w="442"/>
        <w:gridCol w:w="1179"/>
        <w:gridCol w:w="1179"/>
        <w:gridCol w:w="1179"/>
        <w:gridCol w:w="1179"/>
      </w:tblGrid>
      <w:tr w:rsidR="00EA0FD7" w:rsidRPr="00EA0FD7" w14:paraId="29F27020" w14:textId="77777777" w:rsidTr="00EA0FD7">
        <w:trPr>
          <w:trHeight w:hRule="exact" w:val="340"/>
        </w:trPr>
        <w:tc>
          <w:tcPr>
            <w:tcW w:w="3554" w:type="dxa"/>
            <w:vMerge w:val="restart"/>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03F681C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Врста прихода (нето)</w:t>
            </w:r>
          </w:p>
        </w:tc>
        <w:tc>
          <w:tcPr>
            <w:tcW w:w="5895" w:type="dxa"/>
            <w:gridSpan w:val="5"/>
            <w:tcBorders>
              <w:top w:val="single" w:sz="4" w:space="0" w:color="auto"/>
              <w:left w:val="nil"/>
              <w:bottom w:val="single" w:sz="4" w:space="0" w:color="auto"/>
              <w:right w:val="single" w:sz="4" w:space="0" w:color="auto"/>
            </w:tcBorders>
            <w:shd w:val="clear" w:color="auto" w:fill="FDE9D9"/>
            <w:noWrap/>
            <w:vAlign w:val="bottom"/>
            <w:hideMark/>
          </w:tcPr>
          <w:p w14:paraId="22DE42F5" w14:textId="0C58260B"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у мил</w:t>
            </w:r>
            <w:r w:rsidR="00D21440">
              <w:rPr>
                <w:rFonts w:ascii="Times New Roman" w:eastAsia="Times New Roman" w:hAnsi="Times New Roman" w:cs="Times New Roman"/>
                <w:sz w:val="24"/>
                <w:szCs w:val="24"/>
                <w:lang w:val="sr-Cyrl-RS" w:eastAsia="bs-Latn-BA"/>
              </w:rPr>
              <w:t>.</w:t>
            </w:r>
            <w:r w:rsidRPr="00EA0FD7">
              <w:rPr>
                <w:rFonts w:ascii="Times New Roman" w:eastAsia="Times New Roman" w:hAnsi="Times New Roman" w:cs="Times New Roman"/>
                <w:sz w:val="24"/>
                <w:szCs w:val="24"/>
                <w:lang w:val="sr-Cyrl-RS" w:eastAsia="bs-Latn-BA"/>
              </w:rPr>
              <w:t xml:space="preserve"> КМ</w:t>
            </w:r>
          </w:p>
        </w:tc>
        <w:tc>
          <w:tcPr>
            <w:tcW w:w="442" w:type="dxa"/>
            <w:vMerge w:val="restart"/>
            <w:tcBorders>
              <w:top w:val="single" w:sz="4" w:space="0" w:color="auto"/>
              <w:left w:val="nil"/>
              <w:bottom w:val="single" w:sz="4" w:space="0" w:color="auto"/>
              <w:right w:val="single" w:sz="4" w:space="0" w:color="auto"/>
            </w:tcBorders>
            <w:shd w:val="clear" w:color="auto" w:fill="FDE9D9"/>
            <w:noWrap/>
            <w:vAlign w:val="bottom"/>
          </w:tcPr>
          <w:p w14:paraId="43BB6E4C"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p>
        </w:tc>
        <w:tc>
          <w:tcPr>
            <w:tcW w:w="4716" w:type="dxa"/>
            <w:gridSpan w:val="4"/>
            <w:vMerge w:val="restart"/>
            <w:tcBorders>
              <w:top w:val="single" w:sz="4" w:space="0" w:color="auto"/>
              <w:left w:val="nil"/>
              <w:bottom w:val="single" w:sz="4" w:space="0" w:color="auto"/>
              <w:right w:val="single" w:sz="4" w:space="0" w:color="auto"/>
            </w:tcBorders>
            <w:shd w:val="clear" w:color="auto" w:fill="FDE9D9"/>
            <w:noWrap/>
            <w:vAlign w:val="bottom"/>
            <w:hideMark/>
          </w:tcPr>
          <w:p w14:paraId="0883236B" w14:textId="2732D5A6"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Пројект</w:t>
            </w:r>
            <w:r w:rsidR="00D21440">
              <w:rPr>
                <w:rFonts w:ascii="Times New Roman" w:eastAsia="Times New Roman" w:hAnsi="Times New Roman" w:cs="Times New Roman"/>
                <w:sz w:val="24"/>
                <w:szCs w:val="24"/>
                <w:lang w:val="sr-Cyrl-RS" w:eastAsia="bs-Latn-BA"/>
              </w:rPr>
              <w:t>ована</w:t>
            </w:r>
            <w:r w:rsidRPr="00EA0FD7">
              <w:rPr>
                <w:rFonts w:ascii="Times New Roman" w:eastAsia="Times New Roman" w:hAnsi="Times New Roman" w:cs="Times New Roman"/>
                <w:sz w:val="24"/>
                <w:szCs w:val="24"/>
                <w:lang w:val="sr-Cyrl-RS" w:eastAsia="bs-Latn-BA"/>
              </w:rPr>
              <w:t xml:space="preserve"> стопа раста</w:t>
            </w:r>
          </w:p>
        </w:tc>
      </w:tr>
      <w:tr w:rsidR="00EA0FD7" w:rsidRPr="00EA0FD7" w14:paraId="6EF9554B" w14:textId="77777777" w:rsidTr="00EA0FD7">
        <w:trPr>
          <w:trHeight w:hRule="exac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45490"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bs-Latn-BA"/>
              </w:rPr>
            </w:pPr>
          </w:p>
        </w:tc>
        <w:tc>
          <w:tcPr>
            <w:tcW w:w="1179" w:type="dxa"/>
            <w:tcBorders>
              <w:top w:val="single" w:sz="4" w:space="0" w:color="auto"/>
              <w:left w:val="nil"/>
              <w:bottom w:val="single" w:sz="4" w:space="0" w:color="auto"/>
              <w:right w:val="single" w:sz="4" w:space="0" w:color="auto"/>
            </w:tcBorders>
            <w:shd w:val="clear" w:color="auto" w:fill="FDE9D9"/>
            <w:noWrap/>
            <w:vAlign w:val="bottom"/>
            <w:hideMark/>
          </w:tcPr>
          <w:p w14:paraId="0AED0975"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Извршење</w:t>
            </w:r>
          </w:p>
        </w:tc>
        <w:tc>
          <w:tcPr>
            <w:tcW w:w="4716" w:type="dxa"/>
            <w:gridSpan w:val="4"/>
            <w:tcBorders>
              <w:top w:val="single" w:sz="4" w:space="0" w:color="auto"/>
              <w:left w:val="nil"/>
              <w:bottom w:val="single" w:sz="4" w:space="0" w:color="auto"/>
              <w:right w:val="single" w:sz="4" w:space="0" w:color="auto"/>
            </w:tcBorders>
            <w:shd w:val="clear" w:color="auto" w:fill="FDE9D9"/>
            <w:noWrap/>
            <w:vAlign w:val="bottom"/>
            <w:hideMark/>
          </w:tcPr>
          <w:p w14:paraId="42908B9F"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Пројекција</w:t>
            </w:r>
          </w:p>
        </w:tc>
        <w:tc>
          <w:tcPr>
            <w:tcW w:w="0" w:type="auto"/>
            <w:vMerge/>
            <w:tcBorders>
              <w:top w:val="single" w:sz="4" w:space="0" w:color="auto"/>
              <w:left w:val="nil"/>
              <w:bottom w:val="single" w:sz="4" w:space="0" w:color="auto"/>
              <w:right w:val="single" w:sz="4" w:space="0" w:color="auto"/>
            </w:tcBorders>
            <w:vAlign w:val="center"/>
            <w:hideMark/>
          </w:tcPr>
          <w:p w14:paraId="3E491C7E"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bs-Latn-BA"/>
              </w:rPr>
            </w:pPr>
          </w:p>
        </w:tc>
        <w:tc>
          <w:tcPr>
            <w:tcW w:w="0" w:type="auto"/>
            <w:gridSpan w:val="4"/>
            <w:vMerge/>
            <w:tcBorders>
              <w:top w:val="single" w:sz="4" w:space="0" w:color="auto"/>
              <w:left w:val="nil"/>
              <w:bottom w:val="single" w:sz="4" w:space="0" w:color="auto"/>
              <w:right w:val="single" w:sz="4" w:space="0" w:color="auto"/>
            </w:tcBorders>
            <w:vAlign w:val="center"/>
            <w:hideMark/>
          </w:tcPr>
          <w:p w14:paraId="15D6DD6D"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bs-Latn-BA"/>
              </w:rPr>
            </w:pPr>
          </w:p>
        </w:tc>
      </w:tr>
      <w:tr w:rsidR="00EA0FD7" w:rsidRPr="00EA0FD7" w14:paraId="5D46E019" w14:textId="77777777" w:rsidTr="00EA0FD7">
        <w:trPr>
          <w:trHeight w:hRule="exac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4A0F03"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bs-Latn-BA"/>
              </w:rPr>
            </w:pPr>
          </w:p>
        </w:tc>
        <w:tc>
          <w:tcPr>
            <w:tcW w:w="1179" w:type="dxa"/>
            <w:tcBorders>
              <w:top w:val="single" w:sz="4" w:space="0" w:color="auto"/>
              <w:left w:val="nil"/>
              <w:bottom w:val="single" w:sz="4" w:space="0" w:color="auto"/>
              <w:right w:val="single" w:sz="4" w:space="0" w:color="auto"/>
            </w:tcBorders>
            <w:shd w:val="clear" w:color="auto" w:fill="FDE9D9"/>
            <w:noWrap/>
            <w:vAlign w:val="bottom"/>
            <w:hideMark/>
          </w:tcPr>
          <w:p w14:paraId="2A2ECE2B"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2021</w:t>
            </w:r>
          </w:p>
        </w:tc>
        <w:tc>
          <w:tcPr>
            <w:tcW w:w="1179" w:type="dxa"/>
            <w:tcBorders>
              <w:top w:val="single" w:sz="4" w:space="0" w:color="auto"/>
              <w:left w:val="nil"/>
              <w:bottom w:val="single" w:sz="4" w:space="0" w:color="auto"/>
              <w:right w:val="single" w:sz="4" w:space="0" w:color="auto"/>
            </w:tcBorders>
            <w:shd w:val="clear" w:color="auto" w:fill="FDE9D9"/>
            <w:noWrap/>
            <w:vAlign w:val="bottom"/>
            <w:hideMark/>
          </w:tcPr>
          <w:p w14:paraId="60A806A2"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2022</w:t>
            </w:r>
          </w:p>
        </w:tc>
        <w:tc>
          <w:tcPr>
            <w:tcW w:w="1179" w:type="dxa"/>
            <w:tcBorders>
              <w:top w:val="single" w:sz="4" w:space="0" w:color="auto"/>
              <w:left w:val="nil"/>
              <w:bottom w:val="single" w:sz="4" w:space="0" w:color="auto"/>
              <w:right w:val="single" w:sz="4" w:space="0" w:color="auto"/>
            </w:tcBorders>
            <w:shd w:val="clear" w:color="auto" w:fill="FDE9D9"/>
            <w:noWrap/>
            <w:vAlign w:val="bottom"/>
            <w:hideMark/>
          </w:tcPr>
          <w:p w14:paraId="29136BD7"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2023</w:t>
            </w:r>
          </w:p>
        </w:tc>
        <w:tc>
          <w:tcPr>
            <w:tcW w:w="1179" w:type="dxa"/>
            <w:tcBorders>
              <w:top w:val="single" w:sz="4" w:space="0" w:color="auto"/>
              <w:left w:val="nil"/>
              <w:bottom w:val="single" w:sz="4" w:space="0" w:color="auto"/>
              <w:right w:val="single" w:sz="4" w:space="0" w:color="auto"/>
            </w:tcBorders>
            <w:shd w:val="clear" w:color="auto" w:fill="FDE9D9"/>
            <w:noWrap/>
            <w:vAlign w:val="bottom"/>
            <w:hideMark/>
          </w:tcPr>
          <w:p w14:paraId="691CDBAA"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2024</w:t>
            </w:r>
          </w:p>
        </w:tc>
        <w:tc>
          <w:tcPr>
            <w:tcW w:w="1179" w:type="dxa"/>
            <w:tcBorders>
              <w:top w:val="single" w:sz="4" w:space="0" w:color="auto"/>
              <w:left w:val="nil"/>
              <w:bottom w:val="single" w:sz="4" w:space="0" w:color="auto"/>
              <w:right w:val="single" w:sz="4" w:space="0" w:color="auto"/>
            </w:tcBorders>
            <w:shd w:val="clear" w:color="auto" w:fill="FDE9D9"/>
            <w:noWrap/>
            <w:vAlign w:val="bottom"/>
            <w:hideMark/>
          </w:tcPr>
          <w:p w14:paraId="1323EA51"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2025</w:t>
            </w:r>
          </w:p>
        </w:tc>
        <w:tc>
          <w:tcPr>
            <w:tcW w:w="0" w:type="auto"/>
            <w:vMerge/>
            <w:tcBorders>
              <w:top w:val="single" w:sz="4" w:space="0" w:color="auto"/>
              <w:left w:val="nil"/>
              <w:bottom w:val="single" w:sz="4" w:space="0" w:color="auto"/>
              <w:right w:val="single" w:sz="4" w:space="0" w:color="auto"/>
            </w:tcBorders>
            <w:vAlign w:val="center"/>
            <w:hideMark/>
          </w:tcPr>
          <w:p w14:paraId="63E0EBEE"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bs-Latn-BA"/>
              </w:rPr>
            </w:pPr>
          </w:p>
        </w:tc>
        <w:tc>
          <w:tcPr>
            <w:tcW w:w="1179" w:type="dxa"/>
            <w:tcBorders>
              <w:top w:val="single" w:sz="4" w:space="0" w:color="auto"/>
              <w:left w:val="nil"/>
              <w:bottom w:val="single" w:sz="4" w:space="0" w:color="auto"/>
              <w:right w:val="single" w:sz="4" w:space="0" w:color="auto"/>
            </w:tcBorders>
            <w:shd w:val="clear" w:color="auto" w:fill="FDE9D9"/>
            <w:noWrap/>
            <w:vAlign w:val="bottom"/>
            <w:hideMark/>
          </w:tcPr>
          <w:p w14:paraId="46C806BE"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2022</w:t>
            </w:r>
          </w:p>
        </w:tc>
        <w:tc>
          <w:tcPr>
            <w:tcW w:w="1179" w:type="dxa"/>
            <w:tcBorders>
              <w:top w:val="single" w:sz="4" w:space="0" w:color="auto"/>
              <w:left w:val="nil"/>
              <w:bottom w:val="single" w:sz="4" w:space="0" w:color="auto"/>
              <w:right w:val="single" w:sz="4" w:space="0" w:color="auto"/>
            </w:tcBorders>
            <w:shd w:val="clear" w:color="auto" w:fill="FDE9D9"/>
            <w:noWrap/>
            <w:vAlign w:val="bottom"/>
            <w:hideMark/>
          </w:tcPr>
          <w:p w14:paraId="02B7757A"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2023</w:t>
            </w:r>
          </w:p>
        </w:tc>
        <w:tc>
          <w:tcPr>
            <w:tcW w:w="1179" w:type="dxa"/>
            <w:tcBorders>
              <w:top w:val="single" w:sz="4" w:space="0" w:color="auto"/>
              <w:left w:val="nil"/>
              <w:bottom w:val="single" w:sz="4" w:space="0" w:color="auto"/>
              <w:right w:val="single" w:sz="4" w:space="0" w:color="auto"/>
            </w:tcBorders>
            <w:shd w:val="clear" w:color="auto" w:fill="FDE9D9"/>
            <w:noWrap/>
            <w:vAlign w:val="bottom"/>
            <w:hideMark/>
          </w:tcPr>
          <w:p w14:paraId="5322839D"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2024</w:t>
            </w:r>
          </w:p>
        </w:tc>
        <w:tc>
          <w:tcPr>
            <w:tcW w:w="1179" w:type="dxa"/>
            <w:tcBorders>
              <w:top w:val="single" w:sz="4" w:space="0" w:color="auto"/>
              <w:left w:val="nil"/>
              <w:bottom w:val="single" w:sz="4" w:space="0" w:color="auto"/>
              <w:right w:val="single" w:sz="4" w:space="0" w:color="auto"/>
            </w:tcBorders>
            <w:shd w:val="clear" w:color="auto" w:fill="FDE9D9"/>
            <w:noWrap/>
            <w:vAlign w:val="bottom"/>
            <w:hideMark/>
          </w:tcPr>
          <w:p w14:paraId="6E200403"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2025</w:t>
            </w:r>
          </w:p>
        </w:tc>
      </w:tr>
      <w:tr w:rsidR="00EA0FD7" w:rsidRPr="00EA0FD7" w14:paraId="7E8E15CA" w14:textId="77777777" w:rsidTr="00EA0FD7">
        <w:trPr>
          <w:trHeight w:hRule="exact" w:val="454"/>
        </w:trPr>
        <w:tc>
          <w:tcPr>
            <w:tcW w:w="3554" w:type="dxa"/>
            <w:tcBorders>
              <w:top w:val="nil"/>
              <w:left w:val="single" w:sz="4" w:space="0" w:color="auto"/>
              <w:bottom w:val="single" w:sz="4" w:space="0" w:color="auto"/>
              <w:right w:val="single" w:sz="4" w:space="0" w:color="auto"/>
            </w:tcBorders>
            <w:noWrap/>
            <w:vAlign w:val="center"/>
            <w:hideMark/>
          </w:tcPr>
          <w:p w14:paraId="0310066A"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ПДВ</w:t>
            </w:r>
          </w:p>
        </w:tc>
        <w:tc>
          <w:tcPr>
            <w:tcW w:w="1179" w:type="dxa"/>
            <w:tcBorders>
              <w:top w:val="single" w:sz="4" w:space="0" w:color="auto"/>
              <w:left w:val="nil"/>
              <w:bottom w:val="single" w:sz="4" w:space="0" w:color="auto"/>
              <w:right w:val="single" w:sz="4" w:space="0" w:color="auto"/>
            </w:tcBorders>
            <w:noWrap/>
            <w:vAlign w:val="center"/>
            <w:hideMark/>
          </w:tcPr>
          <w:p w14:paraId="18D2B021"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4.429,9</w:t>
            </w:r>
          </w:p>
        </w:tc>
        <w:tc>
          <w:tcPr>
            <w:tcW w:w="1179" w:type="dxa"/>
            <w:tcBorders>
              <w:top w:val="nil"/>
              <w:left w:val="nil"/>
              <w:bottom w:val="single" w:sz="4" w:space="0" w:color="auto"/>
              <w:right w:val="single" w:sz="4" w:space="0" w:color="auto"/>
            </w:tcBorders>
            <w:noWrap/>
            <w:vAlign w:val="center"/>
            <w:hideMark/>
          </w:tcPr>
          <w:p w14:paraId="65BBAE7E"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4.915,3</w:t>
            </w:r>
          </w:p>
        </w:tc>
        <w:tc>
          <w:tcPr>
            <w:tcW w:w="1179" w:type="dxa"/>
            <w:tcBorders>
              <w:top w:val="nil"/>
              <w:left w:val="nil"/>
              <w:bottom w:val="single" w:sz="4" w:space="0" w:color="auto"/>
              <w:right w:val="single" w:sz="4" w:space="0" w:color="auto"/>
            </w:tcBorders>
            <w:noWrap/>
            <w:vAlign w:val="center"/>
            <w:hideMark/>
          </w:tcPr>
          <w:p w14:paraId="6C21F3B5"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5.069,4</w:t>
            </w:r>
          </w:p>
        </w:tc>
        <w:tc>
          <w:tcPr>
            <w:tcW w:w="1179" w:type="dxa"/>
            <w:tcBorders>
              <w:top w:val="nil"/>
              <w:left w:val="nil"/>
              <w:bottom w:val="single" w:sz="4" w:space="0" w:color="auto"/>
              <w:right w:val="single" w:sz="4" w:space="0" w:color="auto"/>
            </w:tcBorders>
            <w:noWrap/>
            <w:vAlign w:val="center"/>
            <w:hideMark/>
          </w:tcPr>
          <w:p w14:paraId="6D8F6215"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5.214,8</w:t>
            </w:r>
          </w:p>
        </w:tc>
        <w:tc>
          <w:tcPr>
            <w:tcW w:w="1179" w:type="dxa"/>
            <w:tcBorders>
              <w:top w:val="nil"/>
              <w:left w:val="nil"/>
              <w:bottom w:val="single" w:sz="4" w:space="0" w:color="auto"/>
              <w:right w:val="single" w:sz="4" w:space="0" w:color="auto"/>
            </w:tcBorders>
            <w:noWrap/>
            <w:vAlign w:val="center"/>
            <w:hideMark/>
          </w:tcPr>
          <w:p w14:paraId="30B2BF3C"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5.365,6</w:t>
            </w:r>
          </w:p>
        </w:tc>
        <w:tc>
          <w:tcPr>
            <w:tcW w:w="442" w:type="dxa"/>
            <w:tcBorders>
              <w:top w:val="single" w:sz="4" w:space="0" w:color="auto"/>
              <w:left w:val="nil"/>
              <w:bottom w:val="single" w:sz="4" w:space="0" w:color="auto"/>
              <w:right w:val="single" w:sz="4" w:space="0" w:color="auto"/>
            </w:tcBorders>
            <w:noWrap/>
            <w:vAlign w:val="center"/>
          </w:tcPr>
          <w:p w14:paraId="545F2129" w14:textId="77777777" w:rsidR="00EA0FD7" w:rsidRPr="00EA0FD7" w:rsidRDefault="00EA0FD7" w:rsidP="00EA0FD7">
            <w:pPr>
              <w:spacing w:after="0" w:line="240" w:lineRule="auto"/>
              <w:jc w:val="right"/>
              <w:rPr>
                <w:rFonts w:ascii="Times New Roman" w:eastAsia="Times New Roman" w:hAnsi="Times New Roman" w:cs="Times New Roman"/>
                <w:sz w:val="24"/>
                <w:szCs w:val="24"/>
                <w:lang w:val="sr-Cyrl-RS" w:eastAsia="bs-Latn-BA"/>
              </w:rPr>
            </w:pPr>
          </w:p>
        </w:tc>
        <w:tc>
          <w:tcPr>
            <w:tcW w:w="1179" w:type="dxa"/>
            <w:tcBorders>
              <w:top w:val="nil"/>
              <w:left w:val="nil"/>
              <w:bottom w:val="single" w:sz="4" w:space="0" w:color="auto"/>
              <w:right w:val="single" w:sz="4" w:space="0" w:color="auto"/>
            </w:tcBorders>
            <w:noWrap/>
            <w:vAlign w:val="center"/>
            <w:hideMark/>
          </w:tcPr>
          <w:p w14:paraId="6087FCDB"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11,0%</w:t>
            </w:r>
          </w:p>
        </w:tc>
        <w:tc>
          <w:tcPr>
            <w:tcW w:w="1179" w:type="dxa"/>
            <w:tcBorders>
              <w:top w:val="nil"/>
              <w:left w:val="nil"/>
              <w:bottom w:val="single" w:sz="4" w:space="0" w:color="auto"/>
              <w:right w:val="single" w:sz="4" w:space="0" w:color="auto"/>
            </w:tcBorders>
            <w:noWrap/>
            <w:vAlign w:val="center"/>
            <w:hideMark/>
          </w:tcPr>
          <w:p w14:paraId="5BFC4B07"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3,1%</w:t>
            </w:r>
          </w:p>
        </w:tc>
        <w:tc>
          <w:tcPr>
            <w:tcW w:w="1179" w:type="dxa"/>
            <w:tcBorders>
              <w:top w:val="nil"/>
              <w:left w:val="nil"/>
              <w:bottom w:val="single" w:sz="4" w:space="0" w:color="auto"/>
              <w:right w:val="single" w:sz="4" w:space="0" w:color="auto"/>
            </w:tcBorders>
            <w:noWrap/>
            <w:vAlign w:val="center"/>
            <w:hideMark/>
          </w:tcPr>
          <w:p w14:paraId="78D733D7"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2,9%</w:t>
            </w:r>
          </w:p>
        </w:tc>
        <w:tc>
          <w:tcPr>
            <w:tcW w:w="1179" w:type="dxa"/>
            <w:tcBorders>
              <w:top w:val="nil"/>
              <w:left w:val="nil"/>
              <w:bottom w:val="single" w:sz="4" w:space="0" w:color="auto"/>
              <w:right w:val="single" w:sz="4" w:space="0" w:color="auto"/>
            </w:tcBorders>
            <w:noWrap/>
            <w:vAlign w:val="center"/>
            <w:hideMark/>
          </w:tcPr>
          <w:p w14:paraId="72ECB950"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2,9%</w:t>
            </w:r>
          </w:p>
        </w:tc>
      </w:tr>
      <w:tr w:rsidR="00EA0FD7" w:rsidRPr="00EA0FD7" w14:paraId="168A4E30" w14:textId="77777777" w:rsidTr="00EA0FD7">
        <w:trPr>
          <w:trHeight w:hRule="exact" w:val="454"/>
        </w:trPr>
        <w:tc>
          <w:tcPr>
            <w:tcW w:w="3554" w:type="dxa"/>
            <w:tcBorders>
              <w:top w:val="nil"/>
              <w:left w:val="single" w:sz="4" w:space="0" w:color="auto"/>
              <w:bottom w:val="single" w:sz="4" w:space="0" w:color="auto"/>
              <w:right w:val="single" w:sz="4" w:space="0" w:color="auto"/>
            </w:tcBorders>
            <w:noWrap/>
            <w:vAlign w:val="center"/>
            <w:hideMark/>
          </w:tcPr>
          <w:p w14:paraId="2BE6DD9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Акцизе</w:t>
            </w:r>
          </w:p>
        </w:tc>
        <w:tc>
          <w:tcPr>
            <w:tcW w:w="1179" w:type="dxa"/>
            <w:tcBorders>
              <w:top w:val="single" w:sz="4" w:space="0" w:color="auto"/>
              <w:left w:val="nil"/>
              <w:bottom w:val="single" w:sz="4" w:space="0" w:color="auto"/>
              <w:right w:val="single" w:sz="4" w:space="0" w:color="auto"/>
            </w:tcBorders>
            <w:noWrap/>
            <w:vAlign w:val="center"/>
            <w:hideMark/>
          </w:tcPr>
          <w:p w14:paraId="52CFE9C2"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1.475,9</w:t>
            </w:r>
          </w:p>
        </w:tc>
        <w:tc>
          <w:tcPr>
            <w:tcW w:w="1179" w:type="dxa"/>
            <w:tcBorders>
              <w:top w:val="nil"/>
              <w:left w:val="nil"/>
              <w:bottom w:val="single" w:sz="4" w:space="0" w:color="auto"/>
              <w:right w:val="single" w:sz="4" w:space="0" w:color="auto"/>
            </w:tcBorders>
            <w:noWrap/>
            <w:vAlign w:val="center"/>
            <w:hideMark/>
          </w:tcPr>
          <w:p w14:paraId="0D4793A4"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1.565,7</w:t>
            </w:r>
          </w:p>
        </w:tc>
        <w:tc>
          <w:tcPr>
            <w:tcW w:w="1179" w:type="dxa"/>
            <w:tcBorders>
              <w:top w:val="nil"/>
              <w:left w:val="nil"/>
              <w:bottom w:val="single" w:sz="4" w:space="0" w:color="auto"/>
              <w:right w:val="single" w:sz="4" w:space="0" w:color="auto"/>
            </w:tcBorders>
            <w:noWrap/>
            <w:vAlign w:val="center"/>
            <w:hideMark/>
          </w:tcPr>
          <w:p w14:paraId="0DF7BE18"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1.605,9</w:t>
            </w:r>
          </w:p>
        </w:tc>
        <w:tc>
          <w:tcPr>
            <w:tcW w:w="1179" w:type="dxa"/>
            <w:tcBorders>
              <w:top w:val="nil"/>
              <w:left w:val="nil"/>
              <w:bottom w:val="single" w:sz="4" w:space="0" w:color="auto"/>
              <w:right w:val="single" w:sz="4" w:space="0" w:color="auto"/>
            </w:tcBorders>
            <w:noWrap/>
            <w:vAlign w:val="center"/>
            <w:hideMark/>
          </w:tcPr>
          <w:p w14:paraId="74444514"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1.641,9</w:t>
            </w:r>
          </w:p>
        </w:tc>
        <w:tc>
          <w:tcPr>
            <w:tcW w:w="1179" w:type="dxa"/>
            <w:tcBorders>
              <w:top w:val="nil"/>
              <w:left w:val="nil"/>
              <w:bottom w:val="single" w:sz="4" w:space="0" w:color="auto"/>
              <w:right w:val="single" w:sz="4" w:space="0" w:color="auto"/>
            </w:tcBorders>
            <w:noWrap/>
            <w:vAlign w:val="center"/>
            <w:hideMark/>
          </w:tcPr>
          <w:p w14:paraId="7A1B1077"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1.681,4</w:t>
            </w:r>
          </w:p>
        </w:tc>
        <w:tc>
          <w:tcPr>
            <w:tcW w:w="442" w:type="dxa"/>
            <w:tcBorders>
              <w:top w:val="single" w:sz="4" w:space="0" w:color="auto"/>
              <w:left w:val="nil"/>
              <w:bottom w:val="single" w:sz="4" w:space="0" w:color="auto"/>
              <w:right w:val="single" w:sz="4" w:space="0" w:color="auto"/>
            </w:tcBorders>
            <w:noWrap/>
            <w:vAlign w:val="center"/>
          </w:tcPr>
          <w:p w14:paraId="7B539D56" w14:textId="77777777" w:rsidR="00EA0FD7" w:rsidRPr="00EA0FD7" w:rsidRDefault="00EA0FD7" w:rsidP="00EA0FD7">
            <w:pPr>
              <w:spacing w:after="0" w:line="240" w:lineRule="auto"/>
              <w:jc w:val="right"/>
              <w:rPr>
                <w:rFonts w:ascii="Times New Roman" w:eastAsia="Times New Roman" w:hAnsi="Times New Roman" w:cs="Times New Roman"/>
                <w:sz w:val="24"/>
                <w:szCs w:val="24"/>
                <w:lang w:val="sr-Cyrl-RS" w:eastAsia="bs-Latn-BA"/>
              </w:rPr>
            </w:pPr>
          </w:p>
        </w:tc>
        <w:tc>
          <w:tcPr>
            <w:tcW w:w="1179" w:type="dxa"/>
            <w:tcBorders>
              <w:top w:val="nil"/>
              <w:left w:val="nil"/>
              <w:bottom w:val="single" w:sz="4" w:space="0" w:color="auto"/>
              <w:right w:val="single" w:sz="4" w:space="0" w:color="auto"/>
            </w:tcBorders>
            <w:noWrap/>
            <w:vAlign w:val="center"/>
            <w:hideMark/>
          </w:tcPr>
          <w:p w14:paraId="51C7F30A"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6,1%</w:t>
            </w:r>
          </w:p>
        </w:tc>
        <w:tc>
          <w:tcPr>
            <w:tcW w:w="1179" w:type="dxa"/>
            <w:tcBorders>
              <w:top w:val="nil"/>
              <w:left w:val="nil"/>
              <w:bottom w:val="single" w:sz="4" w:space="0" w:color="auto"/>
              <w:right w:val="single" w:sz="4" w:space="0" w:color="auto"/>
            </w:tcBorders>
            <w:noWrap/>
            <w:vAlign w:val="center"/>
            <w:hideMark/>
          </w:tcPr>
          <w:p w14:paraId="7EC397C7"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2,6%</w:t>
            </w:r>
          </w:p>
        </w:tc>
        <w:tc>
          <w:tcPr>
            <w:tcW w:w="1179" w:type="dxa"/>
            <w:tcBorders>
              <w:top w:val="nil"/>
              <w:left w:val="nil"/>
              <w:bottom w:val="single" w:sz="4" w:space="0" w:color="auto"/>
              <w:right w:val="single" w:sz="4" w:space="0" w:color="auto"/>
            </w:tcBorders>
            <w:noWrap/>
            <w:vAlign w:val="center"/>
            <w:hideMark/>
          </w:tcPr>
          <w:p w14:paraId="30A2A2A2"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2,2%</w:t>
            </w:r>
          </w:p>
        </w:tc>
        <w:tc>
          <w:tcPr>
            <w:tcW w:w="1179" w:type="dxa"/>
            <w:tcBorders>
              <w:top w:val="nil"/>
              <w:left w:val="nil"/>
              <w:bottom w:val="single" w:sz="4" w:space="0" w:color="auto"/>
              <w:right w:val="single" w:sz="4" w:space="0" w:color="auto"/>
            </w:tcBorders>
            <w:noWrap/>
            <w:vAlign w:val="center"/>
            <w:hideMark/>
          </w:tcPr>
          <w:p w14:paraId="6A45E5B5"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2,4%</w:t>
            </w:r>
          </w:p>
        </w:tc>
      </w:tr>
      <w:tr w:rsidR="00EA0FD7" w:rsidRPr="00EA0FD7" w14:paraId="35936209" w14:textId="77777777" w:rsidTr="00EA0FD7">
        <w:trPr>
          <w:trHeight w:hRule="exact" w:val="454"/>
        </w:trPr>
        <w:tc>
          <w:tcPr>
            <w:tcW w:w="3554" w:type="dxa"/>
            <w:tcBorders>
              <w:top w:val="nil"/>
              <w:left w:val="single" w:sz="4" w:space="0" w:color="auto"/>
              <w:bottom w:val="single" w:sz="4" w:space="0" w:color="auto"/>
              <w:right w:val="single" w:sz="4" w:space="0" w:color="auto"/>
            </w:tcBorders>
            <w:noWrap/>
            <w:vAlign w:val="center"/>
            <w:hideMark/>
          </w:tcPr>
          <w:p w14:paraId="52E63D76"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 xml:space="preserve">Царине </w:t>
            </w:r>
          </w:p>
        </w:tc>
        <w:tc>
          <w:tcPr>
            <w:tcW w:w="1179" w:type="dxa"/>
            <w:tcBorders>
              <w:top w:val="single" w:sz="4" w:space="0" w:color="auto"/>
              <w:left w:val="nil"/>
              <w:bottom w:val="single" w:sz="4" w:space="0" w:color="auto"/>
              <w:right w:val="single" w:sz="4" w:space="0" w:color="auto"/>
            </w:tcBorders>
            <w:noWrap/>
            <w:vAlign w:val="center"/>
            <w:hideMark/>
          </w:tcPr>
          <w:p w14:paraId="65D0B048"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324,4</w:t>
            </w:r>
          </w:p>
        </w:tc>
        <w:tc>
          <w:tcPr>
            <w:tcW w:w="1179" w:type="dxa"/>
            <w:tcBorders>
              <w:top w:val="nil"/>
              <w:left w:val="nil"/>
              <w:bottom w:val="single" w:sz="4" w:space="0" w:color="auto"/>
              <w:right w:val="single" w:sz="4" w:space="0" w:color="auto"/>
            </w:tcBorders>
            <w:noWrap/>
            <w:vAlign w:val="center"/>
            <w:hideMark/>
          </w:tcPr>
          <w:p w14:paraId="1207A0E3"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363,5</w:t>
            </w:r>
          </w:p>
        </w:tc>
        <w:tc>
          <w:tcPr>
            <w:tcW w:w="1179" w:type="dxa"/>
            <w:tcBorders>
              <w:top w:val="nil"/>
              <w:left w:val="nil"/>
              <w:bottom w:val="single" w:sz="4" w:space="0" w:color="auto"/>
              <w:right w:val="single" w:sz="4" w:space="0" w:color="auto"/>
            </w:tcBorders>
            <w:noWrap/>
            <w:vAlign w:val="center"/>
            <w:hideMark/>
          </w:tcPr>
          <w:p w14:paraId="49B3D910"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389,3</w:t>
            </w:r>
          </w:p>
        </w:tc>
        <w:tc>
          <w:tcPr>
            <w:tcW w:w="1179" w:type="dxa"/>
            <w:tcBorders>
              <w:top w:val="nil"/>
              <w:left w:val="nil"/>
              <w:bottom w:val="single" w:sz="4" w:space="0" w:color="auto"/>
              <w:right w:val="single" w:sz="4" w:space="0" w:color="auto"/>
            </w:tcBorders>
            <w:noWrap/>
            <w:vAlign w:val="center"/>
            <w:hideMark/>
          </w:tcPr>
          <w:p w14:paraId="139B2849"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412,7</w:t>
            </w:r>
          </w:p>
        </w:tc>
        <w:tc>
          <w:tcPr>
            <w:tcW w:w="1179" w:type="dxa"/>
            <w:tcBorders>
              <w:top w:val="nil"/>
              <w:left w:val="nil"/>
              <w:bottom w:val="single" w:sz="4" w:space="0" w:color="auto"/>
              <w:right w:val="single" w:sz="4" w:space="0" w:color="auto"/>
            </w:tcBorders>
            <w:noWrap/>
            <w:vAlign w:val="center"/>
            <w:hideMark/>
          </w:tcPr>
          <w:p w14:paraId="42653A75"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441,2</w:t>
            </w:r>
          </w:p>
        </w:tc>
        <w:tc>
          <w:tcPr>
            <w:tcW w:w="442" w:type="dxa"/>
            <w:tcBorders>
              <w:top w:val="single" w:sz="4" w:space="0" w:color="auto"/>
              <w:left w:val="nil"/>
              <w:bottom w:val="single" w:sz="4" w:space="0" w:color="auto"/>
              <w:right w:val="single" w:sz="4" w:space="0" w:color="auto"/>
            </w:tcBorders>
            <w:noWrap/>
            <w:vAlign w:val="center"/>
          </w:tcPr>
          <w:p w14:paraId="40806E59" w14:textId="77777777" w:rsidR="00EA0FD7" w:rsidRPr="00EA0FD7" w:rsidRDefault="00EA0FD7" w:rsidP="00EA0FD7">
            <w:pPr>
              <w:spacing w:after="0" w:line="240" w:lineRule="auto"/>
              <w:jc w:val="right"/>
              <w:rPr>
                <w:rFonts w:ascii="Times New Roman" w:eastAsia="Times New Roman" w:hAnsi="Times New Roman" w:cs="Times New Roman"/>
                <w:sz w:val="24"/>
                <w:szCs w:val="24"/>
                <w:lang w:val="sr-Cyrl-RS" w:eastAsia="bs-Latn-BA"/>
              </w:rPr>
            </w:pPr>
          </w:p>
        </w:tc>
        <w:tc>
          <w:tcPr>
            <w:tcW w:w="1179" w:type="dxa"/>
            <w:tcBorders>
              <w:top w:val="nil"/>
              <w:left w:val="nil"/>
              <w:bottom w:val="single" w:sz="4" w:space="0" w:color="auto"/>
              <w:right w:val="single" w:sz="4" w:space="0" w:color="auto"/>
            </w:tcBorders>
            <w:noWrap/>
            <w:vAlign w:val="center"/>
            <w:hideMark/>
          </w:tcPr>
          <w:p w14:paraId="1A162FFD"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12,0%</w:t>
            </w:r>
          </w:p>
        </w:tc>
        <w:tc>
          <w:tcPr>
            <w:tcW w:w="1179" w:type="dxa"/>
            <w:tcBorders>
              <w:top w:val="nil"/>
              <w:left w:val="nil"/>
              <w:bottom w:val="single" w:sz="4" w:space="0" w:color="auto"/>
              <w:right w:val="single" w:sz="4" w:space="0" w:color="auto"/>
            </w:tcBorders>
            <w:noWrap/>
            <w:vAlign w:val="center"/>
            <w:hideMark/>
          </w:tcPr>
          <w:p w14:paraId="603BC6B6"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7,1%</w:t>
            </w:r>
          </w:p>
        </w:tc>
        <w:tc>
          <w:tcPr>
            <w:tcW w:w="1179" w:type="dxa"/>
            <w:tcBorders>
              <w:top w:val="nil"/>
              <w:left w:val="nil"/>
              <w:bottom w:val="single" w:sz="4" w:space="0" w:color="auto"/>
              <w:right w:val="single" w:sz="4" w:space="0" w:color="auto"/>
            </w:tcBorders>
            <w:noWrap/>
            <w:vAlign w:val="center"/>
            <w:hideMark/>
          </w:tcPr>
          <w:p w14:paraId="70433118"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6,0%</w:t>
            </w:r>
          </w:p>
        </w:tc>
        <w:tc>
          <w:tcPr>
            <w:tcW w:w="1179" w:type="dxa"/>
            <w:tcBorders>
              <w:top w:val="nil"/>
              <w:left w:val="nil"/>
              <w:bottom w:val="single" w:sz="4" w:space="0" w:color="auto"/>
              <w:right w:val="single" w:sz="4" w:space="0" w:color="auto"/>
            </w:tcBorders>
            <w:noWrap/>
            <w:vAlign w:val="center"/>
            <w:hideMark/>
          </w:tcPr>
          <w:p w14:paraId="5CBF6505"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6,9%</w:t>
            </w:r>
          </w:p>
        </w:tc>
      </w:tr>
      <w:tr w:rsidR="00EA0FD7" w:rsidRPr="00EA0FD7" w14:paraId="5AC95BFD" w14:textId="77777777" w:rsidTr="00EA0FD7">
        <w:trPr>
          <w:trHeight w:hRule="exact" w:val="454"/>
        </w:trPr>
        <w:tc>
          <w:tcPr>
            <w:tcW w:w="3554" w:type="dxa"/>
            <w:tcBorders>
              <w:top w:val="nil"/>
              <w:left w:val="single" w:sz="4" w:space="0" w:color="auto"/>
              <w:bottom w:val="single" w:sz="4" w:space="0" w:color="auto"/>
              <w:right w:val="single" w:sz="4" w:space="0" w:color="auto"/>
            </w:tcBorders>
            <w:noWrap/>
            <w:vAlign w:val="center"/>
            <w:hideMark/>
          </w:tcPr>
          <w:p w14:paraId="7224B85A"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Путарина</w:t>
            </w:r>
          </w:p>
        </w:tc>
        <w:tc>
          <w:tcPr>
            <w:tcW w:w="1179" w:type="dxa"/>
            <w:tcBorders>
              <w:top w:val="single" w:sz="4" w:space="0" w:color="auto"/>
              <w:left w:val="nil"/>
              <w:bottom w:val="single" w:sz="4" w:space="0" w:color="auto"/>
              <w:right w:val="single" w:sz="4" w:space="0" w:color="auto"/>
            </w:tcBorders>
            <w:noWrap/>
            <w:vAlign w:val="center"/>
            <w:hideMark/>
          </w:tcPr>
          <w:p w14:paraId="05C140AC"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655,0</w:t>
            </w:r>
          </w:p>
        </w:tc>
        <w:tc>
          <w:tcPr>
            <w:tcW w:w="1179" w:type="dxa"/>
            <w:tcBorders>
              <w:top w:val="nil"/>
              <w:left w:val="nil"/>
              <w:bottom w:val="single" w:sz="4" w:space="0" w:color="auto"/>
              <w:right w:val="single" w:sz="4" w:space="0" w:color="auto"/>
            </w:tcBorders>
            <w:noWrap/>
            <w:vAlign w:val="center"/>
            <w:hideMark/>
          </w:tcPr>
          <w:p w14:paraId="61DAB038"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669,0</w:t>
            </w:r>
          </w:p>
        </w:tc>
        <w:tc>
          <w:tcPr>
            <w:tcW w:w="1179" w:type="dxa"/>
            <w:tcBorders>
              <w:top w:val="nil"/>
              <w:left w:val="nil"/>
              <w:bottom w:val="single" w:sz="4" w:space="0" w:color="auto"/>
              <w:right w:val="single" w:sz="4" w:space="0" w:color="auto"/>
            </w:tcBorders>
            <w:noWrap/>
            <w:vAlign w:val="center"/>
            <w:hideMark/>
          </w:tcPr>
          <w:p w14:paraId="1DA734DB"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689,8</w:t>
            </w:r>
          </w:p>
        </w:tc>
        <w:tc>
          <w:tcPr>
            <w:tcW w:w="1179" w:type="dxa"/>
            <w:tcBorders>
              <w:top w:val="nil"/>
              <w:left w:val="nil"/>
              <w:bottom w:val="single" w:sz="4" w:space="0" w:color="auto"/>
              <w:right w:val="single" w:sz="4" w:space="0" w:color="auto"/>
            </w:tcBorders>
            <w:noWrap/>
            <w:vAlign w:val="center"/>
            <w:hideMark/>
          </w:tcPr>
          <w:p w14:paraId="32A3673D"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710,5</w:t>
            </w:r>
          </w:p>
        </w:tc>
        <w:tc>
          <w:tcPr>
            <w:tcW w:w="1179" w:type="dxa"/>
            <w:tcBorders>
              <w:top w:val="nil"/>
              <w:left w:val="nil"/>
              <w:bottom w:val="single" w:sz="4" w:space="0" w:color="auto"/>
              <w:right w:val="single" w:sz="4" w:space="0" w:color="auto"/>
            </w:tcBorders>
            <w:noWrap/>
            <w:vAlign w:val="center"/>
            <w:hideMark/>
          </w:tcPr>
          <w:p w14:paraId="41BC530C"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734,6</w:t>
            </w:r>
          </w:p>
        </w:tc>
        <w:tc>
          <w:tcPr>
            <w:tcW w:w="442" w:type="dxa"/>
            <w:tcBorders>
              <w:top w:val="single" w:sz="4" w:space="0" w:color="auto"/>
              <w:left w:val="nil"/>
              <w:bottom w:val="single" w:sz="4" w:space="0" w:color="auto"/>
              <w:right w:val="single" w:sz="4" w:space="0" w:color="auto"/>
            </w:tcBorders>
            <w:noWrap/>
            <w:vAlign w:val="center"/>
          </w:tcPr>
          <w:p w14:paraId="70CABC90" w14:textId="77777777" w:rsidR="00EA0FD7" w:rsidRPr="00EA0FD7" w:rsidRDefault="00EA0FD7" w:rsidP="00EA0FD7">
            <w:pPr>
              <w:spacing w:after="0" w:line="240" w:lineRule="auto"/>
              <w:jc w:val="right"/>
              <w:rPr>
                <w:rFonts w:ascii="Times New Roman" w:eastAsia="Times New Roman" w:hAnsi="Times New Roman" w:cs="Times New Roman"/>
                <w:sz w:val="24"/>
                <w:szCs w:val="24"/>
                <w:lang w:val="sr-Cyrl-RS" w:eastAsia="bs-Latn-BA"/>
              </w:rPr>
            </w:pPr>
          </w:p>
        </w:tc>
        <w:tc>
          <w:tcPr>
            <w:tcW w:w="1179" w:type="dxa"/>
            <w:tcBorders>
              <w:top w:val="nil"/>
              <w:left w:val="nil"/>
              <w:bottom w:val="single" w:sz="4" w:space="0" w:color="auto"/>
              <w:right w:val="single" w:sz="4" w:space="0" w:color="auto"/>
            </w:tcBorders>
            <w:noWrap/>
            <w:vAlign w:val="center"/>
            <w:hideMark/>
          </w:tcPr>
          <w:p w14:paraId="2CB0CBE9"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2,1%</w:t>
            </w:r>
          </w:p>
        </w:tc>
        <w:tc>
          <w:tcPr>
            <w:tcW w:w="1179" w:type="dxa"/>
            <w:tcBorders>
              <w:top w:val="nil"/>
              <w:left w:val="nil"/>
              <w:bottom w:val="single" w:sz="4" w:space="0" w:color="auto"/>
              <w:right w:val="single" w:sz="4" w:space="0" w:color="auto"/>
            </w:tcBorders>
            <w:noWrap/>
            <w:vAlign w:val="center"/>
            <w:hideMark/>
          </w:tcPr>
          <w:p w14:paraId="158B7D31"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3,1%</w:t>
            </w:r>
          </w:p>
        </w:tc>
        <w:tc>
          <w:tcPr>
            <w:tcW w:w="1179" w:type="dxa"/>
            <w:tcBorders>
              <w:top w:val="nil"/>
              <w:left w:val="nil"/>
              <w:bottom w:val="single" w:sz="4" w:space="0" w:color="auto"/>
              <w:right w:val="single" w:sz="4" w:space="0" w:color="auto"/>
            </w:tcBorders>
            <w:noWrap/>
            <w:vAlign w:val="center"/>
            <w:hideMark/>
          </w:tcPr>
          <w:p w14:paraId="234E8896"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3,0%</w:t>
            </w:r>
          </w:p>
        </w:tc>
        <w:tc>
          <w:tcPr>
            <w:tcW w:w="1179" w:type="dxa"/>
            <w:tcBorders>
              <w:top w:val="nil"/>
              <w:left w:val="nil"/>
              <w:bottom w:val="single" w:sz="4" w:space="0" w:color="auto"/>
              <w:right w:val="single" w:sz="4" w:space="0" w:color="auto"/>
            </w:tcBorders>
            <w:noWrap/>
            <w:vAlign w:val="center"/>
            <w:hideMark/>
          </w:tcPr>
          <w:p w14:paraId="16DA966C"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3,4%</w:t>
            </w:r>
          </w:p>
        </w:tc>
      </w:tr>
      <w:tr w:rsidR="00EA0FD7" w:rsidRPr="00EA0FD7" w14:paraId="561F09E4" w14:textId="77777777" w:rsidTr="00EA0FD7">
        <w:trPr>
          <w:trHeight w:hRule="exact" w:val="454"/>
        </w:trPr>
        <w:tc>
          <w:tcPr>
            <w:tcW w:w="3554" w:type="dxa"/>
            <w:tcBorders>
              <w:top w:val="nil"/>
              <w:left w:val="single" w:sz="4" w:space="0" w:color="auto"/>
              <w:bottom w:val="single" w:sz="4" w:space="0" w:color="auto"/>
              <w:right w:val="single" w:sz="4" w:space="0" w:color="auto"/>
            </w:tcBorders>
            <w:noWrap/>
            <w:vAlign w:val="center"/>
            <w:hideMark/>
          </w:tcPr>
          <w:p w14:paraId="79DADFE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 xml:space="preserve">Остало </w:t>
            </w:r>
          </w:p>
        </w:tc>
        <w:tc>
          <w:tcPr>
            <w:tcW w:w="1179" w:type="dxa"/>
            <w:tcBorders>
              <w:top w:val="single" w:sz="4" w:space="0" w:color="auto"/>
              <w:left w:val="nil"/>
              <w:bottom w:val="single" w:sz="4" w:space="0" w:color="auto"/>
              <w:right w:val="single" w:sz="4" w:space="0" w:color="auto"/>
            </w:tcBorders>
            <w:noWrap/>
            <w:vAlign w:val="center"/>
            <w:hideMark/>
          </w:tcPr>
          <w:p w14:paraId="5CCDCAA9"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34,1</w:t>
            </w:r>
          </w:p>
        </w:tc>
        <w:tc>
          <w:tcPr>
            <w:tcW w:w="1179" w:type="dxa"/>
            <w:tcBorders>
              <w:top w:val="nil"/>
              <w:left w:val="nil"/>
              <w:bottom w:val="single" w:sz="4" w:space="0" w:color="auto"/>
              <w:right w:val="single" w:sz="4" w:space="0" w:color="auto"/>
            </w:tcBorders>
            <w:noWrap/>
            <w:vAlign w:val="center"/>
            <w:hideMark/>
          </w:tcPr>
          <w:p w14:paraId="5DE49287"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36,9</w:t>
            </w:r>
          </w:p>
        </w:tc>
        <w:tc>
          <w:tcPr>
            <w:tcW w:w="1179" w:type="dxa"/>
            <w:tcBorders>
              <w:top w:val="nil"/>
              <w:left w:val="nil"/>
              <w:bottom w:val="single" w:sz="4" w:space="0" w:color="auto"/>
              <w:right w:val="single" w:sz="4" w:space="0" w:color="auto"/>
            </w:tcBorders>
            <w:noWrap/>
            <w:vAlign w:val="center"/>
            <w:hideMark/>
          </w:tcPr>
          <w:p w14:paraId="24D63CC8"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36,9</w:t>
            </w:r>
          </w:p>
        </w:tc>
        <w:tc>
          <w:tcPr>
            <w:tcW w:w="1179" w:type="dxa"/>
            <w:tcBorders>
              <w:top w:val="nil"/>
              <w:left w:val="nil"/>
              <w:bottom w:val="single" w:sz="4" w:space="0" w:color="auto"/>
              <w:right w:val="single" w:sz="4" w:space="0" w:color="auto"/>
            </w:tcBorders>
            <w:noWrap/>
            <w:vAlign w:val="center"/>
            <w:hideMark/>
          </w:tcPr>
          <w:p w14:paraId="49E6822C"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36,9</w:t>
            </w:r>
          </w:p>
        </w:tc>
        <w:tc>
          <w:tcPr>
            <w:tcW w:w="1179" w:type="dxa"/>
            <w:tcBorders>
              <w:top w:val="nil"/>
              <w:left w:val="nil"/>
              <w:bottom w:val="single" w:sz="4" w:space="0" w:color="auto"/>
              <w:right w:val="single" w:sz="4" w:space="0" w:color="auto"/>
            </w:tcBorders>
            <w:noWrap/>
            <w:vAlign w:val="center"/>
            <w:hideMark/>
          </w:tcPr>
          <w:p w14:paraId="2B1CB0B2"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36,9</w:t>
            </w:r>
          </w:p>
        </w:tc>
        <w:tc>
          <w:tcPr>
            <w:tcW w:w="442" w:type="dxa"/>
            <w:tcBorders>
              <w:top w:val="single" w:sz="4" w:space="0" w:color="auto"/>
              <w:left w:val="nil"/>
              <w:bottom w:val="single" w:sz="4" w:space="0" w:color="auto"/>
              <w:right w:val="single" w:sz="4" w:space="0" w:color="auto"/>
            </w:tcBorders>
            <w:noWrap/>
            <w:vAlign w:val="center"/>
          </w:tcPr>
          <w:p w14:paraId="06B366EC" w14:textId="77777777" w:rsidR="00EA0FD7" w:rsidRPr="00EA0FD7" w:rsidRDefault="00EA0FD7" w:rsidP="00EA0FD7">
            <w:pPr>
              <w:spacing w:after="0" w:line="240" w:lineRule="auto"/>
              <w:jc w:val="right"/>
              <w:rPr>
                <w:rFonts w:ascii="Times New Roman" w:eastAsia="Times New Roman" w:hAnsi="Times New Roman" w:cs="Times New Roman"/>
                <w:sz w:val="24"/>
                <w:szCs w:val="24"/>
                <w:lang w:val="sr-Cyrl-RS" w:eastAsia="bs-Latn-BA"/>
              </w:rPr>
            </w:pPr>
          </w:p>
        </w:tc>
        <w:tc>
          <w:tcPr>
            <w:tcW w:w="1179" w:type="dxa"/>
            <w:tcBorders>
              <w:top w:val="nil"/>
              <w:left w:val="nil"/>
              <w:bottom w:val="single" w:sz="4" w:space="0" w:color="auto"/>
              <w:right w:val="single" w:sz="4" w:space="0" w:color="auto"/>
            </w:tcBorders>
            <w:noWrap/>
            <w:vAlign w:val="center"/>
            <w:hideMark/>
          </w:tcPr>
          <w:p w14:paraId="2B801F70"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8,3%</w:t>
            </w:r>
          </w:p>
        </w:tc>
        <w:tc>
          <w:tcPr>
            <w:tcW w:w="1179" w:type="dxa"/>
            <w:tcBorders>
              <w:top w:val="nil"/>
              <w:left w:val="nil"/>
              <w:bottom w:val="single" w:sz="4" w:space="0" w:color="auto"/>
              <w:right w:val="single" w:sz="4" w:space="0" w:color="auto"/>
            </w:tcBorders>
            <w:noWrap/>
            <w:vAlign w:val="center"/>
            <w:hideMark/>
          </w:tcPr>
          <w:p w14:paraId="6D42CBE6"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0,0%</w:t>
            </w:r>
          </w:p>
        </w:tc>
        <w:tc>
          <w:tcPr>
            <w:tcW w:w="1179" w:type="dxa"/>
            <w:tcBorders>
              <w:top w:val="nil"/>
              <w:left w:val="nil"/>
              <w:bottom w:val="single" w:sz="4" w:space="0" w:color="auto"/>
              <w:right w:val="single" w:sz="4" w:space="0" w:color="auto"/>
            </w:tcBorders>
            <w:noWrap/>
            <w:vAlign w:val="center"/>
            <w:hideMark/>
          </w:tcPr>
          <w:p w14:paraId="369529F2"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0,0%</w:t>
            </w:r>
          </w:p>
        </w:tc>
        <w:tc>
          <w:tcPr>
            <w:tcW w:w="1179" w:type="dxa"/>
            <w:tcBorders>
              <w:top w:val="nil"/>
              <w:left w:val="nil"/>
              <w:bottom w:val="single" w:sz="4" w:space="0" w:color="auto"/>
              <w:right w:val="single" w:sz="4" w:space="0" w:color="auto"/>
            </w:tcBorders>
            <w:noWrap/>
            <w:vAlign w:val="center"/>
            <w:hideMark/>
          </w:tcPr>
          <w:p w14:paraId="1376F844"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0,0%</w:t>
            </w:r>
          </w:p>
        </w:tc>
      </w:tr>
      <w:tr w:rsidR="00EA0FD7" w:rsidRPr="00EA0FD7" w14:paraId="48BD6C82" w14:textId="77777777" w:rsidTr="00EA0FD7">
        <w:trPr>
          <w:trHeight w:hRule="exact" w:val="454"/>
        </w:trPr>
        <w:tc>
          <w:tcPr>
            <w:tcW w:w="3554"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7FCB4AB6"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УКУПНО</w:t>
            </w: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34FE34FC"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6.919,3</w:t>
            </w: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17436D9C"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7.550,4</w:t>
            </w: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10D0A6C8"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7.791,2</w:t>
            </w: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2F9B0778"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8.016,7</w:t>
            </w: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697A6500"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8.259,7</w:t>
            </w:r>
          </w:p>
        </w:tc>
        <w:tc>
          <w:tcPr>
            <w:tcW w:w="442" w:type="dxa"/>
            <w:tcBorders>
              <w:top w:val="single" w:sz="4" w:space="0" w:color="auto"/>
              <w:left w:val="nil"/>
              <w:bottom w:val="single" w:sz="4" w:space="0" w:color="auto"/>
              <w:right w:val="single" w:sz="4" w:space="0" w:color="auto"/>
            </w:tcBorders>
            <w:shd w:val="clear" w:color="auto" w:fill="FDE9D9"/>
            <w:noWrap/>
            <w:vAlign w:val="center"/>
          </w:tcPr>
          <w:p w14:paraId="1781AC1C" w14:textId="77777777" w:rsidR="00EA0FD7" w:rsidRPr="00EA0FD7" w:rsidRDefault="00EA0FD7" w:rsidP="00EA0FD7">
            <w:pPr>
              <w:spacing w:after="0" w:line="240" w:lineRule="auto"/>
              <w:jc w:val="right"/>
              <w:rPr>
                <w:rFonts w:ascii="Times New Roman" w:eastAsia="Times New Roman" w:hAnsi="Times New Roman" w:cs="Times New Roman"/>
                <w:sz w:val="24"/>
                <w:szCs w:val="24"/>
                <w:lang w:val="sr-Cyrl-RS" w:eastAsia="bs-Latn-BA"/>
              </w:rPr>
            </w:pP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64B4725B"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9,1%</w:t>
            </w: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7993F222"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3,2%</w:t>
            </w: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3BBD03D4"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2,9%</w:t>
            </w: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5D48B10F"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3,0%</w:t>
            </w:r>
          </w:p>
        </w:tc>
      </w:tr>
      <w:tr w:rsidR="00EA0FD7" w:rsidRPr="00EA0FD7" w14:paraId="2557419A" w14:textId="77777777" w:rsidTr="00EA0FD7">
        <w:trPr>
          <w:trHeight w:hRule="exact" w:val="454"/>
        </w:trPr>
        <w:tc>
          <w:tcPr>
            <w:tcW w:w="3554" w:type="dxa"/>
            <w:tcBorders>
              <w:top w:val="nil"/>
              <w:left w:val="single" w:sz="4" w:space="0" w:color="auto"/>
              <w:bottom w:val="single" w:sz="4" w:space="0" w:color="auto"/>
              <w:right w:val="single" w:sz="4" w:space="0" w:color="auto"/>
            </w:tcBorders>
            <w:noWrap/>
            <w:vAlign w:val="center"/>
            <w:hideMark/>
          </w:tcPr>
          <w:p w14:paraId="25F88BD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Намјенска путарина  *)</w:t>
            </w:r>
          </w:p>
        </w:tc>
        <w:tc>
          <w:tcPr>
            <w:tcW w:w="1179" w:type="dxa"/>
            <w:tcBorders>
              <w:top w:val="single" w:sz="4" w:space="0" w:color="auto"/>
              <w:left w:val="nil"/>
              <w:bottom w:val="single" w:sz="4" w:space="0" w:color="auto"/>
              <w:right w:val="single" w:sz="4" w:space="0" w:color="auto"/>
            </w:tcBorders>
            <w:noWrap/>
            <w:vAlign w:val="center"/>
            <w:hideMark/>
          </w:tcPr>
          <w:p w14:paraId="4B18D3E6"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-409,1</w:t>
            </w:r>
          </w:p>
        </w:tc>
        <w:tc>
          <w:tcPr>
            <w:tcW w:w="1179" w:type="dxa"/>
            <w:tcBorders>
              <w:top w:val="nil"/>
              <w:left w:val="nil"/>
              <w:bottom w:val="single" w:sz="4" w:space="0" w:color="auto"/>
              <w:right w:val="single" w:sz="4" w:space="0" w:color="auto"/>
            </w:tcBorders>
            <w:noWrap/>
            <w:vAlign w:val="center"/>
            <w:hideMark/>
          </w:tcPr>
          <w:p w14:paraId="12860BE1"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-418,1</w:t>
            </w:r>
          </w:p>
        </w:tc>
        <w:tc>
          <w:tcPr>
            <w:tcW w:w="1179" w:type="dxa"/>
            <w:tcBorders>
              <w:top w:val="nil"/>
              <w:left w:val="nil"/>
              <w:bottom w:val="single" w:sz="4" w:space="0" w:color="auto"/>
              <w:right w:val="single" w:sz="4" w:space="0" w:color="auto"/>
            </w:tcBorders>
            <w:noWrap/>
            <w:vAlign w:val="center"/>
            <w:hideMark/>
          </w:tcPr>
          <w:p w14:paraId="3B826ABD"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-431,1</w:t>
            </w:r>
          </w:p>
        </w:tc>
        <w:tc>
          <w:tcPr>
            <w:tcW w:w="1179" w:type="dxa"/>
            <w:tcBorders>
              <w:top w:val="nil"/>
              <w:left w:val="nil"/>
              <w:bottom w:val="single" w:sz="4" w:space="0" w:color="auto"/>
              <w:right w:val="single" w:sz="4" w:space="0" w:color="auto"/>
            </w:tcBorders>
            <w:noWrap/>
            <w:vAlign w:val="center"/>
            <w:hideMark/>
          </w:tcPr>
          <w:p w14:paraId="1545B0C0"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-444,0</w:t>
            </w:r>
          </w:p>
        </w:tc>
        <w:tc>
          <w:tcPr>
            <w:tcW w:w="1179" w:type="dxa"/>
            <w:tcBorders>
              <w:top w:val="nil"/>
              <w:left w:val="nil"/>
              <w:bottom w:val="single" w:sz="4" w:space="0" w:color="auto"/>
              <w:right w:val="single" w:sz="4" w:space="0" w:color="auto"/>
            </w:tcBorders>
            <w:noWrap/>
            <w:vAlign w:val="center"/>
            <w:hideMark/>
          </w:tcPr>
          <w:p w14:paraId="2D9A724B"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-459,2</w:t>
            </w:r>
          </w:p>
        </w:tc>
        <w:tc>
          <w:tcPr>
            <w:tcW w:w="442" w:type="dxa"/>
            <w:tcBorders>
              <w:top w:val="single" w:sz="4" w:space="0" w:color="auto"/>
              <w:left w:val="nil"/>
              <w:bottom w:val="single" w:sz="4" w:space="0" w:color="auto"/>
              <w:right w:val="single" w:sz="4" w:space="0" w:color="auto"/>
            </w:tcBorders>
            <w:noWrap/>
            <w:vAlign w:val="center"/>
          </w:tcPr>
          <w:p w14:paraId="191F7819" w14:textId="77777777" w:rsidR="00EA0FD7" w:rsidRPr="00EA0FD7" w:rsidRDefault="00EA0FD7" w:rsidP="00EA0FD7">
            <w:pPr>
              <w:spacing w:after="0" w:line="240" w:lineRule="auto"/>
              <w:jc w:val="right"/>
              <w:rPr>
                <w:rFonts w:ascii="Times New Roman" w:eastAsia="Times New Roman" w:hAnsi="Times New Roman" w:cs="Times New Roman"/>
                <w:sz w:val="24"/>
                <w:szCs w:val="24"/>
                <w:lang w:val="sr-Cyrl-RS" w:eastAsia="bs-Latn-BA"/>
              </w:rPr>
            </w:pPr>
          </w:p>
        </w:tc>
        <w:tc>
          <w:tcPr>
            <w:tcW w:w="1179" w:type="dxa"/>
            <w:tcBorders>
              <w:top w:val="nil"/>
              <w:left w:val="nil"/>
              <w:bottom w:val="single" w:sz="4" w:space="0" w:color="auto"/>
              <w:right w:val="single" w:sz="4" w:space="0" w:color="auto"/>
            </w:tcBorders>
            <w:noWrap/>
            <w:vAlign w:val="center"/>
            <w:hideMark/>
          </w:tcPr>
          <w:p w14:paraId="674F0A2E"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2,2%</w:t>
            </w:r>
          </w:p>
        </w:tc>
        <w:tc>
          <w:tcPr>
            <w:tcW w:w="1179" w:type="dxa"/>
            <w:tcBorders>
              <w:top w:val="nil"/>
              <w:left w:val="nil"/>
              <w:bottom w:val="single" w:sz="4" w:space="0" w:color="auto"/>
              <w:right w:val="single" w:sz="4" w:space="0" w:color="auto"/>
            </w:tcBorders>
            <w:noWrap/>
            <w:vAlign w:val="center"/>
            <w:hideMark/>
          </w:tcPr>
          <w:p w14:paraId="5E468244"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3,1%</w:t>
            </w:r>
          </w:p>
        </w:tc>
        <w:tc>
          <w:tcPr>
            <w:tcW w:w="1179" w:type="dxa"/>
            <w:tcBorders>
              <w:top w:val="nil"/>
              <w:left w:val="nil"/>
              <w:bottom w:val="single" w:sz="4" w:space="0" w:color="auto"/>
              <w:right w:val="single" w:sz="4" w:space="0" w:color="auto"/>
            </w:tcBorders>
            <w:noWrap/>
            <w:vAlign w:val="center"/>
            <w:hideMark/>
          </w:tcPr>
          <w:p w14:paraId="520058B2"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3,0%</w:t>
            </w:r>
          </w:p>
        </w:tc>
        <w:tc>
          <w:tcPr>
            <w:tcW w:w="1179" w:type="dxa"/>
            <w:tcBorders>
              <w:top w:val="nil"/>
              <w:left w:val="nil"/>
              <w:bottom w:val="single" w:sz="4" w:space="0" w:color="auto"/>
              <w:right w:val="single" w:sz="4" w:space="0" w:color="auto"/>
            </w:tcBorders>
            <w:noWrap/>
            <w:vAlign w:val="center"/>
            <w:hideMark/>
          </w:tcPr>
          <w:p w14:paraId="72579760"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3,4%</w:t>
            </w:r>
          </w:p>
        </w:tc>
      </w:tr>
      <w:tr w:rsidR="00EA0FD7" w:rsidRPr="00EA0FD7" w14:paraId="4E21F843" w14:textId="77777777" w:rsidTr="00EA0FD7">
        <w:trPr>
          <w:trHeight w:hRule="exact" w:val="454"/>
        </w:trPr>
        <w:tc>
          <w:tcPr>
            <w:tcW w:w="3554"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1F7C710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СРЕДСТВА ЗА РАСПОДЈЕЛУ</w:t>
            </w: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04083F2F"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6.510,3</w:t>
            </w: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4B6C9F4D"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7.132,3</w:t>
            </w: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212833C7"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7.360,1</w:t>
            </w: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1E5714DD"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7.572,7</w:t>
            </w: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0DC82546"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7.800,5</w:t>
            </w:r>
          </w:p>
        </w:tc>
        <w:tc>
          <w:tcPr>
            <w:tcW w:w="442" w:type="dxa"/>
            <w:tcBorders>
              <w:top w:val="single" w:sz="4" w:space="0" w:color="auto"/>
              <w:left w:val="nil"/>
              <w:bottom w:val="single" w:sz="4" w:space="0" w:color="auto"/>
              <w:right w:val="single" w:sz="4" w:space="0" w:color="auto"/>
            </w:tcBorders>
            <w:shd w:val="clear" w:color="auto" w:fill="FDE9D9"/>
            <w:noWrap/>
            <w:vAlign w:val="center"/>
          </w:tcPr>
          <w:p w14:paraId="524AB0BE" w14:textId="77777777" w:rsidR="00EA0FD7" w:rsidRPr="00EA0FD7" w:rsidRDefault="00EA0FD7" w:rsidP="00EA0FD7">
            <w:pPr>
              <w:spacing w:after="0" w:line="240" w:lineRule="auto"/>
              <w:jc w:val="right"/>
              <w:rPr>
                <w:rFonts w:ascii="Times New Roman" w:eastAsia="Times New Roman" w:hAnsi="Times New Roman" w:cs="Times New Roman"/>
                <w:sz w:val="24"/>
                <w:szCs w:val="24"/>
                <w:lang w:val="sr-Cyrl-RS" w:eastAsia="bs-Latn-BA"/>
              </w:rPr>
            </w:pP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166B3959"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9,6%</w:t>
            </w: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2A83DA62"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3,2%</w:t>
            </w: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1F5DAD48"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2,9%</w:t>
            </w:r>
          </w:p>
        </w:tc>
        <w:tc>
          <w:tcPr>
            <w:tcW w:w="1179" w:type="dxa"/>
            <w:tcBorders>
              <w:top w:val="single" w:sz="4" w:space="0" w:color="auto"/>
              <w:left w:val="nil"/>
              <w:bottom w:val="single" w:sz="4" w:space="0" w:color="auto"/>
              <w:right w:val="single" w:sz="4" w:space="0" w:color="auto"/>
            </w:tcBorders>
            <w:shd w:val="clear" w:color="auto" w:fill="FDE9D9"/>
            <w:noWrap/>
            <w:vAlign w:val="center"/>
            <w:hideMark/>
          </w:tcPr>
          <w:p w14:paraId="67CD682A"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3,0%</w:t>
            </w:r>
          </w:p>
        </w:tc>
      </w:tr>
    </w:tbl>
    <w:p w14:paraId="083DF67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C25CC36"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Напомена:</w:t>
      </w:r>
    </w:p>
    <w:p w14:paraId="6118134D" w14:textId="05FE7305"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Намјенска путарина је до 1.</w:t>
      </w:r>
      <w:r w:rsidR="00D21440">
        <w:rPr>
          <w:rFonts w:ascii="Times New Roman" w:eastAsia="Times New Roman" w:hAnsi="Times New Roman" w:cs="Times New Roman"/>
          <w:sz w:val="20"/>
          <w:szCs w:val="20"/>
          <w:lang w:val="sr-Cyrl-RS" w:eastAsia="hr-HR"/>
        </w:rPr>
        <w:t xml:space="preserve"> </w:t>
      </w:r>
      <w:r w:rsidRPr="00EA0FD7">
        <w:rPr>
          <w:rFonts w:ascii="Times New Roman" w:eastAsia="Times New Roman" w:hAnsi="Times New Roman" w:cs="Times New Roman"/>
          <w:sz w:val="20"/>
          <w:szCs w:val="20"/>
          <w:lang w:val="sr-Cyrl-RS" w:eastAsia="hr-HR"/>
        </w:rPr>
        <w:t>2.</w:t>
      </w:r>
      <w:r w:rsidR="00D21440">
        <w:rPr>
          <w:rFonts w:ascii="Times New Roman" w:eastAsia="Times New Roman" w:hAnsi="Times New Roman" w:cs="Times New Roman"/>
          <w:sz w:val="20"/>
          <w:szCs w:val="20"/>
          <w:lang w:val="sr-Cyrl-RS" w:eastAsia="hr-HR"/>
        </w:rPr>
        <w:t xml:space="preserve"> </w:t>
      </w:r>
      <w:r w:rsidRPr="00EA0FD7">
        <w:rPr>
          <w:rFonts w:ascii="Times New Roman" w:eastAsia="Times New Roman" w:hAnsi="Times New Roman" w:cs="Times New Roman"/>
          <w:sz w:val="20"/>
          <w:szCs w:val="20"/>
          <w:lang w:val="sr-Cyrl-RS" w:eastAsia="hr-HR"/>
        </w:rPr>
        <w:t>2018. износила 0,10 КМ/литар деривата нафте, намијењен у цијелости за изградњу ауто</w:t>
      </w:r>
      <w:r w:rsidR="00D21440">
        <w:rPr>
          <w:rFonts w:ascii="Times New Roman" w:eastAsia="Times New Roman" w:hAnsi="Times New Roman" w:cs="Times New Roman"/>
          <w:sz w:val="20"/>
          <w:szCs w:val="20"/>
          <w:lang w:val="sr-Cyrl-RS" w:eastAsia="hr-HR"/>
        </w:rPr>
        <w:t>-</w:t>
      </w:r>
      <w:r w:rsidRPr="00EA0FD7">
        <w:rPr>
          <w:rFonts w:ascii="Times New Roman" w:eastAsia="Times New Roman" w:hAnsi="Times New Roman" w:cs="Times New Roman"/>
          <w:sz w:val="20"/>
          <w:szCs w:val="20"/>
          <w:lang w:val="sr-Cyrl-RS" w:eastAsia="hr-HR"/>
        </w:rPr>
        <w:t>путева, а од 1.</w:t>
      </w:r>
      <w:r w:rsidR="00D21440">
        <w:rPr>
          <w:rFonts w:ascii="Times New Roman" w:eastAsia="Times New Roman" w:hAnsi="Times New Roman" w:cs="Times New Roman"/>
          <w:sz w:val="20"/>
          <w:szCs w:val="20"/>
          <w:lang w:val="sr-Cyrl-RS" w:eastAsia="hr-HR"/>
        </w:rPr>
        <w:t xml:space="preserve"> </w:t>
      </w:r>
      <w:r w:rsidRPr="00EA0FD7">
        <w:rPr>
          <w:rFonts w:ascii="Times New Roman" w:eastAsia="Times New Roman" w:hAnsi="Times New Roman" w:cs="Times New Roman"/>
          <w:sz w:val="20"/>
          <w:szCs w:val="20"/>
          <w:lang w:val="sr-Cyrl-RS" w:eastAsia="hr-HR"/>
        </w:rPr>
        <w:t>2.</w:t>
      </w:r>
      <w:r w:rsidR="00D21440">
        <w:rPr>
          <w:rFonts w:ascii="Times New Roman" w:eastAsia="Times New Roman" w:hAnsi="Times New Roman" w:cs="Times New Roman"/>
          <w:sz w:val="20"/>
          <w:szCs w:val="20"/>
          <w:lang w:val="sr-Cyrl-RS" w:eastAsia="hr-HR"/>
        </w:rPr>
        <w:t xml:space="preserve"> </w:t>
      </w:r>
      <w:r w:rsidRPr="00EA0FD7">
        <w:rPr>
          <w:rFonts w:ascii="Times New Roman" w:eastAsia="Times New Roman" w:hAnsi="Times New Roman" w:cs="Times New Roman"/>
          <w:sz w:val="20"/>
          <w:szCs w:val="20"/>
          <w:lang w:val="sr-Cyrl-RS" w:eastAsia="hr-HR"/>
        </w:rPr>
        <w:t>2018. 0,25 КМ/литар деривата нафте, за изградњу ауто</w:t>
      </w:r>
      <w:r w:rsidR="00D21440">
        <w:rPr>
          <w:rFonts w:ascii="Times New Roman" w:eastAsia="Times New Roman" w:hAnsi="Times New Roman" w:cs="Times New Roman"/>
          <w:sz w:val="20"/>
          <w:szCs w:val="20"/>
          <w:lang w:val="sr-Cyrl-RS" w:eastAsia="hr-HR"/>
        </w:rPr>
        <w:t>-</w:t>
      </w:r>
      <w:r w:rsidRPr="00EA0FD7">
        <w:rPr>
          <w:rFonts w:ascii="Times New Roman" w:eastAsia="Times New Roman" w:hAnsi="Times New Roman" w:cs="Times New Roman"/>
          <w:sz w:val="20"/>
          <w:szCs w:val="20"/>
          <w:lang w:val="sr-Cyrl-RS" w:eastAsia="hr-HR"/>
        </w:rPr>
        <w:t>путева (0,20 КМ/литри) и изградњу и реконструкцију осталих путева (0,05 КМ/литри).</w:t>
      </w:r>
    </w:p>
    <w:p w14:paraId="73A94916" w14:textId="77777777" w:rsidR="00EA0FD7" w:rsidRPr="00EA0FD7" w:rsidRDefault="00EA0FD7" w:rsidP="00EA0FD7">
      <w:pPr>
        <w:spacing w:after="0" w:line="240" w:lineRule="auto"/>
        <w:rPr>
          <w:rFonts w:ascii="Times New Roman" w:eastAsia="Times New Roman" w:hAnsi="Times New Roman" w:cs="Times New Roman"/>
          <w:sz w:val="20"/>
          <w:szCs w:val="20"/>
          <w:lang w:val="sr-Cyrl-RS" w:eastAsia="hr-HR"/>
        </w:rPr>
        <w:sectPr w:rsidR="00EA0FD7" w:rsidRPr="00EA0FD7">
          <w:pgSz w:w="16838" w:h="11906" w:orient="landscape"/>
          <w:pgMar w:top="1134" w:right="1134" w:bottom="1134" w:left="1134" w:header="709" w:footer="1247" w:gutter="0"/>
          <w:cols w:space="720"/>
        </w:sectPr>
      </w:pPr>
    </w:p>
    <w:p w14:paraId="4065C236"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bookmarkStart w:id="74" w:name="_Toc100909151"/>
      <w:bookmarkStart w:id="75" w:name="_Toc69244808"/>
      <w:r w:rsidRPr="00EA0FD7">
        <w:rPr>
          <w:rFonts w:ascii="Times New Roman" w:eastAsia="Times New Roman" w:hAnsi="Times New Roman" w:cs="Times New Roman"/>
          <w:b/>
          <w:sz w:val="24"/>
          <w:szCs w:val="24"/>
          <w:lang w:val="sr-Cyrl-RS" w:eastAsia="hr-HR"/>
        </w:rPr>
        <w:lastRenderedPageBreak/>
        <w:t xml:space="preserve">Табела 3. </w:t>
      </w:r>
      <w:r w:rsidRPr="00EA0FD7">
        <w:rPr>
          <w:rFonts w:ascii="Times New Roman" w:eastAsia="Times New Roman" w:hAnsi="Times New Roman" w:cs="Times New Roman"/>
          <w:sz w:val="24"/>
          <w:szCs w:val="24"/>
          <w:lang w:val="sr-Cyrl-RS" w:eastAsia="hr-HR"/>
        </w:rPr>
        <w:fldChar w:fldCharType="begin"/>
      </w:r>
      <w:r w:rsidRPr="00EA0FD7">
        <w:rPr>
          <w:rFonts w:ascii="Times New Roman" w:eastAsia="Times New Roman" w:hAnsi="Times New Roman" w:cs="Times New Roman"/>
          <w:b/>
          <w:sz w:val="24"/>
          <w:szCs w:val="24"/>
          <w:lang w:val="sr-Cyrl-RS" w:eastAsia="hr-HR"/>
        </w:rPr>
        <w:instrText xml:space="preserve"> SEQ Tabela \* ARABIC </w:instrText>
      </w:r>
      <w:r w:rsidRPr="00EA0FD7">
        <w:rPr>
          <w:rFonts w:ascii="Times New Roman" w:eastAsia="Times New Roman" w:hAnsi="Times New Roman" w:cs="Times New Roman"/>
          <w:sz w:val="24"/>
          <w:szCs w:val="24"/>
          <w:lang w:val="sr-Cyrl-RS" w:eastAsia="hr-HR"/>
        </w:rPr>
        <w:fldChar w:fldCharType="separate"/>
      </w:r>
      <w:r w:rsidRPr="00EA0FD7">
        <w:rPr>
          <w:rFonts w:ascii="Times New Roman" w:eastAsia="Times New Roman" w:hAnsi="Times New Roman" w:cs="Times New Roman"/>
          <w:b/>
          <w:sz w:val="24"/>
          <w:szCs w:val="24"/>
          <w:lang w:val="sr-Cyrl-RS" w:eastAsia="hr-HR"/>
        </w:rPr>
        <w:t>4</w:t>
      </w:r>
      <w:r w:rsidRPr="00EA0FD7">
        <w:rPr>
          <w:rFonts w:ascii="Times New Roman" w:eastAsia="Times New Roman" w:hAnsi="Times New Roman" w:cs="Times New Roman"/>
          <w:sz w:val="24"/>
          <w:szCs w:val="24"/>
          <w:lang w:val="sr-Cyrl-RS" w:eastAsia="hr-HR"/>
        </w:rPr>
        <w:fldChar w:fldCharType="end"/>
      </w:r>
      <w:r w:rsidRPr="00EA0FD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sz w:val="24"/>
          <w:szCs w:val="24"/>
          <w:lang w:val="sr-Cyrl-RS" w:eastAsia="hr-HR"/>
        </w:rPr>
        <w:t xml:space="preserve"> Основни сценарио пројекција прихода од индиректних пореза у % БДП-а, </w:t>
      </w:r>
    </w:p>
    <w:p w14:paraId="1AD856C7" w14:textId="0D8F3C05"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sz w:val="24"/>
          <w:szCs w:val="24"/>
          <w:lang w:val="sr-Cyrl-RS" w:eastAsia="hr-HR"/>
        </w:rPr>
        <w:t xml:space="preserve">                   април 2022</w:t>
      </w:r>
      <w:bookmarkEnd w:id="74"/>
      <w:r w:rsidRPr="00EA0FD7">
        <w:rPr>
          <w:rFonts w:ascii="Times New Roman" w:eastAsia="Times New Roman" w:hAnsi="Times New Roman" w:cs="Times New Roman"/>
          <w:sz w:val="24"/>
          <w:szCs w:val="24"/>
          <w:lang w:val="sr-Cyrl-RS" w:eastAsia="hr-HR"/>
        </w:rPr>
        <w:t>.</w:t>
      </w:r>
      <w:r w:rsidR="00D21440">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године</w:t>
      </w:r>
    </w:p>
    <w:tbl>
      <w:tblPr>
        <w:tblW w:w="9639" w:type="dxa"/>
        <w:tblInd w:w="108" w:type="dxa"/>
        <w:tblLook w:val="04A0" w:firstRow="1" w:lastRow="0" w:firstColumn="1" w:lastColumn="0" w:noHBand="0" w:noVBand="1"/>
      </w:tblPr>
      <w:tblGrid>
        <w:gridCol w:w="3704"/>
        <w:gridCol w:w="1289"/>
        <w:gridCol w:w="1187"/>
        <w:gridCol w:w="1187"/>
        <w:gridCol w:w="1187"/>
        <w:gridCol w:w="1187"/>
      </w:tblGrid>
      <w:tr w:rsidR="00EA0FD7" w:rsidRPr="00EA0FD7" w14:paraId="6F8344FE" w14:textId="77777777" w:rsidTr="00EA0FD7">
        <w:trPr>
          <w:trHeight w:hRule="exact" w:val="340"/>
        </w:trPr>
        <w:tc>
          <w:tcPr>
            <w:tcW w:w="3704" w:type="dxa"/>
            <w:vMerge w:val="restart"/>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7885DCD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Врста прихода (нето)</w:t>
            </w:r>
          </w:p>
        </w:tc>
        <w:tc>
          <w:tcPr>
            <w:tcW w:w="5935" w:type="dxa"/>
            <w:gridSpan w:val="5"/>
            <w:tcBorders>
              <w:top w:val="single" w:sz="4" w:space="0" w:color="auto"/>
              <w:left w:val="nil"/>
              <w:bottom w:val="single" w:sz="4" w:space="0" w:color="auto"/>
              <w:right w:val="single" w:sz="4" w:space="0" w:color="auto"/>
            </w:tcBorders>
            <w:shd w:val="clear" w:color="auto" w:fill="FDE9D9"/>
            <w:noWrap/>
            <w:vAlign w:val="bottom"/>
            <w:hideMark/>
          </w:tcPr>
          <w:p w14:paraId="427722EA"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у % БДП-а</w:t>
            </w:r>
          </w:p>
        </w:tc>
      </w:tr>
      <w:tr w:rsidR="00EA0FD7" w:rsidRPr="00EA0FD7" w14:paraId="68148198" w14:textId="77777777" w:rsidTr="00EA0FD7">
        <w:trPr>
          <w:trHeight w:hRule="exac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FACA3F"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bs-Latn-BA"/>
              </w:rPr>
            </w:pPr>
          </w:p>
        </w:tc>
        <w:tc>
          <w:tcPr>
            <w:tcW w:w="1187" w:type="dxa"/>
            <w:tcBorders>
              <w:top w:val="single" w:sz="4" w:space="0" w:color="auto"/>
              <w:left w:val="nil"/>
              <w:bottom w:val="single" w:sz="4" w:space="0" w:color="auto"/>
              <w:right w:val="single" w:sz="4" w:space="0" w:color="auto"/>
            </w:tcBorders>
            <w:shd w:val="clear" w:color="auto" w:fill="FDE9D9"/>
            <w:noWrap/>
            <w:vAlign w:val="bottom"/>
            <w:hideMark/>
          </w:tcPr>
          <w:p w14:paraId="452DA409"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Извршење</w:t>
            </w:r>
          </w:p>
        </w:tc>
        <w:tc>
          <w:tcPr>
            <w:tcW w:w="4748" w:type="dxa"/>
            <w:gridSpan w:val="4"/>
            <w:tcBorders>
              <w:top w:val="single" w:sz="4" w:space="0" w:color="auto"/>
              <w:left w:val="nil"/>
              <w:bottom w:val="single" w:sz="4" w:space="0" w:color="auto"/>
              <w:right w:val="single" w:sz="4" w:space="0" w:color="auto"/>
            </w:tcBorders>
            <w:shd w:val="clear" w:color="auto" w:fill="FDE9D9"/>
            <w:noWrap/>
            <w:vAlign w:val="bottom"/>
            <w:hideMark/>
          </w:tcPr>
          <w:p w14:paraId="02FABC3F"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Пројекција</w:t>
            </w:r>
          </w:p>
        </w:tc>
      </w:tr>
      <w:tr w:rsidR="00EA0FD7" w:rsidRPr="00EA0FD7" w14:paraId="15C63F3D" w14:textId="77777777" w:rsidTr="00EA0FD7">
        <w:trPr>
          <w:trHeight w:hRule="exac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C93B6"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bs-Latn-BA"/>
              </w:rPr>
            </w:pPr>
          </w:p>
        </w:tc>
        <w:tc>
          <w:tcPr>
            <w:tcW w:w="1187" w:type="dxa"/>
            <w:tcBorders>
              <w:top w:val="single" w:sz="4" w:space="0" w:color="auto"/>
              <w:left w:val="nil"/>
              <w:bottom w:val="single" w:sz="4" w:space="0" w:color="auto"/>
              <w:right w:val="single" w:sz="4" w:space="0" w:color="auto"/>
            </w:tcBorders>
            <w:shd w:val="clear" w:color="auto" w:fill="FDE9D9"/>
            <w:noWrap/>
            <w:vAlign w:val="center"/>
            <w:hideMark/>
          </w:tcPr>
          <w:p w14:paraId="5E7BA8BF" w14:textId="4AFE3DF1" w:rsidR="00EA0FD7" w:rsidRPr="00EA0FD7" w:rsidRDefault="00EA0FD7" w:rsidP="00EA0FD7">
            <w:pPr>
              <w:spacing w:after="0" w:line="240" w:lineRule="auto"/>
              <w:jc w:val="center"/>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2021</w:t>
            </w:r>
            <w:r w:rsidR="00D21440">
              <w:rPr>
                <w:rFonts w:ascii="Times New Roman" w:eastAsia="Times New Roman" w:hAnsi="Times New Roman" w:cs="Times New Roman"/>
                <w:color w:val="000000"/>
                <w:sz w:val="24"/>
                <w:szCs w:val="24"/>
                <w:lang w:val="sr-Cyrl-RS" w:eastAsia="hr-HR"/>
              </w:rPr>
              <w:t>.</w:t>
            </w:r>
          </w:p>
        </w:tc>
        <w:tc>
          <w:tcPr>
            <w:tcW w:w="1187" w:type="dxa"/>
            <w:tcBorders>
              <w:top w:val="single" w:sz="4" w:space="0" w:color="auto"/>
              <w:left w:val="nil"/>
              <w:bottom w:val="single" w:sz="4" w:space="0" w:color="auto"/>
              <w:right w:val="single" w:sz="4" w:space="0" w:color="auto"/>
            </w:tcBorders>
            <w:shd w:val="clear" w:color="auto" w:fill="FDE9D9"/>
            <w:noWrap/>
            <w:vAlign w:val="center"/>
            <w:hideMark/>
          </w:tcPr>
          <w:p w14:paraId="49059C80" w14:textId="169B3440" w:rsidR="00EA0FD7" w:rsidRPr="00EA0FD7" w:rsidRDefault="00EA0FD7" w:rsidP="00EA0FD7">
            <w:pPr>
              <w:spacing w:after="0" w:line="240" w:lineRule="auto"/>
              <w:jc w:val="center"/>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2022</w:t>
            </w:r>
            <w:r w:rsidR="00D21440">
              <w:rPr>
                <w:rFonts w:ascii="Times New Roman" w:eastAsia="Times New Roman" w:hAnsi="Times New Roman" w:cs="Times New Roman"/>
                <w:color w:val="000000"/>
                <w:sz w:val="24"/>
                <w:szCs w:val="24"/>
                <w:lang w:val="sr-Cyrl-RS" w:eastAsia="hr-HR"/>
              </w:rPr>
              <w:t>.</w:t>
            </w:r>
          </w:p>
        </w:tc>
        <w:tc>
          <w:tcPr>
            <w:tcW w:w="1187" w:type="dxa"/>
            <w:tcBorders>
              <w:top w:val="single" w:sz="4" w:space="0" w:color="auto"/>
              <w:left w:val="nil"/>
              <w:bottom w:val="single" w:sz="4" w:space="0" w:color="auto"/>
              <w:right w:val="single" w:sz="4" w:space="0" w:color="auto"/>
            </w:tcBorders>
            <w:shd w:val="clear" w:color="auto" w:fill="FDE9D9"/>
            <w:noWrap/>
            <w:vAlign w:val="center"/>
            <w:hideMark/>
          </w:tcPr>
          <w:p w14:paraId="7751B0AA" w14:textId="5B302BBA" w:rsidR="00EA0FD7" w:rsidRPr="00EA0FD7" w:rsidRDefault="00EA0FD7" w:rsidP="00EA0FD7">
            <w:pPr>
              <w:spacing w:after="0" w:line="240" w:lineRule="auto"/>
              <w:jc w:val="center"/>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2023</w:t>
            </w:r>
            <w:r w:rsidR="00D21440">
              <w:rPr>
                <w:rFonts w:ascii="Times New Roman" w:eastAsia="Times New Roman" w:hAnsi="Times New Roman" w:cs="Times New Roman"/>
                <w:color w:val="000000"/>
                <w:sz w:val="24"/>
                <w:szCs w:val="24"/>
                <w:lang w:val="sr-Cyrl-RS" w:eastAsia="hr-HR"/>
              </w:rPr>
              <w:t>.</w:t>
            </w:r>
          </w:p>
        </w:tc>
        <w:tc>
          <w:tcPr>
            <w:tcW w:w="1187" w:type="dxa"/>
            <w:tcBorders>
              <w:top w:val="single" w:sz="4" w:space="0" w:color="auto"/>
              <w:left w:val="nil"/>
              <w:bottom w:val="single" w:sz="4" w:space="0" w:color="auto"/>
              <w:right w:val="single" w:sz="4" w:space="0" w:color="auto"/>
            </w:tcBorders>
            <w:shd w:val="clear" w:color="auto" w:fill="FDE9D9"/>
            <w:noWrap/>
            <w:vAlign w:val="center"/>
            <w:hideMark/>
          </w:tcPr>
          <w:p w14:paraId="13F3659E" w14:textId="620A6C6A" w:rsidR="00EA0FD7" w:rsidRPr="00EA0FD7" w:rsidRDefault="00EA0FD7" w:rsidP="00EA0FD7">
            <w:pPr>
              <w:spacing w:after="0" w:line="240" w:lineRule="auto"/>
              <w:jc w:val="center"/>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2024</w:t>
            </w:r>
            <w:r w:rsidR="00D21440">
              <w:rPr>
                <w:rFonts w:ascii="Times New Roman" w:eastAsia="Times New Roman" w:hAnsi="Times New Roman" w:cs="Times New Roman"/>
                <w:color w:val="000000"/>
                <w:sz w:val="24"/>
                <w:szCs w:val="24"/>
                <w:lang w:val="sr-Cyrl-RS" w:eastAsia="hr-HR"/>
              </w:rPr>
              <w:t>.</w:t>
            </w:r>
          </w:p>
        </w:tc>
        <w:tc>
          <w:tcPr>
            <w:tcW w:w="1187" w:type="dxa"/>
            <w:tcBorders>
              <w:top w:val="single" w:sz="4" w:space="0" w:color="auto"/>
              <w:left w:val="nil"/>
              <w:bottom w:val="single" w:sz="4" w:space="0" w:color="auto"/>
              <w:right w:val="single" w:sz="4" w:space="0" w:color="auto"/>
            </w:tcBorders>
            <w:shd w:val="clear" w:color="auto" w:fill="FDE9D9"/>
            <w:noWrap/>
            <w:vAlign w:val="center"/>
            <w:hideMark/>
          </w:tcPr>
          <w:p w14:paraId="7B8E1B9D" w14:textId="44EE0349" w:rsidR="00EA0FD7" w:rsidRPr="00EA0FD7" w:rsidRDefault="00EA0FD7" w:rsidP="00EA0FD7">
            <w:pPr>
              <w:spacing w:after="0" w:line="240" w:lineRule="auto"/>
              <w:jc w:val="center"/>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2025</w:t>
            </w:r>
            <w:r w:rsidR="00D21440">
              <w:rPr>
                <w:rFonts w:ascii="Times New Roman" w:eastAsia="Times New Roman" w:hAnsi="Times New Roman" w:cs="Times New Roman"/>
                <w:color w:val="000000"/>
                <w:sz w:val="24"/>
                <w:szCs w:val="24"/>
                <w:lang w:val="sr-Cyrl-RS" w:eastAsia="hr-HR"/>
              </w:rPr>
              <w:t>.</w:t>
            </w:r>
          </w:p>
        </w:tc>
      </w:tr>
      <w:tr w:rsidR="00EA0FD7" w:rsidRPr="00EA0FD7" w14:paraId="44C762C1" w14:textId="77777777" w:rsidTr="00EA0FD7">
        <w:trPr>
          <w:trHeight w:hRule="exact" w:val="397"/>
        </w:trPr>
        <w:tc>
          <w:tcPr>
            <w:tcW w:w="3704" w:type="dxa"/>
            <w:tcBorders>
              <w:top w:val="nil"/>
              <w:left w:val="single" w:sz="4" w:space="0" w:color="auto"/>
              <w:bottom w:val="single" w:sz="4" w:space="0" w:color="auto"/>
              <w:right w:val="single" w:sz="4" w:space="0" w:color="auto"/>
            </w:tcBorders>
            <w:noWrap/>
            <w:vAlign w:val="center"/>
            <w:hideMark/>
          </w:tcPr>
          <w:p w14:paraId="7174BB8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ПДВ</w:t>
            </w:r>
          </w:p>
        </w:tc>
        <w:tc>
          <w:tcPr>
            <w:tcW w:w="1187" w:type="dxa"/>
            <w:tcBorders>
              <w:top w:val="single" w:sz="4" w:space="0" w:color="auto"/>
              <w:left w:val="nil"/>
              <w:bottom w:val="single" w:sz="4" w:space="0" w:color="auto"/>
              <w:right w:val="single" w:sz="4" w:space="0" w:color="auto"/>
            </w:tcBorders>
            <w:noWrap/>
            <w:vAlign w:val="center"/>
            <w:hideMark/>
          </w:tcPr>
          <w:p w14:paraId="264B4F56"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11,8%</w:t>
            </w:r>
          </w:p>
        </w:tc>
        <w:tc>
          <w:tcPr>
            <w:tcW w:w="1187" w:type="dxa"/>
            <w:tcBorders>
              <w:top w:val="nil"/>
              <w:left w:val="nil"/>
              <w:bottom w:val="single" w:sz="4" w:space="0" w:color="auto"/>
              <w:right w:val="single" w:sz="4" w:space="0" w:color="auto"/>
            </w:tcBorders>
            <w:noWrap/>
            <w:vAlign w:val="center"/>
            <w:hideMark/>
          </w:tcPr>
          <w:p w14:paraId="322F64B1"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12,4%</w:t>
            </w:r>
          </w:p>
        </w:tc>
        <w:tc>
          <w:tcPr>
            <w:tcW w:w="1187" w:type="dxa"/>
            <w:tcBorders>
              <w:top w:val="nil"/>
              <w:left w:val="nil"/>
              <w:bottom w:val="single" w:sz="4" w:space="0" w:color="auto"/>
              <w:right w:val="single" w:sz="4" w:space="0" w:color="auto"/>
            </w:tcBorders>
            <w:noWrap/>
            <w:vAlign w:val="center"/>
            <w:hideMark/>
          </w:tcPr>
          <w:p w14:paraId="5F36BAF5"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12,3%</w:t>
            </w:r>
          </w:p>
        </w:tc>
        <w:tc>
          <w:tcPr>
            <w:tcW w:w="1187" w:type="dxa"/>
            <w:tcBorders>
              <w:top w:val="nil"/>
              <w:left w:val="nil"/>
              <w:bottom w:val="single" w:sz="4" w:space="0" w:color="auto"/>
              <w:right w:val="single" w:sz="4" w:space="0" w:color="auto"/>
            </w:tcBorders>
            <w:noWrap/>
            <w:vAlign w:val="center"/>
            <w:hideMark/>
          </w:tcPr>
          <w:p w14:paraId="51AF2EFB"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12,0%</w:t>
            </w:r>
          </w:p>
        </w:tc>
        <w:tc>
          <w:tcPr>
            <w:tcW w:w="1187" w:type="dxa"/>
            <w:tcBorders>
              <w:top w:val="nil"/>
              <w:left w:val="nil"/>
              <w:bottom w:val="single" w:sz="4" w:space="0" w:color="auto"/>
              <w:right w:val="single" w:sz="4" w:space="0" w:color="auto"/>
            </w:tcBorders>
            <w:noWrap/>
            <w:vAlign w:val="center"/>
            <w:hideMark/>
          </w:tcPr>
          <w:p w14:paraId="48AA3531"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11,8%</w:t>
            </w:r>
          </w:p>
        </w:tc>
      </w:tr>
      <w:tr w:rsidR="00EA0FD7" w:rsidRPr="00EA0FD7" w14:paraId="1AC7D210" w14:textId="77777777" w:rsidTr="00EA0FD7">
        <w:trPr>
          <w:trHeight w:hRule="exact" w:val="397"/>
        </w:trPr>
        <w:tc>
          <w:tcPr>
            <w:tcW w:w="3704" w:type="dxa"/>
            <w:tcBorders>
              <w:top w:val="nil"/>
              <w:left w:val="single" w:sz="4" w:space="0" w:color="auto"/>
              <w:bottom w:val="single" w:sz="4" w:space="0" w:color="auto"/>
              <w:right w:val="single" w:sz="4" w:space="0" w:color="auto"/>
            </w:tcBorders>
            <w:noWrap/>
            <w:vAlign w:val="center"/>
            <w:hideMark/>
          </w:tcPr>
          <w:p w14:paraId="30246AAB"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Акцизе</w:t>
            </w:r>
          </w:p>
        </w:tc>
        <w:tc>
          <w:tcPr>
            <w:tcW w:w="1187" w:type="dxa"/>
            <w:tcBorders>
              <w:top w:val="single" w:sz="4" w:space="0" w:color="auto"/>
              <w:left w:val="nil"/>
              <w:bottom w:val="single" w:sz="4" w:space="0" w:color="auto"/>
              <w:right w:val="single" w:sz="4" w:space="0" w:color="auto"/>
            </w:tcBorders>
            <w:noWrap/>
            <w:vAlign w:val="center"/>
            <w:hideMark/>
          </w:tcPr>
          <w:p w14:paraId="001CF2D3"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3,9%</w:t>
            </w:r>
          </w:p>
        </w:tc>
        <w:tc>
          <w:tcPr>
            <w:tcW w:w="1187" w:type="dxa"/>
            <w:tcBorders>
              <w:top w:val="nil"/>
              <w:left w:val="nil"/>
              <w:bottom w:val="single" w:sz="4" w:space="0" w:color="auto"/>
              <w:right w:val="single" w:sz="4" w:space="0" w:color="auto"/>
            </w:tcBorders>
            <w:noWrap/>
            <w:vAlign w:val="center"/>
            <w:hideMark/>
          </w:tcPr>
          <w:p w14:paraId="719C2DD0"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4,0%</w:t>
            </w:r>
          </w:p>
        </w:tc>
        <w:tc>
          <w:tcPr>
            <w:tcW w:w="1187" w:type="dxa"/>
            <w:tcBorders>
              <w:top w:val="nil"/>
              <w:left w:val="nil"/>
              <w:bottom w:val="single" w:sz="4" w:space="0" w:color="auto"/>
              <w:right w:val="single" w:sz="4" w:space="0" w:color="auto"/>
            </w:tcBorders>
            <w:noWrap/>
            <w:vAlign w:val="center"/>
            <w:hideMark/>
          </w:tcPr>
          <w:p w14:paraId="0F96885E"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3,9%</w:t>
            </w:r>
          </w:p>
        </w:tc>
        <w:tc>
          <w:tcPr>
            <w:tcW w:w="1187" w:type="dxa"/>
            <w:tcBorders>
              <w:top w:val="nil"/>
              <w:left w:val="nil"/>
              <w:bottom w:val="single" w:sz="4" w:space="0" w:color="auto"/>
              <w:right w:val="single" w:sz="4" w:space="0" w:color="auto"/>
            </w:tcBorders>
            <w:noWrap/>
            <w:vAlign w:val="center"/>
            <w:hideMark/>
          </w:tcPr>
          <w:p w14:paraId="1CFA2D22"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3,8%</w:t>
            </w:r>
          </w:p>
        </w:tc>
        <w:tc>
          <w:tcPr>
            <w:tcW w:w="1187" w:type="dxa"/>
            <w:tcBorders>
              <w:top w:val="nil"/>
              <w:left w:val="nil"/>
              <w:bottom w:val="single" w:sz="4" w:space="0" w:color="auto"/>
              <w:right w:val="single" w:sz="4" w:space="0" w:color="auto"/>
            </w:tcBorders>
            <w:noWrap/>
            <w:vAlign w:val="center"/>
            <w:hideMark/>
          </w:tcPr>
          <w:p w14:paraId="44A2208E"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3,7%</w:t>
            </w:r>
          </w:p>
        </w:tc>
      </w:tr>
      <w:tr w:rsidR="00EA0FD7" w:rsidRPr="00EA0FD7" w14:paraId="7ABC7AA4" w14:textId="77777777" w:rsidTr="00EA0FD7">
        <w:trPr>
          <w:trHeight w:hRule="exact" w:val="397"/>
        </w:trPr>
        <w:tc>
          <w:tcPr>
            <w:tcW w:w="3704" w:type="dxa"/>
            <w:tcBorders>
              <w:top w:val="nil"/>
              <w:left w:val="single" w:sz="4" w:space="0" w:color="auto"/>
              <w:bottom w:val="single" w:sz="4" w:space="0" w:color="auto"/>
              <w:right w:val="single" w:sz="4" w:space="0" w:color="auto"/>
            </w:tcBorders>
            <w:noWrap/>
            <w:vAlign w:val="center"/>
            <w:hideMark/>
          </w:tcPr>
          <w:p w14:paraId="7ED2678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 xml:space="preserve">Царине </w:t>
            </w:r>
          </w:p>
        </w:tc>
        <w:tc>
          <w:tcPr>
            <w:tcW w:w="1187" w:type="dxa"/>
            <w:tcBorders>
              <w:top w:val="single" w:sz="4" w:space="0" w:color="auto"/>
              <w:left w:val="nil"/>
              <w:bottom w:val="single" w:sz="4" w:space="0" w:color="auto"/>
              <w:right w:val="single" w:sz="4" w:space="0" w:color="auto"/>
            </w:tcBorders>
            <w:noWrap/>
            <w:vAlign w:val="center"/>
            <w:hideMark/>
          </w:tcPr>
          <w:p w14:paraId="68DBB82E"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0,9%</w:t>
            </w:r>
          </w:p>
        </w:tc>
        <w:tc>
          <w:tcPr>
            <w:tcW w:w="1187" w:type="dxa"/>
            <w:tcBorders>
              <w:top w:val="nil"/>
              <w:left w:val="nil"/>
              <w:bottom w:val="single" w:sz="4" w:space="0" w:color="auto"/>
              <w:right w:val="single" w:sz="4" w:space="0" w:color="auto"/>
            </w:tcBorders>
            <w:noWrap/>
            <w:vAlign w:val="center"/>
            <w:hideMark/>
          </w:tcPr>
          <w:p w14:paraId="5035B7D1"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0,9%</w:t>
            </w:r>
          </w:p>
        </w:tc>
        <w:tc>
          <w:tcPr>
            <w:tcW w:w="1187" w:type="dxa"/>
            <w:tcBorders>
              <w:top w:val="nil"/>
              <w:left w:val="nil"/>
              <w:bottom w:val="single" w:sz="4" w:space="0" w:color="auto"/>
              <w:right w:val="single" w:sz="4" w:space="0" w:color="auto"/>
            </w:tcBorders>
            <w:noWrap/>
            <w:vAlign w:val="center"/>
            <w:hideMark/>
          </w:tcPr>
          <w:p w14:paraId="37D9B77A"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0,9%</w:t>
            </w:r>
          </w:p>
        </w:tc>
        <w:tc>
          <w:tcPr>
            <w:tcW w:w="1187" w:type="dxa"/>
            <w:tcBorders>
              <w:top w:val="nil"/>
              <w:left w:val="nil"/>
              <w:bottom w:val="single" w:sz="4" w:space="0" w:color="auto"/>
              <w:right w:val="single" w:sz="4" w:space="0" w:color="auto"/>
            </w:tcBorders>
            <w:noWrap/>
            <w:vAlign w:val="center"/>
            <w:hideMark/>
          </w:tcPr>
          <w:p w14:paraId="36608209"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1,0%</w:t>
            </w:r>
          </w:p>
        </w:tc>
        <w:tc>
          <w:tcPr>
            <w:tcW w:w="1187" w:type="dxa"/>
            <w:tcBorders>
              <w:top w:val="nil"/>
              <w:left w:val="nil"/>
              <w:bottom w:val="single" w:sz="4" w:space="0" w:color="auto"/>
              <w:right w:val="single" w:sz="4" w:space="0" w:color="auto"/>
            </w:tcBorders>
            <w:noWrap/>
            <w:vAlign w:val="center"/>
            <w:hideMark/>
          </w:tcPr>
          <w:p w14:paraId="2F696E62"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1,0%</w:t>
            </w:r>
          </w:p>
        </w:tc>
      </w:tr>
      <w:tr w:rsidR="00EA0FD7" w:rsidRPr="00EA0FD7" w14:paraId="388E43B5" w14:textId="77777777" w:rsidTr="00EA0FD7">
        <w:trPr>
          <w:trHeight w:hRule="exact" w:val="397"/>
        </w:trPr>
        <w:tc>
          <w:tcPr>
            <w:tcW w:w="3704" w:type="dxa"/>
            <w:tcBorders>
              <w:top w:val="nil"/>
              <w:left w:val="single" w:sz="4" w:space="0" w:color="auto"/>
              <w:bottom w:val="single" w:sz="4" w:space="0" w:color="auto"/>
              <w:right w:val="single" w:sz="4" w:space="0" w:color="auto"/>
            </w:tcBorders>
            <w:noWrap/>
            <w:vAlign w:val="center"/>
            <w:hideMark/>
          </w:tcPr>
          <w:p w14:paraId="2BB9EC00"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Путарина</w:t>
            </w:r>
          </w:p>
        </w:tc>
        <w:tc>
          <w:tcPr>
            <w:tcW w:w="1187" w:type="dxa"/>
            <w:tcBorders>
              <w:top w:val="single" w:sz="4" w:space="0" w:color="auto"/>
              <w:left w:val="nil"/>
              <w:bottom w:val="single" w:sz="4" w:space="0" w:color="auto"/>
              <w:right w:val="single" w:sz="4" w:space="0" w:color="auto"/>
            </w:tcBorders>
            <w:noWrap/>
            <w:vAlign w:val="center"/>
            <w:hideMark/>
          </w:tcPr>
          <w:p w14:paraId="169F90BF"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1,7%</w:t>
            </w:r>
          </w:p>
        </w:tc>
        <w:tc>
          <w:tcPr>
            <w:tcW w:w="1187" w:type="dxa"/>
            <w:tcBorders>
              <w:top w:val="nil"/>
              <w:left w:val="nil"/>
              <w:bottom w:val="single" w:sz="4" w:space="0" w:color="auto"/>
              <w:right w:val="single" w:sz="4" w:space="0" w:color="auto"/>
            </w:tcBorders>
            <w:noWrap/>
            <w:vAlign w:val="center"/>
            <w:hideMark/>
          </w:tcPr>
          <w:p w14:paraId="0280B393"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1,7%</w:t>
            </w:r>
          </w:p>
        </w:tc>
        <w:tc>
          <w:tcPr>
            <w:tcW w:w="1187" w:type="dxa"/>
            <w:tcBorders>
              <w:top w:val="nil"/>
              <w:left w:val="nil"/>
              <w:bottom w:val="single" w:sz="4" w:space="0" w:color="auto"/>
              <w:right w:val="single" w:sz="4" w:space="0" w:color="auto"/>
            </w:tcBorders>
            <w:noWrap/>
            <w:vAlign w:val="center"/>
            <w:hideMark/>
          </w:tcPr>
          <w:p w14:paraId="1E75CD1F"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1,7%</w:t>
            </w:r>
          </w:p>
        </w:tc>
        <w:tc>
          <w:tcPr>
            <w:tcW w:w="1187" w:type="dxa"/>
            <w:tcBorders>
              <w:top w:val="nil"/>
              <w:left w:val="nil"/>
              <w:bottom w:val="single" w:sz="4" w:space="0" w:color="auto"/>
              <w:right w:val="single" w:sz="4" w:space="0" w:color="auto"/>
            </w:tcBorders>
            <w:noWrap/>
            <w:vAlign w:val="center"/>
            <w:hideMark/>
          </w:tcPr>
          <w:p w14:paraId="284AD304"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1,6%</w:t>
            </w:r>
          </w:p>
        </w:tc>
        <w:tc>
          <w:tcPr>
            <w:tcW w:w="1187" w:type="dxa"/>
            <w:tcBorders>
              <w:top w:val="nil"/>
              <w:left w:val="nil"/>
              <w:bottom w:val="single" w:sz="4" w:space="0" w:color="auto"/>
              <w:right w:val="single" w:sz="4" w:space="0" w:color="auto"/>
            </w:tcBorders>
            <w:noWrap/>
            <w:vAlign w:val="center"/>
            <w:hideMark/>
          </w:tcPr>
          <w:p w14:paraId="598E0623"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1,6%</w:t>
            </w:r>
          </w:p>
        </w:tc>
      </w:tr>
      <w:tr w:rsidR="00EA0FD7" w:rsidRPr="00EA0FD7" w14:paraId="460E1E0D" w14:textId="77777777" w:rsidTr="00EA0FD7">
        <w:trPr>
          <w:trHeight w:hRule="exact" w:val="397"/>
        </w:trPr>
        <w:tc>
          <w:tcPr>
            <w:tcW w:w="3704" w:type="dxa"/>
            <w:tcBorders>
              <w:top w:val="nil"/>
              <w:left w:val="single" w:sz="4" w:space="0" w:color="auto"/>
              <w:bottom w:val="single" w:sz="4" w:space="0" w:color="auto"/>
              <w:right w:val="single" w:sz="4" w:space="0" w:color="auto"/>
            </w:tcBorders>
            <w:noWrap/>
            <w:vAlign w:val="center"/>
            <w:hideMark/>
          </w:tcPr>
          <w:p w14:paraId="44C84C2C"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 xml:space="preserve">Остало </w:t>
            </w:r>
          </w:p>
        </w:tc>
        <w:tc>
          <w:tcPr>
            <w:tcW w:w="1187" w:type="dxa"/>
            <w:tcBorders>
              <w:top w:val="single" w:sz="4" w:space="0" w:color="auto"/>
              <w:left w:val="nil"/>
              <w:bottom w:val="single" w:sz="4" w:space="0" w:color="auto"/>
              <w:right w:val="single" w:sz="4" w:space="0" w:color="auto"/>
            </w:tcBorders>
            <w:noWrap/>
            <w:vAlign w:val="center"/>
            <w:hideMark/>
          </w:tcPr>
          <w:p w14:paraId="531F1085"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0,1%</w:t>
            </w:r>
          </w:p>
        </w:tc>
        <w:tc>
          <w:tcPr>
            <w:tcW w:w="1187" w:type="dxa"/>
            <w:tcBorders>
              <w:top w:val="nil"/>
              <w:left w:val="nil"/>
              <w:bottom w:val="single" w:sz="4" w:space="0" w:color="auto"/>
              <w:right w:val="single" w:sz="4" w:space="0" w:color="auto"/>
            </w:tcBorders>
            <w:noWrap/>
            <w:vAlign w:val="center"/>
            <w:hideMark/>
          </w:tcPr>
          <w:p w14:paraId="69C9A4AB"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0,1%</w:t>
            </w:r>
          </w:p>
        </w:tc>
        <w:tc>
          <w:tcPr>
            <w:tcW w:w="1187" w:type="dxa"/>
            <w:tcBorders>
              <w:top w:val="nil"/>
              <w:left w:val="nil"/>
              <w:bottom w:val="single" w:sz="4" w:space="0" w:color="auto"/>
              <w:right w:val="single" w:sz="4" w:space="0" w:color="auto"/>
            </w:tcBorders>
            <w:noWrap/>
            <w:vAlign w:val="center"/>
            <w:hideMark/>
          </w:tcPr>
          <w:p w14:paraId="77BF129A"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0,1%</w:t>
            </w:r>
          </w:p>
        </w:tc>
        <w:tc>
          <w:tcPr>
            <w:tcW w:w="1187" w:type="dxa"/>
            <w:tcBorders>
              <w:top w:val="nil"/>
              <w:left w:val="nil"/>
              <w:bottom w:val="single" w:sz="4" w:space="0" w:color="auto"/>
              <w:right w:val="single" w:sz="4" w:space="0" w:color="auto"/>
            </w:tcBorders>
            <w:noWrap/>
            <w:vAlign w:val="center"/>
            <w:hideMark/>
          </w:tcPr>
          <w:p w14:paraId="7839A005"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0,1%</w:t>
            </w:r>
          </w:p>
        </w:tc>
        <w:tc>
          <w:tcPr>
            <w:tcW w:w="1187" w:type="dxa"/>
            <w:tcBorders>
              <w:top w:val="nil"/>
              <w:left w:val="nil"/>
              <w:bottom w:val="single" w:sz="4" w:space="0" w:color="auto"/>
              <w:right w:val="single" w:sz="4" w:space="0" w:color="auto"/>
            </w:tcBorders>
            <w:noWrap/>
            <w:vAlign w:val="center"/>
            <w:hideMark/>
          </w:tcPr>
          <w:p w14:paraId="55BCC63E"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0,1%</w:t>
            </w:r>
          </w:p>
        </w:tc>
      </w:tr>
      <w:tr w:rsidR="00EA0FD7" w:rsidRPr="00EA0FD7" w14:paraId="41CFC20A" w14:textId="77777777" w:rsidTr="00EA0FD7">
        <w:trPr>
          <w:trHeight w:hRule="exact" w:val="397"/>
        </w:trPr>
        <w:tc>
          <w:tcPr>
            <w:tcW w:w="3704"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26A3B749"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УКУПНО</w:t>
            </w:r>
          </w:p>
        </w:tc>
        <w:tc>
          <w:tcPr>
            <w:tcW w:w="1187" w:type="dxa"/>
            <w:tcBorders>
              <w:top w:val="single" w:sz="4" w:space="0" w:color="auto"/>
              <w:left w:val="nil"/>
              <w:bottom w:val="single" w:sz="4" w:space="0" w:color="auto"/>
              <w:right w:val="single" w:sz="4" w:space="0" w:color="auto"/>
            </w:tcBorders>
            <w:shd w:val="clear" w:color="auto" w:fill="FDE9D9"/>
            <w:noWrap/>
            <w:vAlign w:val="center"/>
            <w:hideMark/>
          </w:tcPr>
          <w:p w14:paraId="71BB27D6"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18,4%</w:t>
            </w:r>
          </w:p>
        </w:tc>
        <w:tc>
          <w:tcPr>
            <w:tcW w:w="1187" w:type="dxa"/>
            <w:tcBorders>
              <w:top w:val="single" w:sz="4" w:space="0" w:color="auto"/>
              <w:left w:val="nil"/>
              <w:bottom w:val="single" w:sz="4" w:space="0" w:color="auto"/>
              <w:right w:val="single" w:sz="4" w:space="0" w:color="auto"/>
            </w:tcBorders>
            <w:shd w:val="clear" w:color="auto" w:fill="FDE9D9"/>
            <w:noWrap/>
            <w:vAlign w:val="center"/>
            <w:hideMark/>
          </w:tcPr>
          <w:p w14:paraId="33F41F0D"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19,1%</w:t>
            </w:r>
          </w:p>
        </w:tc>
        <w:tc>
          <w:tcPr>
            <w:tcW w:w="1187" w:type="dxa"/>
            <w:tcBorders>
              <w:top w:val="single" w:sz="4" w:space="0" w:color="auto"/>
              <w:left w:val="nil"/>
              <w:bottom w:val="single" w:sz="4" w:space="0" w:color="auto"/>
              <w:right w:val="single" w:sz="4" w:space="0" w:color="auto"/>
            </w:tcBorders>
            <w:shd w:val="clear" w:color="auto" w:fill="FDE9D9"/>
            <w:noWrap/>
            <w:vAlign w:val="center"/>
            <w:hideMark/>
          </w:tcPr>
          <w:p w14:paraId="3757F530"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18,8%</w:t>
            </w:r>
          </w:p>
        </w:tc>
        <w:tc>
          <w:tcPr>
            <w:tcW w:w="1187" w:type="dxa"/>
            <w:tcBorders>
              <w:top w:val="single" w:sz="4" w:space="0" w:color="auto"/>
              <w:left w:val="nil"/>
              <w:bottom w:val="single" w:sz="4" w:space="0" w:color="auto"/>
              <w:right w:val="single" w:sz="4" w:space="0" w:color="auto"/>
            </w:tcBorders>
            <w:shd w:val="clear" w:color="auto" w:fill="FDE9D9"/>
            <w:noWrap/>
            <w:vAlign w:val="center"/>
            <w:hideMark/>
          </w:tcPr>
          <w:p w14:paraId="44660682"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18,5%</w:t>
            </w:r>
          </w:p>
        </w:tc>
        <w:tc>
          <w:tcPr>
            <w:tcW w:w="1187" w:type="dxa"/>
            <w:tcBorders>
              <w:top w:val="single" w:sz="4" w:space="0" w:color="auto"/>
              <w:left w:val="nil"/>
              <w:bottom w:val="single" w:sz="4" w:space="0" w:color="auto"/>
              <w:right w:val="single" w:sz="4" w:space="0" w:color="auto"/>
            </w:tcBorders>
            <w:shd w:val="clear" w:color="auto" w:fill="FDE9D9"/>
            <w:noWrap/>
            <w:vAlign w:val="center"/>
            <w:hideMark/>
          </w:tcPr>
          <w:p w14:paraId="19147B6D"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18,2%</w:t>
            </w:r>
          </w:p>
        </w:tc>
      </w:tr>
      <w:tr w:rsidR="00EA0FD7" w:rsidRPr="00EA0FD7" w14:paraId="6D6CFABC" w14:textId="77777777" w:rsidTr="00EA0FD7">
        <w:trPr>
          <w:trHeight w:hRule="exact" w:val="397"/>
        </w:trPr>
        <w:tc>
          <w:tcPr>
            <w:tcW w:w="3704" w:type="dxa"/>
            <w:tcBorders>
              <w:top w:val="nil"/>
              <w:left w:val="single" w:sz="4" w:space="0" w:color="auto"/>
              <w:bottom w:val="single" w:sz="4" w:space="0" w:color="auto"/>
              <w:right w:val="single" w:sz="4" w:space="0" w:color="auto"/>
            </w:tcBorders>
            <w:noWrap/>
            <w:vAlign w:val="center"/>
            <w:hideMark/>
          </w:tcPr>
          <w:p w14:paraId="5A53D15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 xml:space="preserve">Намјенска путарина </w:t>
            </w:r>
          </w:p>
        </w:tc>
        <w:tc>
          <w:tcPr>
            <w:tcW w:w="1187" w:type="dxa"/>
            <w:tcBorders>
              <w:top w:val="single" w:sz="4" w:space="0" w:color="auto"/>
              <w:left w:val="nil"/>
              <w:bottom w:val="single" w:sz="4" w:space="0" w:color="auto"/>
              <w:right w:val="single" w:sz="4" w:space="0" w:color="auto"/>
            </w:tcBorders>
            <w:noWrap/>
            <w:vAlign w:val="center"/>
            <w:hideMark/>
          </w:tcPr>
          <w:p w14:paraId="5C941E40"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-1,1%</w:t>
            </w:r>
          </w:p>
        </w:tc>
        <w:tc>
          <w:tcPr>
            <w:tcW w:w="1187" w:type="dxa"/>
            <w:tcBorders>
              <w:top w:val="nil"/>
              <w:left w:val="nil"/>
              <w:bottom w:val="single" w:sz="4" w:space="0" w:color="auto"/>
              <w:right w:val="single" w:sz="4" w:space="0" w:color="auto"/>
            </w:tcBorders>
            <w:noWrap/>
            <w:vAlign w:val="center"/>
            <w:hideMark/>
          </w:tcPr>
          <w:p w14:paraId="395956F1"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-1,1%</w:t>
            </w:r>
          </w:p>
        </w:tc>
        <w:tc>
          <w:tcPr>
            <w:tcW w:w="1187" w:type="dxa"/>
            <w:tcBorders>
              <w:top w:val="nil"/>
              <w:left w:val="nil"/>
              <w:bottom w:val="single" w:sz="4" w:space="0" w:color="auto"/>
              <w:right w:val="single" w:sz="4" w:space="0" w:color="auto"/>
            </w:tcBorders>
            <w:noWrap/>
            <w:vAlign w:val="center"/>
            <w:hideMark/>
          </w:tcPr>
          <w:p w14:paraId="33691F49"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-1,0%</w:t>
            </w:r>
          </w:p>
        </w:tc>
        <w:tc>
          <w:tcPr>
            <w:tcW w:w="1187" w:type="dxa"/>
            <w:tcBorders>
              <w:top w:val="nil"/>
              <w:left w:val="nil"/>
              <w:bottom w:val="single" w:sz="4" w:space="0" w:color="auto"/>
              <w:right w:val="single" w:sz="4" w:space="0" w:color="auto"/>
            </w:tcBorders>
            <w:noWrap/>
            <w:vAlign w:val="center"/>
            <w:hideMark/>
          </w:tcPr>
          <w:p w14:paraId="62E21526"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-1,0%</w:t>
            </w:r>
          </w:p>
        </w:tc>
        <w:tc>
          <w:tcPr>
            <w:tcW w:w="1187" w:type="dxa"/>
            <w:tcBorders>
              <w:top w:val="nil"/>
              <w:left w:val="nil"/>
              <w:bottom w:val="single" w:sz="4" w:space="0" w:color="auto"/>
              <w:right w:val="single" w:sz="4" w:space="0" w:color="auto"/>
            </w:tcBorders>
            <w:noWrap/>
            <w:vAlign w:val="center"/>
            <w:hideMark/>
          </w:tcPr>
          <w:p w14:paraId="165246A6"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-1,0%</w:t>
            </w:r>
          </w:p>
        </w:tc>
      </w:tr>
      <w:tr w:rsidR="00EA0FD7" w:rsidRPr="00EA0FD7" w14:paraId="5A452C72" w14:textId="77777777" w:rsidTr="00EA0FD7">
        <w:trPr>
          <w:trHeight w:hRule="exact" w:val="397"/>
        </w:trPr>
        <w:tc>
          <w:tcPr>
            <w:tcW w:w="3704"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08DBF37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bs-Latn-BA"/>
              </w:rPr>
            </w:pPr>
            <w:r w:rsidRPr="00EA0FD7">
              <w:rPr>
                <w:rFonts w:ascii="Times New Roman" w:eastAsia="Times New Roman" w:hAnsi="Times New Roman" w:cs="Times New Roman"/>
                <w:sz w:val="24"/>
                <w:szCs w:val="24"/>
                <w:lang w:val="sr-Cyrl-RS" w:eastAsia="bs-Latn-BA"/>
              </w:rPr>
              <w:t>СРЕДСТВА ЗА РАСПОДЈЕЛУ</w:t>
            </w:r>
          </w:p>
        </w:tc>
        <w:tc>
          <w:tcPr>
            <w:tcW w:w="1187" w:type="dxa"/>
            <w:tcBorders>
              <w:top w:val="single" w:sz="4" w:space="0" w:color="auto"/>
              <w:left w:val="nil"/>
              <w:bottom w:val="single" w:sz="4" w:space="0" w:color="auto"/>
              <w:right w:val="single" w:sz="4" w:space="0" w:color="auto"/>
            </w:tcBorders>
            <w:shd w:val="clear" w:color="auto" w:fill="FDE9D9"/>
            <w:noWrap/>
            <w:vAlign w:val="center"/>
            <w:hideMark/>
          </w:tcPr>
          <w:p w14:paraId="7918B92E"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17,3%</w:t>
            </w:r>
          </w:p>
        </w:tc>
        <w:tc>
          <w:tcPr>
            <w:tcW w:w="1187" w:type="dxa"/>
            <w:tcBorders>
              <w:top w:val="single" w:sz="4" w:space="0" w:color="auto"/>
              <w:left w:val="nil"/>
              <w:bottom w:val="single" w:sz="4" w:space="0" w:color="auto"/>
              <w:right w:val="single" w:sz="4" w:space="0" w:color="auto"/>
            </w:tcBorders>
            <w:shd w:val="clear" w:color="auto" w:fill="FDE9D9"/>
            <w:noWrap/>
            <w:vAlign w:val="center"/>
            <w:hideMark/>
          </w:tcPr>
          <w:p w14:paraId="44851172"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18,0%</w:t>
            </w:r>
          </w:p>
        </w:tc>
        <w:tc>
          <w:tcPr>
            <w:tcW w:w="1187" w:type="dxa"/>
            <w:tcBorders>
              <w:top w:val="single" w:sz="4" w:space="0" w:color="auto"/>
              <w:left w:val="nil"/>
              <w:bottom w:val="single" w:sz="4" w:space="0" w:color="auto"/>
              <w:right w:val="single" w:sz="4" w:space="0" w:color="auto"/>
            </w:tcBorders>
            <w:shd w:val="clear" w:color="auto" w:fill="FDE9D9"/>
            <w:noWrap/>
            <w:vAlign w:val="center"/>
            <w:hideMark/>
          </w:tcPr>
          <w:p w14:paraId="3FFB2672"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17,8%</w:t>
            </w:r>
          </w:p>
        </w:tc>
        <w:tc>
          <w:tcPr>
            <w:tcW w:w="1187" w:type="dxa"/>
            <w:tcBorders>
              <w:top w:val="single" w:sz="4" w:space="0" w:color="auto"/>
              <w:left w:val="nil"/>
              <w:bottom w:val="single" w:sz="4" w:space="0" w:color="auto"/>
              <w:right w:val="single" w:sz="4" w:space="0" w:color="auto"/>
            </w:tcBorders>
            <w:shd w:val="clear" w:color="auto" w:fill="FDE9D9"/>
            <w:noWrap/>
            <w:vAlign w:val="center"/>
            <w:hideMark/>
          </w:tcPr>
          <w:p w14:paraId="20FEA9B3"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17,5%</w:t>
            </w:r>
          </w:p>
        </w:tc>
        <w:tc>
          <w:tcPr>
            <w:tcW w:w="1187" w:type="dxa"/>
            <w:tcBorders>
              <w:top w:val="single" w:sz="4" w:space="0" w:color="auto"/>
              <w:left w:val="nil"/>
              <w:bottom w:val="single" w:sz="4" w:space="0" w:color="auto"/>
              <w:right w:val="single" w:sz="4" w:space="0" w:color="auto"/>
            </w:tcBorders>
            <w:shd w:val="clear" w:color="auto" w:fill="FDE9D9"/>
            <w:noWrap/>
            <w:vAlign w:val="center"/>
            <w:hideMark/>
          </w:tcPr>
          <w:p w14:paraId="64C0FA0A" w14:textId="77777777" w:rsidR="00EA0FD7" w:rsidRPr="00EA0FD7" w:rsidRDefault="00EA0FD7" w:rsidP="00EA0FD7">
            <w:pPr>
              <w:spacing w:after="0" w:line="240" w:lineRule="auto"/>
              <w:jc w:val="right"/>
              <w:rPr>
                <w:rFonts w:ascii="Times New Roman" w:eastAsia="Times New Roman" w:hAnsi="Times New Roman" w:cs="Times New Roman"/>
                <w:color w:val="000000"/>
                <w:sz w:val="24"/>
                <w:szCs w:val="24"/>
                <w:lang w:val="sr-Cyrl-RS" w:eastAsia="hr-HR"/>
              </w:rPr>
            </w:pPr>
            <w:r w:rsidRPr="00EA0FD7">
              <w:rPr>
                <w:rFonts w:ascii="Times New Roman" w:eastAsia="Times New Roman" w:hAnsi="Times New Roman" w:cs="Times New Roman"/>
                <w:color w:val="000000"/>
                <w:sz w:val="24"/>
                <w:szCs w:val="24"/>
                <w:lang w:val="sr-Cyrl-RS" w:eastAsia="hr-HR"/>
              </w:rPr>
              <w:t>17,1%</w:t>
            </w:r>
          </w:p>
        </w:tc>
      </w:tr>
    </w:tbl>
    <w:p w14:paraId="2AC6F0F3" w14:textId="7A00ED1E"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Извор података за БДП: БХАС, фебруар 2022</w:t>
      </w:r>
      <w:r w:rsidR="00D21440">
        <w:rPr>
          <w:rFonts w:ascii="Times New Roman" w:eastAsia="Times New Roman" w:hAnsi="Times New Roman" w:cs="Times New Roman"/>
          <w:sz w:val="20"/>
          <w:szCs w:val="20"/>
          <w:lang w:val="sr-Cyrl-RS" w:eastAsia="hr-HR"/>
        </w:rPr>
        <w:t>.</w:t>
      </w:r>
      <w:r w:rsidRPr="00EA0FD7">
        <w:rPr>
          <w:rFonts w:ascii="Times New Roman" w:eastAsia="Times New Roman" w:hAnsi="Times New Roman" w:cs="Times New Roman"/>
          <w:sz w:val="20"/>
          <w:szCs w:val="20"/>
          <w:lang w:val="sr-Cyrl-RS" w:eastAsia="hr-HR"/>
        </w:rPr>
        <w:t xml:space="preserve"> и Пројекције ДЕП-а, март 2022.</w:t>
      </w:r>
    </w:p>
    <w:p w14:paraId="2D166475"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t xml:space="preserve"> </w:t>
      </w:r>
      <w:bookmarkStart w:id="76" w:name="_Toc100751298"/>
      <w:bookmarkStart w:id="77" w:name="_Toc4666036"/>
    </w:p>
    <w:p w14:paraId="4F18AF99"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t>Пројекције за 2022. годину</w:t>
      </w:r>
      <w:bookmarkEnd w:id="76"/>
      <w:bookmarkEnd w:id="77"/>
    </w:p>
    <w:p w14:paraId="01156B49"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2DC175CF" w14:textId="61525BE6"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Приликом израде пројекција прихода за 2022. годину није се  могло ослонити на сезонске схеме наплате прихода из 2020. и 2021. године, с обзиром да су оне изашле из ранијих оквира због ефеката вируса корона. Сезонска схема је уздрмана за све приходе који имају изражену сезонску компоненту (домаћи ПДВ, ПДВ-на увоз, акцизе на безалкохолна пића, путарина и царине), те за укупне нето приходе код којих сезонска компонента није толико значајна. Мјесечна динамика прихода у 2020. години је потпуно одударала од тзв. </w:t>
      </w:r>
      <w:r w:rsidR="00D21440">
        <w:rPr>
          <w:rFonts w:ascii="Times New Roman" w:eastAsia="Times New Roman" w:hAnsi="Times New Roman" w:cs="Times New Roman"/>
          <w:i/>
          <w:sz w:val="24"/>
          <w:szCs w:val="24"/>
          <w:lang w:val="sr-Cyrl-RS" w:eastAsia="hr-HR"/>
        </w:rPr>
        <w:t>pre</w:t>
      </w:r>
      <w:r w:rsidRPr="00EA0FD7">
        <w:rPr>
          <w:rFonts w:ascii="Times New Roman" w:eastAsia="Times New Roman" w:hAnsi="Times New Roman" w:cs="Times New Roman"/>
          <w:i/>
          <w:sz w:val="24"/>
          <w:szCs w:val="24"/>
          <w:lang w:val="sr-Cyrl-RS" w:eastAsia="hr-HR"/>
        </w:rPr>
        <w:t>-</w:t>
      </w:r>
      <w:r w:rsidR="00D21440">
        <w:rPr>
          <w:rFonts w:ascii="Times New Roman" w:eastAsia="Times New Roman" w:hAnsi="Times New Roman" w:cs="Times New Roman"/>
          <w:i/>
          <w:sz w:val="24"/>
          <w:szCs w:val="24"/>
          <w:lang w:val="sr-Cyrl-RS" w:eastAsia="hr-HR"/>
        </w:rPr>
        <w:t>COVID</w:t>
      </w:r>
      <w:r w:rsidRPr="00EA0FD7">
        <w:rPr>
          <w:rFonts w:ascii="Times New Roman" w:eastAsia="Times New Roman" w:hAnsi="Times New Roman" w:cs="Times New Roman"/>
          <w:i/>
          <w:sz w:val="24"/>
          <w:szCs w:val="24"/>
          <w:lang w:val="sr-Cyrl-RS" w:eastAsia="hr-HR"/>
        </w:rPr>
        <w:t xml:space="preserve">-19 </w:t>
      </w:r>
      <w:r w:rsidRPr="00EA0FD7">
        <w:rPr>
          <w:rFonts w:ascii="Times New Roman" w:eastAsia="Times New Roman" w:hAnsi="Times New Roman" w:cs="Times New Roman"/>
          <w:sz w:val="24"/>
          <w:szCs w:val="24"/>
          <w:lang w:val="sr-Cyrl-RS" w:eastAsia="hr-HR"/>
        </w:rPr>
        <w:t>сезонске схеме. Распон мјесечних стопа раста нето прихода (разлика између максималне и минималне вриједности) износио је 44,2 п.</w:t>
      </w:r>
      <w:r w:rsidR="00D21440">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 xml:space="preserve">п. Иако се неким дијелом вратила на стари шаблон, наплата нето прихода од индиректних пореза у 2021. години такође поприлично одудара од старе сезонске </w:t>
      </w:r>
      <w:r w:rsidR="00D21440">
        <w:rPr>
          <w:rFonts w:ascii="Times New Roman" w:eastAsia="Times New Roman" w:hAnsi="Times New Roman" w:cs="Times New Roman"/>
          <w:sz w:val="24"/>
          <w:szCs w:val="24"/>
          <w:lang w:val="sr-Cyrl-RS" w:eastAsia="hr-HR"/>
        </w:rPr>
        <w:t>ш</w:t>
      </w:r>
      <w:r w:rsidRPr="00EA0FD7">
        <w:rPr>
          <w:rFonts w:ascii="Times New Roman" w:eastAsia="Times New Roman" w:hAnsi="Times New Roman" w:cs="Times New Roman"/>
          <w:sz w:val="24"/>
          <w:szCs w:val="24"/>
          <w:lang w:val="sr-Cyrl-RS" w:eastAsia="hr-HR"/>
        </w:rPr>
        <w:t>еме.</w:t>
      </w:r>
      <w:r w:rsidRPr="00AE5455">
        <w:rPr>
          <w:rFonts w:ascii="Times New Roman" w:eastAsia="Times New Roman" w:hAnsi="Times New Roman" w:cs="Times New Roman"/>
          <w:sz w:val="24"/>
          <w:szCs w:val="24"/>
          <w:vertAlign w:val="superscript"/>
          <w:lang w:val="sr-Cyrl-RS" w:eastAsia="hr-HR"/>
        </w:rPr>
        <w:footnoteReference w:id="51"/>
      </w:r>
      <w:r w:rsidRPr="00EA0FD7">
        <w:rPr>
          <w:rFonts w:ascii="Times New Roman" w:eastAsia="Times New Roman" w:hAnsi="Times New Roman" w:cs="Times New Roman"/>
          <w:sz w:val="24"/>
          <w:szCs w:val="24"/>
          <w:lang w:val="sr-Cyrl-RS" w:eastAsia="hr-HR"/>
        </w:rPr>
        <w:t xml:space="preserve"> У 2021. години је распон мјесечних стопа раста нето прихода од индиректних пореза био још виши него у 2020. години и износио је високих 54,1 п.</w:t>
      </w:r>
      <w:r w:rsidR="00D21440">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 xml:space="preserve">п. што је резултат: (1) поремећаја сезонске </w:t>
      </w:r>
      <w:r w:rsidR="00D21440">
        <w:rPr>
          <w:rFonts w:ascii="Times New Roman" w:eastAsia="Times New Roman" w:hAnsi="Times New Roman" w:cs="Times New Roman"/>
          <w:sz w:val="24"/>
          <w:szCs w:val="24"/>
          <w:lang w:val="sr-Cyrl-RS" w:eastAsia="hr-HR"/>
        </w:rPr>
        <w:t>ш</w:t>
      </w:r>
      <w:r w:rsidRPr="00EA0FD7">
        <w:rPr>
          <w:rFonts w:ascii="Times New Roman" w:eastAsia="Times New Roman" w:hAnsi="Times New Roman" w:cs="Times New Roman"/>
          <w:sz w:val="24"/>
          <w:szCs w:val="24"/>
          <w:lang w:val="sr-Cyrl-RS" w:eastAsia="hr-HR"/>
        </w:rPr>
        <w:t xml:space="preserve">еме у базној 2020. години, и (2) карактеристика сезонске </w:t>
      </w:r>
      <w:r w:rsidR="00D21440">
        <w:rPr>
          <w:rFonts w:ascii="Times New Roman" w:eastAsia="Times New Roman" w:hAnsi="Times New Roman" w:cs="Times New Roman"/>
          <w:sz w:val="24"/>
          <w:szCs w:val="24"/>
          <w:lang w:val="sr-Cyrl-RS" w:eastAsia="hr-HR"/>
        </w:rPr>
        <w:t>ш</w:t>
      </w:r>
      <w:r w:rsidRPr="00EA0FD7">
        <w:rPr>
          <w:rFonts w:ascii="Times New Roman" w:eastAsia="Times New Roman" w:hAnsi="Times New Roman" w:cs="Times New Roman"/>
          <w:sz w:val="24"/>
          <w:szCs w:val="24"/>
          <w:lang w:val="sr-Cyrl-RS" w:eastAsia="hr-HR"/>
        </w:rPr>
        <w:t>еме у 2021. години.</w:t>
      </w:r>
    </w:p>
    <w:p w14:paraId="71D15912"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2BB1B28" w14:textId="1423B606" w:rsidR="00EA0FD7" w:rsidRPr="0078010E" w:rsidRDefault="00EA0FD7" w:rsidP="0078010E">
      <w:pPr>
        <w:spacing w:after="0" w:line="240" w:lineRule="auto"/>
        <w:jc w:val="both"/>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sz w:val="24"/>
          <w:szCs w:val="24"/>
          <w:lang w:val="sr-Cyrl-RS" w:eastAsia="hr-HR"/>
        </w:rPr>
        <w:t>У првом кварталу 2022. године остварена је стопа раста нето прихода од индиректних пореза од 18,9% у односу на први квартал 2021. године. Према пројекцијама ДЕП-а, очекује се номинални раст БДП-а од 5,4% у 2022. години. Имајући у виду да висок раст прихода у првом кварталу 2022. године дијелом произилази из специфичности у статистичкој основици за поређење (ниска основица у првом дијелу 2021. године због строгих рестриктивних мјера у борби против вируса корона), те узимајући у обзир огромне непознанице у погледу дешавања</w:t>
      </w:r>
      <w:r w:rsidR="00D21440">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 xml:space="preserve">у Украјини и развијања епидемиолошке ситуације у земљи и окружењу, </w:t>
      </w:r>
      <w:r w:rsidRPr="00EA0FD7">
        <w:rPr>
          <w:rFonts w:ascii="Times New Roman" w:eastAsia="Times New Roman" w:hAnsi="Times New Roman" w:cs="Times New Roman"/>
          <w:b/>
          <w:sz w:val="24"/>
          <w:szCs w:val="24"/>
          <w:lang w:val="sr-Cyrl-RS" w:eastAsia="hr-HR"/>
        </w:rPr>
        <w:t>пројект</w:t>
      </w:r>
      <w:r w:rsidR="00D21440">
        <w:rPr>
          <w:rFonts w:ascii="Times New Roman" w:eastAsia="Times New Roman" w:hAnsi="Times New Roman" w:cs="Times New Roman"/>
          <w:b/>
          <w:sz w:val="24"/>
          <w:szCs w:val="24"/>
          <w:lang w:val="sr-Cyrl-RS" w:eastAsia="hr-HR"/>
        </w:rPr>
        <w:t>ована</w:t>
      </w:r>
      <w:r w:rsidRPr="00EA0FD7">
        <w:rPr>
          <w:rFonts w:ascii="Times New Roman" w:eastAsia="Times New Roman" w:hAnsi="Times New Roman" w:cs="Times New Roman"/>
          <w:b/>
          <w:sz w:val="24"/>
          <w:szCs w:val="24"/>
          <w:lang w:val="sr-Cyrl-RS" w:eastAsia="hr-HR"/>
        </w:rPr>
        <w:t xml:space="preserve"> стопа раста прихода од индиректних пореза за 2022. годину износи 9,1%. </w:t>
      </w:r>
      <w:bookmarkStart w:id="79" w:name="_Toc100751299"/>
    </w:p>
    <w:p w14:paraId="2F0D96F6" w14:textId="77777777" w:rsidR="00EA0FD7" w:rsidRPr="00EA0FD7" w:rsidRDefault="00EA0FD7" w:rsidP="00EA0FD7">
      <w:pPr>
        <w:keepNext/>
        <w:keepLines/>
        <w:spacing w:before="40" w:after="0" w:line="240" w:lineRule="auto"/>
        <w:jc w:val="both"/>
        <w:outlineLvl w:val="2"/>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lastRenderedPageBreak/>
        <w:t>ПДВ</w:t>
      </w:r>
      <w:bookmarkEnd w:id="79"/>
    </w:p>
    <w:p w14:paraId="37653582"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40C28369" w14:textId="72CA39DF"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Анализа трендова наплате у текућој години указује на снажан опоравак прихода од ПДВ-а. Наплату у првом кварталу 2022. године карактериз</w:t>
      </w:r>
      <w:r w:rsidR="00D21440">
        <w:rPr>
          <w:rFonts w:ascii="Times New Roman" w:eastAsia="Times New Roman" w:hAnsi="Times New Roman" w:cs="Times New Roman"/>
          <w:sz w:val="24"/>
          <w:szCs w:val="24"/>
          <w:lang w:val="sr-Cyrl-RS" w:eastAsia="hr-HR"/>
        </w:rPr>
        <w:t>ују</w:t>
      </w:r>
      <w:r w:rsidRPr="00EA0FD7">
        <w:rPr>
          <w:rFonts w:ascii="Times New Roman" w:eastAsia="Times New Roman" w:hAnsi="Times New Roman" w:cs="Times New Roman"/>
          <w:sz w:val="24"/>
          <w:szCs w:val="24"/>
          <w:lang w:val="sr-Cyrl-RS" w:eastAsia="hr-HR"/>
        </w:rPr>
        <w:t xml:space="preserve"> врло висока стопа раста прихода од ПДВ-а на увоз, стабилна стопа раста прихода од домаћег ПДВ-а и високе исплате поврата (дио </w:t>
      </w:r>
      <w:r w:rsidR="00D21440">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Наплата у периоду јануар – март 2022.</w:t>
      </w:r>
      <w:r w:rsidR="00D21440">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године). Пројект</w:t>
      </w:r>
      <w:r w:rsidR="00D21440">
        <w:rPr>
          <w:rFonts w:ascii="Times New Roman" w:eastAsia="Times New Roman" w:hAnsi="Times New Roman" w:cs="Times New Roman"/>
          <w:sz w:val="24"/>
          <w:szCs w:val="24"/>
          <w:lang w:val="sr-Cyrl-RS" w:eastAsia="hr-HR"/>
        </w:rPr>
        <w:t>овани</w:t>
      </w:r>
      <w:r w:rsidRPr="00EA0FD7">
        <w:rPr>
          <w:rFonts w:ascii="Times New Roman" w:eastAsia="Times New Roman" w:hAnsi="Times New Roman" w:cs="Times New Roman"/>
          <w:sz w:val="24"/>
          <w:szCs w:val="24"/>
          <w:lang w:val="sr-Cyrl-RS" w:eastAsia="hr-HR"/>
        </w:rPr>
        <w:t xml:space="preserve"> износ прихода од ПДВ-а у 2022. години  износи 4.915,3 мил</w:t>
      </w:r>
      <w:r w:rsidR="00D21440">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КМ, што је за 11,0% више од остварења у 2021. години. Пројекција је заснована на историјској сезонској </w:t>
      </w:r>
      <w:r w:rsidR="00D21440">
        <w:rPr>
          <w:rFonts w:ascii="Times New Roman" w:eastAsia="Times New Roman" w:hAnsi="Times New Roman" w:cs="Times New Roman"/>
          <w:sz w:val="24"/>
          <w:szCs w:val="24"/>
          <w:lang w:val="sr-Cyrl-RS" w:eastAsia="hr-HR"/>
        </w:rPr>
        <w:t>ш</w:t>
      </w:r>
      <w:r w:rsidRPr="00EA0FD7">
        <w:rPr>
          <w:rFonts w:ascii="Times New Roman" w:eastAsia="Times New Roman" w:hAnsi="Times New Roman" w:cs="Times New Roman"/>
          <w:sz w:val="24"/>
          <w:szCs w:val="24"/>
          <w:lang w:val="sr-Cyrl-RS" w:eastAsia="hr-HR"/>
        </w:rPr>
        <w:t>еми наплате појединих категорија ПДВ-а (која не укључује специфичности у претходне дв</w:t>
      </w:r>
      <w:r w:rsidR="00D21440">
        <w:rPr>
          <w:rFonts w:ascii="Times New Roman" w:eastAsia="Times New Roman" w:hAnsi="Times New Roman" w:cs="Times New Roman"/>
          <w:sz w:val="24"/>
          <w:szCs w:val="24"/>
          <w:lang w:val="sr-Cyrl-RS" w:eastAsia="hr-HR"/>
        </w:rPr>
        <w:t>иј</w:t>
      </w:r>
      <w:r w:rsidRPr="00EA0FD7">
        <w:rPr>
          <w:rFonts w:ascii="Times New Roman" w:eastAsia="Times New Roman" w:hAnsi="Times New Roman" w:cs="Times New Roman"/>
          <w:sz w:val="24"/>
          <w:szCs w:val="24"/>
          <w:lang w:val="sr-Cyrl-RS" w:eastAsia="hr-HR"/>
        </w:rPr>
        <w:t>е године), те кретањима и пројекцијама макроекономских показатеља.</w:t>
      </w:r>
    </w:p>
    <w:p w14:paraId="01381C0E"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6098EE72" w14:textId="77777777" w:rsidR="00EA0FD7" w:rsidRPr="00EA0FD7" w:rsidRDefault="00EA0FD7" w:rsidP="00EA0FD7">
      <w:pPr>
        <w:keepNext/>
        <w:keepLines/>
        <w:spacing w:before="40" w:after="0" w:line="240" w:lineRule="auto"/>
        <w:jc w:val="both"/>
        <w:outlineLvl w:val="2"/>
        <w:rPr>
          <w:rFonts w:ascii="Times New Roman" w:eastAsia="Times New Roman" w:hAnsi="Times New Roman" w:cs="Times New Roman"/>
          <w:sz w:val="24"/>
          <w:szCs w:val="24"/>
          <w:lang w:val="sr-Cyrl-RS" w:eastAsia="hr-HR"/>
        </w:rPr>
      </w:pPr>
      <w:bookmarkStart w:id="80" w:name="_Toc100751300"/>
      <w:r w:rsidRPr="00EA0FD7">
        <w:rPr>
          <w:rFonts w:ascii="Times New Roman" w:eastAsia="Times New Roman" w:hAnsi="Times New Roman" w:cs="Times New Roman"/>
          <w:sz w:val="24"/>
          <w:szCs w:val="24"/>
          <w:lang w:val="sr-Cyrl-RS" w:eastAsia="hr-HR"/>
        </w:rPr>
        <w:t>Акцизе и путарина</w:t>
      </w:r>
      <w:bookmarkEnd w:id="80"/>
    </w:p>
    <w:p w14:paraId="66006F71"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39C03A29" w14:textId="7B6EA224"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Cs/>
          <w:sz w:val="24"/>
          <w:szCs w:val="24"/>
          <w:lang w:val="sr-Cyrl-RS" w:eastAsia="hr-HR"/>
        </w:rPr>
        <w:t>Пројект</w:t>
      </w:r>
      <w:r w:rsidR="00D21440">
        <w:rPr>
          <w:rFonts w:ascii="Times New Roman" w:eastAsia="Times New Roman" w:hAnsi="Times New Roman" w:cs="Times New Roman"/>
          <w:bCs/>
          <w:sz w:val="24"/>
          <w:szCs w:val="24"/>
          <w:lang w:val="sr-Cyrl-RS" w:eastAsia="hr-HR"/>
        </w:rPr>
        <w:t>овани</w:t>
      </w:r>
      <w:r w:rsidRPr="00EA0FD7">
        <w:rPr>
          <w:rFonts w:ascii="Times New Roman" w:eastAsia="Times New Roman" w:hAnsi="Times New Roman" w:cs="Times New Roman"/>
          <w:bCs/>
          <w:sz w:val="24"/>
          <w:szCs w:val="24"/>
          <w:lang w:val="sr-Cyrl-RS" w:eastAsia="hr-HR"/>
        </w:rPr>
        <w:t xml:space="preserve"> износ укупних нето прихода од акциза у 2022. години износи 1.565,7 мил</w:t>
      </w:r>
      <w:r w:rsidR="00D21440">
        <w:rPr>
          <w:rFonts w:ascii="Times New Roman" w:eastAsia="Times New Roman" w:hAnsi="Times New Roman" w:cs="Times New Roman"/>
          <w:bCs/>
          <w:sz w:val="24"/>
          <w:szCs w:val="24"/>
          <w:lang w:val="sr-Cyrl-RS" w:eastAsia="hr-HR"/>
        </w:rPr>
        <w:t>.</w:t>
      </w:r>
      <w:r w:rsidRPr="00EA0FD7">
        <w:rPr>
          <w:rFonts w:ascii="Times New Roman" w:eastAsia="Times New Roman" w:hAnsi="Times New Roman" w:cs="Times New Roman"/>
          <w:bCs/>
          <w:sz w:val="24"/>
          <w:szCs w:val="24"/>
          <w:lang w:val="sr-Cyrl-RS" w:eastAsia="hr-HR"/>
        </w:rPr>
        <w:t xml:space="preserve"> КМ, што је за 6,1% више од остварења у 2021. </w:t>
      </w:r>
    </w:p>
    <w:p w14:paraId="1E841741" w14:textId="77777777" w:rsidR="00EA0FD7" w:rsidRPr="00EA0FD7" w:rsidRDefault="00EA0FD7" w:rsidP="00EA0FD7">
      <w:pPr>
        <w:spacing w:after="0" w:line="240" w:lineRule="auto"/>
        <w:rPr>
          <w:rFonts w:ascii="Times New Roman" w:eastAsia="Times New Roman" w:hAnsi="Times New Roman" w:cs="Times New Roman"/>
          <w:bCs/>
          <w:sz w:val="24"/>
          <w:szCs w:val="24"/>
          <w:lang w:val="sr-Cyrl-RS" w:eastAsia="hr-HR"/>
        </w:rPr>
      </w:pPr>
    </w:p>
    <w:p w14:paraId="4C7CE2B8" w14:textId="18A3340D"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Cs/>
          <w:sz w:val="24"/>
          <w:szCs w:val="24"/>
          <w:lang w:val="sr-Cyrl-RS" w:eastAsia="hr-HR"/>
        </w:rPr>
        <w:t>Пројектирани износ нето прихода од путарине</w:t>
      </w:r>
      <w:r w:rsidRPr="00EA0FD7">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bCs/>
          <w:sz w:val="24"/>
          <w:szCs w:val="24"/>
          <w:lang w:val="sr-Cyrl-RS" w:eastAsia="hr-HR"/>
        </w:rPr>
        <w:t>у 2022. години износи 669,0 мил</w:t>
      </w:r>
      <w:r w:rsidR="00D21440">
        <w:rPr>
          <w:rFonts w:ascii="Times New Roman" w:eastAsia="Times New Roman" w:hAnsi="Times New Roman" w:cs="Times New Roman"/>
          <w:bCs/>
          <w:sz w:val="24"/>
          <w:szCs w:val="24"/>
          <w:lang w:val="sr-Cyrl-RS" w:eastAsia="hr-HR"/>
        </w:rPr>
        <w:t>.</w:t>
      </w:r>
      <w:r w:rsidRPr="00EA0FD7">
        <w:rPr>
          <w:rFonts w:ascii="Times New Roman" w:eastAsia="Times New Roman" w:hAnsi="Times New Roman" w:cs="Times New Roman"/>
          <w:bCs/>
          <w:sz w:val="24"/>
          <w:szCs w:val="24"/>
          <w:lang w:val="sr-Cyrl-RS" w:eastAsia="hr-HR"/>
        </w:rPr>
        <w:t xml:space="preserve"> КМ, што је за 2,1% више од остварења у 2021, а заснован је на текућим трендовима наплате, историјској сезонској </w:t>
      </w:r>
      <w:r w:rsidR="00D21440">
        <w:rPr>
          <w:rFonts w:ascii="Times New Roman" w:eastAsia="Times New Roman" w:hAnsi="Times New Roman" w:cs="Times New Roman"/>
          <w:bCs/>
          <w:sz w:val="24"/>
          <w:szCs w:val="24"/>
          <w:lang w:val="sr-Cyrl-RS" w:eastAsia="hr-HR"/>
        </w:rPr>
        <w:t>ш</w:t>
      </w:r>
      <w:r w:rsidRPr="00EA0FD7">
        <w:rPr>
          <w:rFonts w:ascii="Times New Roman" w:eastAsia="Times New Roman" w:hAnsi="Times New Roman" w:cs="Times New Roman"/>
          <w:bCs/>
          <w:sz w:val="24"/>
          <w:szCs w:val="24"/>
          <w:lang w:val="sr-Cyrl-RS" w:eastAsia="hr-HR"/>
        </w:rPr>
        <w:t xml:space="preserve">еми наплате </w:t>
      </w:r>
      <w:r w:rsidRPr="00EA0FD7">
        <w:rPr>
          <w:rFonts w:ascii="Times New Roman" w:eastAsia="Times New Roman" w:hAnsi="Times New Roman" w:cs="Times New Roman"/>
          <w:sz w:val="24"/>
          <w:szCs w:val="24"/>
          <w:lang w:val="sr-Cyrl-RS" w:eastAsia="hr-HR"/>
        </w:rPr>
        <w:t xml:space="preserve">(која не укључује податке за године са специфичностима), </w:t>
      </w:r>
      <w:r w:rsidRPr="00EA0FD7">
        <w:rPr>
          <w:rFonts w:ascii="Times New Roman" w:eastAsia="Times New Roman" w:hAnsi="Times New Roman" w:cs="Times New Roman"/>
          <w:bCs/>
          <w:sz w:val="24"/>
          <w:szCs w:val="24"/>
          <w:lang w:val="sr-Cyrl-RS" w:eastAsia="hr-HR"/>
        </w:rPr>
        <w:t>прогнозама макроекономских показатеља (ДЕП, март 2022), кретањима цијена деривата нафте и процјенама цјеновне еластичности потражње за дериватима нафте у БиХ (ОМА).</w:t>
      </w:r>
    </w:p>
    <w:p w14:paraId="6E1278F8"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55B7B0E9" w14:textId="77777777" w:rsidR="00EA0FD7" w:rsidRPr="00EA0FD7" w:rsidRDefault="00EA0FD7" w:rsidP="00EA0FD7">
      <w:pPr>
        <w:spacing w:after="0" w:line="240" w:lineRule="auto"/>
        <w:jc w:val="both"/>
        <w:rPr>
          <w:rFonts w:ascii="Times New Roman" w:eastAsia="Times New Roman" w:hAnsi="Times New Roman" w:cs="Times New Roman"/>
          <w:bCs/>
          <w:i/>
          <w:sz w:val="24"/>
          <w:szCs w:val="24"/>
          <w:lang w:val="sr-Cyrl-RS" w:eastAsia="hr-HR"/>
        </w:rPr>
      </w:pPr>
      <w:r w:rsidRPr="00EA0FD7">
        <w:rPr>
          <w:rFonts w:ascii="Times New Roman" w:eastAsia="Times New Roman" w:hAnsi="Times New Roman" w:cs="Times New Roman"/>
          <w:bCs/>
          <w:i/>
          <w:sz w:val="24"/>
          <w:szCs w:val="24"/>
          <w:lang w:val="sr-Cyrl-RS" w:eastAsia="hr-HR"/>
        </w:rPr>
        <w:t xml:space="preserve">Приходи од акциза на деривате нафте </w:t>
      </w:r>
    </w:p>
    <w:p w14:paraId="030ACD5D" w14:textId="77777777" w:rsidR="00EA0FD7" w:rsidRPr="00EA0FD7" w:rsidRDefault="00EA0FD7" w:rsidP="00EA0FD7">
      <w:pPr>
        <w:spacing w:after="0" w:line="240" w:lineRule="auto"/>
        <w:jc w:val="both"/>
        <w:rPr>
          <w:rFonts w:ascii="Times New Roman" w:eastAsia="Times New Roman" w:hAnsi="Times New Roman" w:cs="Times New Roman"/>
          <w:bCs/>
          <w:i/>
          <w:sz w:val="24"/>
          <w:szCs w:val="24"/>
          <w:lang w:val="sr-Cyrl-RS" w:eastAsia="hr-HR"/>
        </w:rPr>
      </w:pPr>
    </w:p>
    <w:p w14:paraId="50751FC8" w14:textId="48108E65"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2021. години је у односу на 2020. годину укупна потрошња деривата нафте порасла за 12,2%. Раст потрошње дизел горива и бензина био је отприлике на једнаком нивоу, 12,5% и 12,8% респективно. Потрошња лож уља и течног нафтног плина је, са друге стране, пала и то за 4,3% и 9,6%, респективно. Потрошња керозина је, због изузетно ниске основице у 2020. години, порасла за огромних 145,4%. Због дијела изгубљене потрошње у 2020. години, ради ефеката вируса корона, та година не може бити референтна за поређење, па се, осим са 2020. годином, потрошња у 2021. години треба упоредити и са 2019. годином.</w:t>
      </w:r>
      <w:r w:rsidR="00D21440">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 xml:space="preserve">У односу на 2019. годину, потрошња у 2021. години је опала за 0,8%. У случају дизел горива порасла је за 2,8%, док је потрошња осталих категорија деривата опала: бензина за 8,7%, лож уља за 9,2%, керозина за 29,7% и течног нафтног плина за 28,2%. </w:t>
      </w:r>
    </w:p>
    <w:p w14:paraId="385121F0"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B8FBC59"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Седмичне цијене</w:t>
      </w:r>
      <w:r w:rsidRPr="00AE5455">
        <w:rPr>
          <w:rFonts w:ascii="Times New Roman" w:eastAsia="Times New Roman" w:hAnsi="Times New Roman" w:cs="Times New Roman"/>
          <w:sz w:val="24"/>
          <w:szCs w:val="24"/>
          <w:vertAlign w:val="superscript"/>
          <w:lang w:val="sr-Cyrl-RS" w:eastAsia="hr-HR"/>
        </w:rPr>
        <w:footnoteReference w:id="52"/>
      </w:r>
      <w:r w:rsidRPr="00EA0FD7">
        <w:rPr>
          <w:rFonts w:ascii="Times New Roman" w:eastAsia="Times New Roman" w:hAnsi="Times New Roman" w:cs="Times New Roman"/>
          <w:sz w:val="24"/>
          <w:szCs w:val="24"/>
          <w:lang w:val="sr-Cyrl-RS" w:eastAsia="hr-HR"/>
        </w:rPr>
        <w:t xml:space="preserve"> дизел горива и бензина на тржишту БиХ имале су растући тренд од почетка до краја 2021. године, а годишњи просјеци седмичних цијена били су на нивоу испод просјека 2019. године и изнад просјека 2020. године. Цијене деривата нафте на тржишту БиХ снажно су пале у априлу и мају 2020. године, као посљедица пандемије вируса корона (Графикон 3.18). У 21. седмици 2020. године цијена дизел горива износила је свега 1,5 КМ/л, док је цијена горива БМБ-95 износила 1,6 КМ/л. Од 22. седмице 2020. године (крај маја) цијене деривата биљеже стални тренд раста. Дешавања у Украјини утицала су на интензивирање тренда раста цијена, тако да су, према посљедњим доступним објављеним подацима, у 15. недјељи 2022. године цијене дизел горива порасле за 40,3%, а цијене горива БМБ-95 за 28,2% у односу на 1. недјељу 2022. године, достижући нивое од високих 3,2 КМ/л и 3,0 КМ/л, респективно.</w:t>
      </w:r>
    </w:p>
    <w:p w14:paraId="743952BC"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p>
    <w:p w14:paraId="5627DD2C" w14:textId="77777777" w:rsidR="00EA0FD7" w:rsidRPr="00AE5455" w:rsidRDefault="00EA0FD7" w:rsidP="00EA0FD7">
      <w:pPr>
        <w:suppressLineNumbers/>
        <w:suppressAutoHyphens/>
        <w:spacing w:before="120" w:after="120" w:line="276" w:lineRule="auto"/>
        <w:rPr>
          <w:rFonts w:ascii="Times New Roman" w:eastAsia="Times New Roman" w:hAnsi="Times New Roman" w:cs="Tahoma"/>
          <w:b/>
          <w:i/>
          <w:iCs/>
          <w:color w:val="000000"/>
          <w:sz w:val="20"/>
          <w:szCs w:val="20"/>
          <w:lang w:val="sr-Cyrl-RS" w:eastAsia="ar-SA"/>
        </w:rPr>
      </w:pPr>
      <w:bookmarkStart w:id="81" w:name="_Toc100909346"/>
    </w:p>
    <w:p w14:paraId="525CC9F5" w14:textId="77777777" w:rsidR="00EA0FD7" w:rsidRPr="00EA0FD7" w:rsidRDefault="00EA0FD7" w:rsidP="00EA0FD7">
      <w:pPr>
        <w:suppressLineNumbers/>
        <w:suppressAutoHyphens/>
        <w:spacing w:after="0" w:line="276" w:lineRule="auto"/>
        <w:jc w:val="center"/>
        <w:rPr>
          <w:rFonts w:ascii="Calibri" w:eastAsia="Times New Roman" w:hAnsi="Calibri" w:cs="Times New Roman"/>
          <w:bCs/>
          <w:iCs/>
          <w:sz w:val="24"/>
          <w:szCs w:val="24"/>
          <w:lang w:val="sr-Cyrl-RS" w:eastAsia="ar-SA"/>
        </w:rPr>
      </w:pPr>
      <w:r w:rsidRPr="00AE5455">
        <w:rPr>
          <w:rFonts w:ascii="Times New Roman" w:eastAsia="Times New Roman" w:hAnsi="Times New Roman" w:cs="Times New Roman"/>
          <w:b/>
          <w:iCs/>
          <w:color w:val="000000"/>
          <w:sz w:val="18"/>
          <w:szCs w:val="24"/>
          <w:lang w:val="sr-Cyrl-RS" w:eastAsia="ar-SA"/>
        </w:rPr>
        <w:t xml:space="preserve">Графикон 3. </w:t>
      </w:r>
      <w:r w:rsidRPr="00EA0FD7">
        <w:rPr>
          <w:rFonts w:ascii="Calibri" w:eastAsia="Times New Roman" w:hAnsi="Calibri" w:cs="Tahoma"/>
          <w:i/>
          <w:iCs/>
          <w:sz w:val="24"/>
          <w:szCs w:val="24"/>
          <w:lang w:val="sr-Cyrl-RS" w:eastAsia="ar-SA"/>
        </w:rPr>
        <w:fldChar w:fldCharType="begin"/>
      </w:r>
      <w:r w:rsidRPr="00AE5455">
        <w:rPr>
          <w:rFonts w:ascii="Times New Roman" w:eastAsia="Times New Roman" w:hAnsi="Times New Roman" w:cs="Times New Roman"/>
          <w:b/>
          <w:iCs/>
          <w:color w:val="000000"/>
          <w:sz w:val="18"/>
          <w:szCs w:val="24"/>
          <w:lang w:val="sr-Cyrl-RS" w:eastAsia="ar-SA"/>
        </w:rPr>
        <w:instrText xml:space="preserve"> SEQ Grafikon_ \* ARABIC </w:instrText>
      </w:r>
      <w:r w:rsidRPr="00EA0FD7">
        <w:rPr>
          <w:rFonts w:ascii="Calibri" w:eastAsia="Times New Roman" w:hAnsi="Calibri" w:cs="Tahoma"/>
          <w:i/>
          <w:iCs/>
          <w:sz w:val="24"/>
          <w:szCs w:val="24"/>
          <w:lang w:val="sr-Cyrl-RS" w:eastAsia="ar-SA"/>
        </w:rPr>
        <w:fldChar w:fldCharType="separate"/>
      </w:r>
      <w:r w:rsidRPr="00AE5455">
        <w:rPr>
          <w:rFonts w:ascii="Times New Roman" w:eastAsia="Times New Roman" w:hAnsi="Times New Roman" w:cs="Times New Roman"/>
          <w:b/>
          <w:iCs/>
          <w:color w:val="000000"/>
          <w:sz w:val="18"/>
          <w:szCs w:val="24"/>
          <w:lang w:val="sr-Cyrl-RS" w:eastAsia="ar-SA"/>
        </w:rPr>
        <w:t>18</w:t>
      </w:r>
      <w:r w:rsidRPr="00EA0FD7">
        <w:rPr>
          <w:rFonts w:ascii="Calibri" w:eastAsia="Times New Roman" w:hAnsi="Calibri" w:cs="Tahoma"/>
          <w:i/>
          <w:iCs/>
          <w:sz w:val="24"/>
          <w:szCs w:val="24"/>
          <w:lang w:val="sr-Cyrl-RS" w:eastAsia="ar-SA"/>
        </w:rPr>
        <w:fldChar w:fldCharType="end"/>
      </w:r>
      <w:r w:rsidRPr="00EA0FD7">
        <w:rPr>
          <w:rFonts w:ascii="Times New Roman" w:eastAsia="Times New Roman" w:hAnsi="Times New Roman" w:cs="Times New Roman"/>
          <w:b/>
          <w:iCs/>
          <w:sz w:val="24"/>
          <w:szCs w:val="24"/>
          <w:lang w:val="sr-Cyrl-RS" w:eastAsia="ar-SA"/>
        </w:rPr>
        <w:t>.</w:t>
      </w:r>
      <w:r w:rsidRPr="00EA0FD7">
        <w:rPr>
          <w:rFonts w:ascii="Times New Roman" w:eastAsia="Times New Roman" w:hAnsi="Times New Roman" w:cs="Times New Roman"/>
          <w:iCs/>
          <w:sz w:val="24"/>
          <w:szCs w:val="24"/>
          <w:lang w:val="sr-Cyrl-RS" w:eastAsia="ar-SA"/>
        </w:rPr>
        <w:t xml:space="preserve"> </w:t>
      </w:r>
      <w:r w:rsidRPr="00EA0FD7">
        <w:rPr>
          <w:rFonts w:ascii="Times New Roman" w:eastAsia="Times New Roman" w:hAnsi="Times New Roman" w:cs="Times New Roman"/>
          <w:bCs/>
          <w:iCs/>
          <w:sz w:val="24"/>
          <w:szCs w:val="24"/>
          <w:lang w:val="sr-Cyrl-RS" w:eastAsia="ar-SA"/>
        </w:rPr>
        <w:t>Цијене деривата нафте у БиХ по седмицама</w:t>
      </w:r>
      <w:bookmarkEnd w:id="81"/>
    </w:p>
    <w:tbl>
      <w:tblPr>
        <w:tblW w:w="0" w:type="auto"/>
        <w:tblInd w:w="1242" w:type="dxa"/>
        <w:shd w:val="clear" w:color="auto" w:fill="FDE9D9"/>
        <w:tblLook w:val="04A0" w:firstRow="1" w:lastRow="0" w:firstColumn="1" w:lastColumn="0" w:noHBand="0" w:noVBand="1"/>
      </w:tblPr>
      <w:tblGrid>
        <w:gridCol w:w="7513"/>
      </w:tblGrid>
      <w:tr w:rsidR="00EA0FD7" w:rsidRPr="00EA0FD7" w14:paraId="7C8D9174" w14:textId="77777777" w:rsidTr="00EA0FD7">
        <w:trPr>
          <w:cantSplit/>
          <w:trHeight w:val="113"/>
        </w:trPr>
        <w:tc>
          <w:tcPr>
            <w:tcW w:w="7513" w:type="dxa"/>
            <w:shd w:val="clear" w:color="auto" w:fill="FDE9D9"/>
          </w:tcPr>
          <w:p w14:paraId="4CBCA83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tc>
      </w:tr>
      <w:tr w:rsidR="00EA0FD7" w:rsidRPr="00EA0FD7" w14:paraId="73FDAAA5" w14:textId="77777777" w:rsidTr="00EA0FD7">
        <w:trPr>
          <w:trHeight w:val="57"/>
        </w:trPr>
        <w:tc>
          <w:tcPr>
            <w:tcW w:w="7513" w:type="dxa"/>
            <w:shd w:val="clear" w:color="auto" w:fill="FDE9D9"/>
            <w:hideMark/>
          </w:tcPr>
          <w:p w14:paraId="5E1202A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0527BB04" wp14:editId="603E333C">
                  <wp:extent cx="4584065" cy="2737485"/>
                  <wp:effectExtent l="0" t="0" r="6985" b="5715"/>
                  <wp:docPr id="39" name="Slika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4065" cy="2737485"/>
                          </a:xfrm>
                          <a:prstGeom prst="rect">
                            <a:avLst/>
                          </a:prstGeom>
                          <a:noFill/>
                          <a:ln>
                            <a:noFill/>
                          </a:ln>
                        </pic:spPr>
                      </pic:pic>
                    </a:graphicData>
                  </a:graphic>
                </wp:inline>
              </w:drawing>
            </w:r>
          </w:p>
        </w:tc>
      </w:tr>
      <w:tr w:rsidR="00EA0FD7" w:rsidRPr="00EA0FD7" w14:paraId="3D3829FC" w14:textId="77777777" w:rsidTr="00EA0FD7">
        <w:trPr>
          <w:trHeight w:val="113"/>
        </w:trPr>
        <w:tc>
          <w:tcPr>
            <w:tcW w:w="7513" w:type="dxa"/>
            <w:shd w:val="clear" w:color="auto" w:fill="FDE9D9"/>
          </w:tcPr>
          <w:p w14:paraId="6588692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tc>
      </w:tr>
    </w:tbl>
    <w:p w14:paraId="2EAF7054" w14:textId="5043B05C"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Извор: Преглед ОМА на основу података </w:t>
      </w:r>
      <w:r w:rsidR="00D21440" w:rsidRPr="00D21440">
        <w:rPr>
          <w:rFonts w:ascii="Times New Roman" w:eastAsia="Times New Roman" w:hAnsi="Times New Roman" w:cs="Times New Roman"/>
          <w:i/>
          <w:sz w:val="20"/>
          <w:szCs w:val="20"/>
          <w:lang w:val="sr-Cyrl-RS" w:eastAsia="hr-HR"/>
        </w:rPr>
        <w:t>International</w:t>
      </w:r>
      <w:r w:rsidRPr="00D21440">
        <w:rPr>
          <w:rFonts w:ascii="Times New Roman" w:eastAsia="Times New Roman" w:hAnsi="Times New Roman" w:cs="Times New Roman"/>
          <w:i/>
          <w:sz w:val="20"/>
          <w:szCs w:val="20"/>
          <w:lang w:val="sr-Cyrl-RS" w:eastAsia="hr-HR"/>
        </w:rPr>
        <w:t xml:space="preserve"> </w:t>
      </w:r>
      <w:r w:rsidR="00D21440" w:rsidRPr="00D21440">
        <w:rPr>
          <w:rFonts w:ascii="Times New Roman" w:eastAsia="Times New Roman" w:hAnsi="Times New Roman" w:cs="Times New Roman"/>
          <w:i/>
          <w:sz w:val="20"/>
          <w:szCs w:val="20"/>
          <w:lang w:val="sr-Cyrl-RS" w:eastAsia="hr-HR"/>
        </w:rPr>
        <w:t>Road</w:t>
      </w:r>
      <w:r w:rsidRPr="00D21440">
        <w:rPr>
          <w:rFonts w:ascii="Times New Roman" w:eastAsia="Times New Roman" w:hAnsi="Times New Roman" w:cs="Times New Roman"/>
          <w:i/>
          <w:sz w:val="20"/>
          <w:szCs w:val="20"/>
          <w:lang w:val="sr-Cyrl-RS" w:eastAsia="hr-HR"/>
        </w:rPr>
        <w:t xml:space="preserve"> </w:t>
      </w:r>
      <w:r w:rsidR="00D21440" w:rsidRPr="00D21440">
        <w:rPr>
          <w:rFonts w:ascii="Times New Roman" w:eastAsia="Times New Roman" w:hAnsi="Times New Roman" w:cs="Times New Roman"/>
          <w:i/>
          <w:sz w:val="20"/>
          <w:szCs w:val="20"/>
          <w:lang w:val="sr-Cyrl-RS" w:eastAsia="hr-HR"/>
        </w:rPr>
        <w:t>Transport</w:t>
      </w:r>
      <w:r w:rsidRPr="00D21440">
        <w:rPr>
          <w:rFonts w:ascii="Times New Roman" w:eastAsia="Times New Roman" w:hAnsi="Times New Roman" w:cs="Times New Roman"/>
          <w:i/>
          <w:sz w:val="20"/>
          <w:szCs w:val="20"/>
          <w:lang w:val="sr-Cyrl-RS" w:eastAsia="hr-HR"/>
        </w:rPr>
        <w:t xml:space="preserve"> </w:t>
      </w:r>
      <w:r w:rsidR="00D21440" w:rsidRPr="00D21440">
        <w:rPr>
          <w:rFonts w:ascii="Times New Roman" w:eastAsia="Times New Roman" w:hAnsi="Times New Roman" w:cs="Times New Roman"/>
          <w:i/>
          <w:sz w:val="20"/>
          <w:szCs w:val="20"/>
          <w:lang w:val="sr-Cyrl-RS" w:eastAsia="hr-HR"/>
        </w:rPr>
        <w:t>Union</w:t>
      </w:r>
      <w:r w:rsidRPr="00EA0FD7">
        <w:rPr>
          <w:rFonts w:ascii="Times New Roman" w:eastAsia="Times New Roman" w:hAnsi="Times New Roman" w:cs="Times New Roman"/>
          <w:sz w:val="20"/>
          <w:szCs w:val="20"/>
          <w:lang w:val="sr-Cyrl-RS" w:eastAsia="hr-HR"/>
        </w:rPr>
        <w:t xml:space="preserve">-а, преузетих са </w:t>
      </w:r>
      <w:r w:rsidR="00D21440">
        <w:rPr>
          <w:rFonts w:ascii="Times New Roman" w:eastAsia="Times New Roman" w:hAnsi="Times New Roman" w:cs="Times New Roman"/>
          <w:sz w:val="20"/>
          <w:szCs w:val="20"/>
          <w:lang w:val="sr-Cyrl-RS" w:eastAsia="hr-HR"/>
        </w:rPr>
        <w:t>в</w:t>
      </w:r>
      <w:r w:rsidRPr="00EA0FD7">
        <w:rPr>
          <w:rFonts w:ascii="Times New Roman" w:eastAsia="Times New Roman" w:hAnsi="Times New Roman" w:cs="Times New Roman"/>
          <w:sz w:val="20"/>
          <w:szCs w:val="20"/>
          <w:lang w:val="sr-Cyrl-RS" w:eastAsia="hr-HR"/>
        </w:rPr>
        <w:t>еб</w:t>
      </w:r>
      <w:r w:rsidR="00D21440">
        <w:rPr>
          <w:rFonts w:ascii="Times New Roman" w:eastAsia="Times New Roman" w:hAnsi="Times New Roman" w:cs="Times New Roman"/>
          <w:sz w:val="20"/>
          <w:szCs w:val="20"/>
          <w:lang w:val="sr-Cyrl-RS" w:eastAsia="hr-HR"/>
        </w:rPr>
        <w:t>-</w:t>
      </w:r>
      <w:r w:rsidRPr="00EA0FD7">
        <w:rPr>
          <w:rFonts w:ascii="Times New Roman" w:eastAsia="Times New Roman" w:hAnsi="Times New Roman" w:cs="Times New Roman"/>
          <w:sz w:val="20"/>
          <w:szCs w:val="20"/>
          <w:lang w:val="sr-Cyrl-RS" w:eastAsia="hr-HR"/>
        </w:rPr>
        <w:t xml:space="preserve">странице </w:t>
      </w:r>
      <w:r w:rsidR="00D21440">
        <w:rPr>
          <w:rFonts w:ascii="Times New Roman" w:eastAsia="Times New Roman" w:hAnsi="Times New Roman" w:cs="Times New Roman"/>
          <w:sz w:val="20"/>
          <w:szCs w:val="20"/>
          <w:lang w:val="sr-Cyrl-RS" w:eastAsia="hr-HR"/>
        </w:rPr>
        <w:t>Спољно</w:t>
      </w:r>
      <w:r w:rsidRPr="00EA0FD7">
        <w:rPr>
          <w:rFonts w:ascii="Times New Roman" w:eastAsia="Times New Roman" w:hAnsi="Times New Roman" w:cs="Times New Roman"/>
          <w:sz w:val="20"/>
          <w:szCs w:val="20"/>
          <w:lang w:val="sr-Cyrl-RS" w:eastAsia="hr-HR"/>
        </w:rPr>
        <w:t xml:space="preserve">трговинске коморе БиХ, </w:t>
      </w:r>
      <w:hyperlink r:id="rId47" w:history="1">
        <w:r w:rsidR="00D21440" w:rsidRPr="00185765">
          <w:rPr>
            <w:rStyle w:val="Hiperveza"/>
            <w:rFonts w:ascii="Times New Roman" w:eastAsia="Times New Roman" w:hAnsi="Times New Roman" w:cs="Times New Roman"/>
            <w:sz w:val="20"/>
            <w:szCs w:val="20"/>
            <w:lang w:val="sr-Cyrl-RS" w:eastAsia="hr-HR"/>
          </w:rPr>
          <w:t>https://www.komorabih.ba/</w:t>
        </w:r>
      </w:hyperlink>
      <w:r w:rsidR="00D21440">
        <w:rPr>
          <w:rFonts w:ascii="Times New Roman" w:eastAsia="Times New Roman" w:hAnsi="Times New Roman" w:cs="Times New Roman"/>
          <w:sz w:val="20"/>
          <w:szCs w:val="20"/>
          <w:lang w:val="sr-Cyrl-RS" w:eastAsia="hr-HR"/>
        </w:rPr>
        <w:t xml:space="preserve">  </w:t>
      </w:r>
    </w:p>
    <w:p w14:paraId="1B7520CF" w14:textId="77777777" w:rsidR="00EA0FD7" w:rsidRPr="00EA0FD7" w:rsidRDefault="00EA0FD7" w:rsidP="00EA0FD7">
      <w:pPr>
        <w:spacing w:after="0" w:line="240" w:lineRule="auto"/>
        <w:jc w:val="both"/>
        <w:rPr>
          <w:rFonts w:ascii="Times New Roman" w:eastAsia="Times New Roman" w:hAnsi="Times New Roman" w:cs="Times New Roman"/>
          <w:b/>
          <w:lang w:val="sr-Cyrl-RS" w:eastAsia="hr-HR"/>
        </w:rPr>
      </w:pPr>
    </w:p>
    <w:p w14:paraId="777853F4" w14:textId="4FD189D2"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Cs/>
          <w:sz w:val="24"/>
          <w:szCs w:val="24"/>
          <w:lang w:val="sr-Cyrl-RS" w:eastAsia="hr-HR"/>
        </w:rPr>
        <w:t>Узимајући у обзир све наведено (трендове потрошње и цијена деривата нафте), као и  прогнозе макроекономских показатеља (ДЕП, март 2022), те процјене цјеновне еластичности потражње за дериватима нафте у БиХ (ОМА), пројектирани износ нето прихода од акциза на деривате нафте за 2022. годину износи 533,4 мил</w:t>
      </w:r>
      <w:r w:rsidR="00D21440">
        <w:rPr>
          <w:rFonts w:ascii="Times New Roman" w:eastAsia="Times New Roman" w:hAnsi="Times New Roman" w:cs="Times New Roman"/>
          <w:bCs/>
          <w:sz w:val="24"/>
          <w:szCs w:val="24"/>
          <w:lang w:val="sr-Cyrl-RS" w:eastAsia="hr-HR"/>
        </w:rPr>
        <w:t>.</w:t>
      </w:r>
      <w:r w:rsidRPr="00EA0FD7">
        <w:rPr>
          <w:rFonts w:ascii="Times New Roman" w:eastAsia="Times New Roman" w:hAnsi="Times New Roman" w:cs="Times New Roman"/>
          <w:bCs/>
          <w:sz w:val="24"/>
          <w:szCs w:val="24"/>
          <w:lang w:val="sr-Cyrl-RS" w:eastAsia="hr-HR"/>
        </w:rPr>
        <w:t xml:space="preserve"> КМ, што је за 1,7% више од остварења у 2021. </w:t>
      </w:r>
    </w:p>
    <w:p w14:paraId="5E399EAA" w14:textId="77777777" w:rsidR="00EA0FD7" w:rsidRPr="00EA0FD7" w:rsidRDefault="00EA0FD7" w:rsidP="00EA0FD7">
      <w:pPr>
        <w:spacing w:after="0" w:line="240" w:lineRule="auto"/>
        <w:jc w:val="both"/>
        <w:rPr>
          <w:rFonts w:ascii="Times New Roman" w:eastAsia="Times New Roman" w:hAnsi="Times New Roman" w:cs="Times New Roman"/>
          <w:bCs/>
          <w:i/>
          <w:sz w:val="24"/>
          <w:szCs w:val="24"/>
          <w:lang w:val="sr-Cyrl-RS" w:eastAsia="hr-HR"/>
        </w:rPr>
      </w:pPr>
    </w:p>
    <w:p w14:paraId="6388D6AB" w14:textId="75A26C09" w:rsidR="00EA0FD7" w:rsidRPr="00EA0FD7" w:rsidRDefault="00EA0FD7" w:rsidP="00EA0FD7">
      <w:pPr>
        <w:spacing w:after="0" w:line="240" w:lineRule="auto"/>
        <w:jc w:val="both"/>
        <w:rPr>
          <w:rFonts w:ascii="Times New Roman" w:eastAsia="Times New Roman" w:hAnsi="Times New Roman" w:cs="Times New Roman"/>
          <w:bCs/>
          <w:i/>
          <w:sz w:val="24"/>
          <w:szCs w:val="24"/>
          <w:lang w:val="sr-Cyrl-RS" w:eastAsia="hr-HR"/>
        </w:rPr>
      </w:pPr>
      <w:r w:rsidRPr="00EA0FD7">
        <w:rPr>
          <w:rFonts w:ascii="Times New Roman" w:eastAsia="Times New Roman" w:hAnsi="Times New Roman" w:cs="Times New Roman"/>
          <w:bCs/>
          <w:i/>
          <w:sz w:val="24"/>
          <w:szCs w:val="24"/>
          <w:lang w:val="sr-Cyrl-RS" w:eastAsia="hr-HR"/>
        </w:rPr>
        <w:t xml:space="preserve">Приходи од акциза на </w:t>
      </w:r>
      <w:r w:rsidR="00F42184">
        <w:rPr>
          <w:rFonts w:ascii="Times New Roman" w:eastAsia="Times New Roman" w:hAnsi="Times New Roman" w:cs="Times New Roman"/>
          <w:bCs/>
          <w:i/>
          <w:sz w:val="24"/>
          <w:szCs w:val="24"/>
          <w:lang w:val="sr-Cyrl-RS" w:eastAsia="hr-HR"/>
        </w:rPr>
        <w:t>дуван</w:t>
      </w:r>
    </w:p>
    <w:p w14:paraId="13A04214" w14:textId="77777777" w:rsidR="00EA0FD7" w:rsidRPr="00EA0FD7" w:rsidRDefault="00EA0FD7" w:rsidP="00EA0FD7">
      <w:pPr>
        <w:spacing w:after="0" w:line="240" w:lineRule="auto"/>
        <w:jc w:val="both"/>
        <w:rPr>
          <w:rFonts w:ascii="Times New Roman" w:eastAsia="Times New Roman" w:hAnsi="Times New Roman" w:cs="Times New Roman"/>
          <w:bCs/>
          <w:i/>
          <w:sz w:val="24"/>
          <w:szCs w:val="24"/>
          <w:lang w:val="sr-Cyrl-RS" w:eastAsia="hr-HR"/>
        </w:rPr>
      </w:pPr>
    </w:p>
    <w:p w14:paraId="0613B895" w14:textId="2764500D"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Полазиште за пројекције прихода од акциза на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 xml:space="preserve">ске прерађевине за 2022. годину јесу трендови на тржишту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ских прерађевина и наплата прихода од акциза у 2021. години и текући трендови у првом кварталу 2022. године. Према доступним подацима о издатим акцизним маркицама за прва два мјесеца 2022. године просјечна пондери</w:t>
      </w:r>
      <w:r w:rsidR="00D21440">
        <w:rPr>
          <w:rFonts w:ascii="Times New Roman" w:eastAsia="Times New Roman" w:hAnsi="Times New Roman" w:cs="Times New Roman"/>
          <w:sz w:val="24"/>
          <w:szCs w:val="24"/>
          <w:lang w:val="sr-Cyrl-RS" w:eastAsia="hr-HR"/>
        </w:rPr>
        <w:t>с</w:t>
      </w:r>
      <w:r w:rsidRPr="00EA0FD7">
        <w:rPr>
          <w:rFonts w:ascii="Times New Roman" w:eastAsia="Times New Roman" w:hAnsi="Times New Roman" w:cs="Times New Roman"/>
          <w:sz w:val="24"/>
          <w:szCs w:val="24"/>
          <w:lang w:val="sr-Cyrl-RS" w:eastAsia="hr-HR"/>
        </w:rPr>
        <w:t>ана цијена цигарета је била за 2,1% мања у односу на просјечну пондери</w:t>
      </w:r>
      <w:r w:rsidR="00D21440">
        <w:rPr>
          <w:rFonts w:ascii="Times New Roman" w:eastAsia="Times New Roman" w:hAnsi="Times New Roman" w:cs="Times New Roman"/>
          <w:sz w:val="24"/>
          <w:szCs w:val="24"/>
          <w:lang w:val="sr-Cyrl-RS" w:eastAsia="hr-HR"/>
        </w:rPr>
        <w:t>с</w:t>
      </w:r>
      <w:r w:rsidRPr="00EA0FD7">
        <w:rPr>
          <w:rFonts w:ascii="Times New Roman" w:eastAsia="Times New Roman" w:hAnsi="Times New Roman" w:cs="Times New Roman"/>
          <w:sz w:val="24"/>
          <w:szCs w:val="24"/>
          <w:lang w:val="sr-Cyrl-RS" w:eastAsia="hr-HR"/>
        </w:rPr>
        <w:t>ану цијену увезених цигарета у 2021. години</w:t>
      </w:r>
      <w:r w:rsidRPr="00AE5455">
        <w:rPr>
          <w:rFonts w:ascii="Times New Roman" w:eastAsia="Times New Roman" w:hAnsi="Times New Roman" w:cs="Times New Roman"/>
          <w:sz w:val="24"/>
          <w:szCs w:val="24"/>
          <w:vertAlign w:val="superscript"/>
          <w:lang w:val="sr-Cyrl-RS" w:eastAsia="hr-HR"/>
        </w:rPr>
        <w:footnoteReference w:id="53"/>
      </w:r>
      <w:r w:rsidRPr="00EA0FD7">
        <w:rPr>
          <w:rFonts w:ascii="Times New Roman" w:eastAsia="Times New Roman" w:hAnsi="Times New Roman" w:cs="Times New Roman"/>
          <w:sz w:val="24"/>
          <w:szCs w:val="24"/>
          <w:lang w:val="sr-Cyrl-RS" w:eastAsia="hr-HR"/>
        </w:rPr>
        <w:t>, што представља изненађење, имајући у виду оп</w:t>
      </w:r>
      <w:r w:rsidR="00D21440">
        <w:rPr>
          <w:rFonts w:ascii="Times New Roman" w:eastAsia="Times New Roman" w:hAnsi="Times New Roman" w:cs="Times New Roman"/>
          <w:sz w:val="24"/>
          <w:szCs w:val="24"/>
          <w:lang w:val="sr-Cyrl-RS" w:eastAsia="hr-HR"/>
        </w:rPr>
        <w:t>шт</w:t>
      </w:r>
      <w:r w:rsidRPr="00EA0FD7">
        <w:rPr>
          <w:rFonts w:ascii="Times New Roman" w:eastAsia="Times New Roman" w:hAnsi="Times New Roman" w:cs="Times New Roman"/>
          <w:sz w:val="24"/>
          <w:szCs w:val="24"/>
          <w:lang w:val="sr-Cyrl-RS" w:eastAsia="hr-HR"/>
        </w:rPr>
        <w:t xml:space="preserve">и тренд раста цијена добара и услуга узрокован поремећајем на свјетском тржишту енергената и ратом у Украјини. Очигледно су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ске компаније учиниле неочекиван заокрет у наступу на тржишту БиХ, те су, водећи политику економије обима, уз ниже цијене, остварили раст продаје цигарета у зимској сезони. Потребно је нагласити да се нижа просјечна пондери</w:t>
      </w:r>
      <w:r w:rsidR="00D21440">
        <w:rPr>
          <w:rFonts w:ascii="Times New Roman" w:eastAsia="Times New Roman" w:hAnsi="Times New Roman" w:cs="Times New Roman"/>
          <w:sz w:val="24"/>
          <w:szCs w:val="24"/>
          <w:lang w:val="sr-Cyrl-RS" w:eastAsia="hr-HR"/>
        </w:rPr>
        <w:t>с</w:t>
      </w:r>
      <w:r w:rsidRPr="00EA0FD7">
        <w:rPr>
          <w:rFonts w:ascii="Times New Roman" w:eastAsia="Times New Roman" w:hAnsi="Times New Roman" w:cs="Times New Roman"/>
          <w:sz w:val="24"/>
          <w:szCs w:val="24"/>
          <w:lang w:val="sr-Cyrl-RS" w:eastAsia="hr-HR"/>
        </w:rPr>
        <w:t xml:space="preserve">ана цијена цигарета може остварити и без смањења цијена појединих брендова цигарета, на начин да се варира структура пласмана цигарета у правцу веће понуде јефтинијих цигарета. Међутим, с обзиром на неизвјесну политичку ситуацију и проблеме у опскрби енергентима могуће су и мање корекције цијена цигарета навише, што зависи од удјела енергената у структури цијене коштања и трошковима транспорта </w:t>
      </w:r>
      <w:r w:rsidRPr="00EA0FD7">
        <w:rPr>
          <w:rFonts w:ascii="Times New Roman" w:eastAsia="Times New Roman" w:hAnsi="Times New Roman" w:cs="Times New Roman"/>
          <w:sz w:val="24"/>
          <w:szCs w:val="24"/>
          <w:lang w:val="sr-Cyrl-RS" w:eastAsia="hr-HR"/>
        </w:rPr>
        <w:lastRenderedPageBreak/>
        <w:t xml:space="preserve">од производних капацитета / складишта увозника до БиХ. У 2022. години ограничења потрошње нерезидената су и даље присутна, мада у мањој мјери. Могућа су ограничења због наставка пандемије у чланицама ЕУ у којима је највећа дијаспора из БиХ, док су ограничења уноса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ских прерађевина која су уведена при уносу у Хрватску и остале чланице ЕУ и даље на снази. Но, трендови у првом кварталу 2022. године указују на раст потрошње нерезидената у свим сегментима (дијаспора, туризам, транзит, прекогранична потрошња), што може значајно компенз</w:t>
      </w:r>
      <w:r w:rsidR="00D21440">
        <w:rPr>
          <w:rFonts w:ascii="Times New Roman" w:eastAsia="Times New Roman" w:hAnsi="Times New Roman" w:cs="Times New Roman"/>
          <w:sz w:val="24"/>
          <w:szCs w:val="24"/>
          <w:lang w:val="sr-Cyrl-RS" w:eastAsia="hr-HR"/>
        </w:rPr>
        <w:t>овати</w:t>
      </w:r>
      <w:r w:rsidRPr="00EA0FD7">
        <w:rPr>
          <w:rFonts w:ascii="Times New Roman" w:eastAsia="Times New Roman" w:hAnsi="Times New Roman" w:cs="Times New Roman"/>
          <w:sz w:val="24"/>
          <w:szCs w:val="24"/>
          <w:lang w:val="sr-Cyrl-RS" w:eastAsia="hr-HR"/>
        </w:rPr>
        <w:t xml:space="preserve"> потрошњу која се трајно губи због наставка тренда одлива радно способног становништва из БиХ. У таквим околностима могућа је и прекомпозиција структуре пласмана цигарета у корист брендова са вишим малопродајним цијенама, што може ут</w:t>
      </w:r>
      <w:r w:rsidR="00D21440">
        <w:rPr>
          <w:rFonts w:ascii="Times New Roman" w:eastAsia="Times New Roman" w:hAnsi="Times New Roman" w:cs="Times New Roman"/>
          <w:sz w:val="24"/>
          <w:szCs w:val="24"/>
          <w:lang w:val="sr-Cyrl-RS" w:eastAsia="hr-HR"/>
        </w:rPr>
        <w:t>и</w:t>
      </w:r>
      <w:r w:rsidRPr="00EA0FD7">
        <w:rPr>
          <w:rFonts w:ascii="Times New Roman" w:eastAsia="Times New Roman" w:hAnsi="Times New Roman" w:cs="Times New Roman"/>
          <w:sz w:val="24"/>
          <w:szCs w:val="24"/>
          <w:lang w:val="sr-Cyrl-RS" w:eastAsia="hr-HR"/>
        </w:rPr>
        <w:t>цати на раст просјечне пондери</w:t>
      </w:r>
      <w:r w:rsidR="00D21440">
        <w:rPr>
          <w:rFonts w:ascii="Times New Roman" w:eastAsia="Times New Roman" w:hAnsi="Times New Roman" w:cs="Times New Roman"/>
          <w:sz w:val="24"/>
          <w:szCs w:val="24"/>
          <w:lang w:val="sr-Cyrl-RS" w:eastAsia="hr-HR"/>
        </w:rPr>
        <w:t>с</w:t>
      </w:r>
      <w:r w:rsidRPr="00EA0FD7">
        <w:rPr>
          <w:rFonts w:ascii="Times New Roman" w:eastAsia="Times New Roman" w:hAnsi="Times New Roman" w:cs="Times New Roman"/>
          <w:sz w:val="24"/>
          <w:szCs w:val="24"/>
          <w:lang w:val="sr-Cyrl-RS" w:eastAsia="hr-HR"/>
        </w:rPr>
        <w:t xml:space="preserve">ане цијене цигарета у љетној сезони. С обзиром на описане претпоставке очекује се раст продаје цигарета и вриједности тржишта цигарета који би требао премашити рекордну 2019. годину. Економска криза у земљи, која погоршава животни стандард грађана, може имати за посљедицу супституцију цигарета резаним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 xml:space="preserve">ом, но то не би требало имати </w:t>
      </w:r>
      <w:r w:rsidR="00AE5455">
        <w:rPr>
          <w:rFonts w:ascii="Times New Roman" w:eastAsia="Times New Roman" w:hAnsi="Times New Roman" w:cs="Times New Roman"/>
          <w:sz w:val="24"/>
          <w:szCs w:val="24"/>
          <w:lang w:val="sr-Cyrl-RS" w:eastAsia="hr-HR"/>
        </w:rPr>
        <w:t>утицај</w:t>
      </w:r>
      <w:r w:rsidRPr="00EA0FD7">
        <w:rPr>
          <w:rFonts w:ascii="Times New Roman" w:eastAsia="Times New Roman" w:hAnsi="Times New Roman" w:cs="Times New Roman"/>
          <w:sz w:val="24"/>
          <w:szCs w:val="24"/>
          <w:lang w:val="sr-Cyrl-RS" w:eastAsia="hr-HR"/>
        </w:rPr>
        <w:t xml:space="preserve"> на наплату акциза због ниског пондера акциза на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 xml:space="preserve"> за пушење у укупно наплаћеним приходима од акциза. Под наведеним претпоставкама у 2022. години се очекује раст наплате акциза на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 xml:space="preserve">ске прерађевине од 9,2%. </w:t>
      </w:r>
    </w:p>
    <w:p w14:paraId="3D9CF243" w14:textId="77777777" w:rsidR="00EA0FD7" w:rsidRPr="00EA0FD7" w:rsidRDefault="00EA0FD7" w:rsidP="00EA0FD7">
      <w:pPr>
        <w:spacing w:after="0" w:line="240" w:lineRule="auto"/>
        <w:jc w:val="both"/>
        <w:rPr>
          <w:rFonts w:ascii="Times New Roman" w:eastAsia="Times New Roman" w:hAnsi="Times New Roman" w:cs="Times New Roman"/>
          <w:bCs/>
          <w:i/>
          <w:sz w:val="24"/>
          <w:szCs w:val="24"/>
          <w:lang w:val="sr-Cyrl-RS" w:eastAsia="hr-HR"/>
        </w:rPr>
      </w:pPr>
    </w:p>
    <w:p w14:paraId="4906CEC7" w14:textId="77777777" w:rsidR="00EA0FD7" w:rsidRPr="00EA0FD7" w:rsidRDefault="00EA0FD7" w:rsidP="00EA0FD7">
      <w:pPr>
        <w:keepNext/>
        <w:keepLines/>
        <w:spacing w:before="40" w:after="0" w:line="240" w:lineRule="auto"/>
        <w:jc w:val="both"/>
        <w:outlineLvl w:val="2"/>
        <w:rPr>
          <w:rFonts w:ascii="Times New Roman" w:eastAsia="Times New Roman" w:hAnsi="Times New Roman" w:cs="Times New Roman"/>
          <w:sz w:val="24"/>
          <w:szCs w:val="24"/>
          <w:lang w:val="sr-Cyrl-RS" w:eastAsia="hr-HR"/>
        </w:rPr>
      </w:pPr>
      <w:bookmarkStart w:id="82" w:name="_Toc100751301"/>
      <w:r w:rsidRPr="00EA0FD7">
        <w:rPr>
          <w:rFonts w:ascii="Times New Roman" w:eastAsia="Times New Roman" w:hAnsi="Times New Roman" w:cs="Times New Roman"/>
          <w:sz w:val="24"/>
          <w:szCs w:val="24"/>
          <w:lang w:val="sr-Cyrl-RS" w:eastAsia="hr-HR"/>
        </w:rPr>
        <w:t>Царине</w:t>
      </w:r>
      <w:bookmarkEnd w:id="82"/>
    </w:p>
    <w:p w14:paraId="25378B5A"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5EE9B41D" w14:textId="07E484DD"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Према подацима Агенције за статистику БиХ у периоду јануар-фебруар 2022. године је увоз роба у БиХ порастао за 44%. У вријеме израде пројекција доступни су подаци УИО, према којим је у марту остварен раст увоза од 41,3% што је одржало раст увоза на нивоу квартала на високих 43,2%. Имајући у виду трендове наплате прихода од царина и пројекције раста увоза (ДЕП, март 2022), за 2022. годину се пројект</w:t>
      </w:r>
      <w:r w:rsidR="00D21440">
        <w:rPr>
          <w:rFonts w:ascii="Times New Roman" w:eastAsia="Times New Roman" w:hAnsi="Times New Roman" w:cs="Times New Roman"/>
          <w:sz w:val="24"/>
          <w:szCs w:val="24"/>
          <w:lang w:val="sr-Cyrl-RS" w:eastAsia="hr-HR"/>
        </w:rPr>
        <w:t>ује</w:t>
      </w:r>
      <w:r w:rsidRPr="00EA0FD7">
        <w:rPr>
          <w:rFonts w:ascii="Times New Roman" w:eastAsia="Times New Roman" w:hAnsi="Times New Roman" w:cs="Times New Roman"/>
          <w:sz w:val="24"/>
          <w:szCs w:val="24"/>
          <w:lang w:val="sr-Cyrl-RS" w:eastAsia="hr-HR"/>
        </w:rPr>
        <w:t xml:space="preserve"> нето наплата царина у износу од 363,5 мил</w:t>
      </w:r>
      <w:r w:rsidR="00D21440">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КМ, што је за 12,0% више од наплате у претходној години.</w:t>
      </w:r>
    </w:p>
    <w:p w14:paraId="46AFB41F" w14:textId="77777777" w:rsidR="00EA0FD7" w:rsidRPr="00EA0FD7" w:rsidRDefault="00EA0FD7" w:rsidP="00EA0FD7">
      <w:pPr>
        <w:keepNext/>
        <w:tabs>
          <w:tab w:val="left" w:pos="3010"/>
          <w:tab w:val="left" w:pos="3294"/>
          <w:tab w:val="left" w:pos="5196"/>
        </w:tabs>
        <w:spacing w:after="0" w:line="240" w:lineRule="auto"/>
        <w:ind w:left="360"/>
        <w:jc w:val="both"/>
        <w:outlineLvl w:val="1"/>
        <w:rPr>
          <w:rFonts w:ascii="Times New Roman" w:eastAsia="Times New Roman" w:hAnsi="Times New Roman" w:cs="Times New Roman"/>
          <w:sz w:val="24"/>
          <w:szCs w:val="24"/>
          <w:lang w:val="sr-Cyrl-RS" w:eastAsia="hr-HR"/>
        </w:rPr>
      </w:pPr>
      <w:bookmarkStart w:id="83" w:name="_Toc4666037"/>
      <w:bookmarkStart w:id="84" w:name="_Toc100751302"/>
    </w:p>
    <w:p w14:paraId="5D9DDF34" w14:textId="1F774CA2" w:rsidR="00EA0FD7" w:rsidRPr="00EA0FD7" w:rsidRDefault="00EA0FD7" w:rsidP="00EA0FD7">
      <w:pPr>
        <w:keepNext/>
        <w:tabs>
          <w:tab w:val="left" w:pos="3010"/>
          <w:tab w:val="left" w:pos="3294"/>
          <w:tab w:val="left" w:pos="5196"/>
        </w:tabs>
        <w:spacing w:after="0" w:line="240" w:lineRule="auto"/>
        <w:jc w:val="both"/>
        <w:outlineLvl w:val="1"/>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t>Пројекције за период 2023</w:t>
      </w:r>
      <w:r w:rsidR="00D21440">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
          <w:sz w:val="24"/>
          <w:szCs w:val="24"/>
          <w:lang w:val="sr-Cyrl-RS" w:eastAsia="hr-HR"/>
        </w:rPr>
        <w:t>202</w:t>
      </w:r>
      <w:bookmarkEnd w:id="83"/>
      <w:r w:rsidRPr="00EA0FD7">
        <w:rPr>
          <w:rFonts w:ascii="Times New Roman" w:eastAsia="Times New Roman" w:hAnsi="Times New Roman" w:cs="Times New Roman"/>
          <w:b/>
          <w:sz w:val="24"/>
          <w:szCs w:val="24"/>
          <w:lang w:val="sr-Cyrl-RS" w:eastAsia="hr-HR"/>
        </w:rPr>
        <w:t>5</w:t>
      </w:r>
      <w:bookmarkEnd w:id="84"/>
      <w:r w:rsidRPr="00EA0FD7">
        <w:rPr>
          <w:rFonts w:ascii="Times New Roman" w:eastAsia="Times New Roman" w:hAnsi="Times New Roman" w:cs="Times New Roman"/>
          <w:b/>
          <w:sz w:val="24"/>
          <w:szCs w:val="24"/>
          <w:lang w:val="sr-Cyrl-RS" w:eastAsia="hr-HR"/>
        </w:rPr>
        <w:t>. године</w:t>
      </w:r>
    </w:p>
    <w:p w14:paraId="0C88B4D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E9CB091" w14:textId="621DF874" w:rsidR="00EA0FD7" w:rsidRDefault="00EA0FD7" w:rsidP="00D21440">
      <w:pPr>
        <w:spacing w:after="0" w:line="240" w:lineRule="auto"/>
        <w:jc w:val="both"/>
        <w:rPr>
          <w:rFonts w:ascii="Times New Roman" w:eastAsia="Times New Roman" w:hAnsi="Times New Roman" w:cs="Times New Roman"/>
          <w:color w:val="000000"/>
          <w:sz w:val="18"/>
          <w:szCs w:val="24"/>
          <w:lang w:val="sr-Cyrl-RS" w:eastAsia="hr-HR"/>
        </w:rPr>
      </w:pPr>
      <w:r w:rsidRPr="00EA0FD7">
        <w:rPr>
          <w:rFonts w:ascii="Times New Roman" w:eastAsia="Times New Roman" w:hAnsi="Times New Roman" w:cs="Times New Roman"/>
          <w:sz w:val="24"/>
          <w:szCs w:val="24"/>
          <w:lang w:val="sr-Cyrl-RS" w:eastAsia="hr-HR"/>
        </w:rPr>
        <w:t>Пројект</w:t>
      </w:r>
      <w:r w:rsidR="00D21440">
        <w:rPr>
          <w:rFonts w:ascii="Times New Roman" w:eastAsia="Times New Roman" w:hAnsi="Times New Roman" w:cs="Times New Roman"/>
          <w:sz w:val="24"/>
          <w:szCs w:val="24"/>
          <w:lang w:val="sr-Cyrl-RS" w:eastAsia="hr-HR"/>
        </w:rPr>
        <w:t>оване</w:t>
      </w:r>
      <w:r w:rsidRPr="00EA0FD7">
        <w:rPr>
          <w:rFonts w:ascii="Times New Roman" w:eastAsia="Times New Roman" w:hAnsi="Times New Roman" w:cs="Times New Roman"/>
          <w:sz w:val="24"/>
          <w:szCs w:val="24"/>
          <w:lang w:val="sr-Cyrl-RS" w:eastAsia="hr-HR"/>
        </w:rPr>
        <w:t xml:space="preserve"> стопе раста нето прихода од индиректних пореза за 2023, 2024, и 2025. годину износе 3,2%, 2,9% и 3,0%, респективно. Пројекција прихода у наведеном периоду заснована је на пројектираним релевантним макроекономским показатељима, историјској сезонској </w:t>
      </w:r>
      <w:r w:rsidR="00D21440">
        <w:rPr>
          <w:rFonts w:ascii="Times New Roman" w:eastAsia="Times New Roman" w:hAnsi="Times New Roman" w:cs="Times New Roman"/>
          <w:sz w:val="24"/>
          <w:szCs w:val="24"/>
          <w:lang w:val="sr-Cyrl-RS" w:eastAsia="hr-HR"/>
        </w:rPr>
        <w:t>ш</w:t>
      </w:r>
      <w:r w:rsidRPr="00EA0FD7">
        <w:rPr>
          <w:rFonts w:ascii="Times New Roman" w:eastAsia="Times New Roman" w:hAnsi="Times New Roman" w:cs="Times New Roman"/>
          <w:sz w:val="24"/>
          <w:szCs w:val="24"/>
          <w:lang w:val="sr-Cyrl-RS" w:eastAsia="hr-HR"/>
        </w:rPr>
        <w:t>еми наплате и пројекцијама појединих категорија прихода за 2022. годину</w:t>
      </w:r>
      <w:bookmarkStart w:id="85" w:name="_Toc100909350"/>
      <w:r w:rsidR="00D21440">
        <w:rPr>
          <w:rFonts w:ascii="Times New Roman" w:eastAsia="Times New Roman" w:hAnsi="Times New Roman" w:cs="Times New Roman"/>
          <w:sz w:val="24"/>
          <w:szCs w:val="24"/>
          <w:lang w:val="sr-Cyrl-RS" w:eastAsia="hr-HR"/>
        </w:rPr>
        <w:t>.</w:t>
      </w:r>
    </w:p>
    <w:p w14:paraId="32D172B4" w14:textId="6639EFC1" w:rsid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57AFBF04" w14:textId="48A4FF5F" w:rsid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7CE5B959" w14:textId="1404835F" w:rsid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0C3086B1" w14:textId="3CABEA1A" w:rsid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2A40AAF5" w14:textId="0DEB45BC" w:rsid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15DEF0C7" w14:textId="24C7AD9A" w:rsid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1B5BC656" w14:textId="2AD49F78" w:rsid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39F68A59" w14:textId="4226444F" w:rsid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51176B95" w14:textId="0A8707A7" w:rsid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793D40F2" w14:textId="3DF1755B" w:rsid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732FFE32" w14:textId="1337B1B6" w:rsid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5AA95C2C" w14:textId="2E41E1A5" w:rsid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307A52BB" w14:textId="5FC496F7" w:rsid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13E06311" w14:textId="224534C8" w:rsid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54069992" w14:textId="1C3E69BB" w:rsid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43734F07" w14:textId="39AB9A82" w:rsid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07533456" w14:textId="77777777" w:rsidR="00D21440" w:rsidRPr="00D21440" w:rsidRDefault="00D21440" w:rsidP="00D21440">
      <w:pPr>
        <w:spacing w:after="0" w:line="240" w:lineRule="auto"/>
        <w:jc w:val="both"/>
        <w:rPr>
          <w:rFonts w:ascii="Times New Roman" w:eastAsia="Times New Roman" w:hAnsi="Times New Roman" w:cs="Times New Roman"/>
          <w:color w:val="000000"/>
          <w:sz w:val="18"/>
          <w:szCs w:val="24"/>
          <w:lang w:val="sr-Cyrl-RS" w:eastAsia="hr-HR"/>
        </w:rPr>
      </w:pPr>
    </w:p>
    <w:p w14:paraId="08092A88" w14:textId="77777777" w:rsidR="0078010E" w:rsidRDefault="0078010E" w:rsidP="00EA0FD7">
      <w:pPr>
        <w:suppressLineNumbers/>
        <w:suppressAutoHyphens/>
        <w:spacing w:after="0" w:line="276" w:lineRule="auto"/>
        <w:jc w:val="center"/>
        <w:rPr>
          <w:rFonts w:ascii="Times New Roman" w:eastAsia="Times New Roman" w:hAnsi="Times New Roman" w:cs="Times New Roman"/>
          <w:b/>
          <w:iCs/>
          <w:color w:val="000000"/>
          <w:sz w:val="18"/>
          <w:szCs w:val="24"/>
          <w:lang w:val="sr-Cyrl-RS" w:eastAsia="ar-SA"/>
        </w:rPr>
      </w:pPr>
    </w:p>
    <w:p w14:paraId="4B670ADB" w14:textId="77777777" w:rsidR="0078010E" w:rsidRDefault="0078010E" w:rsidP="00EA0FD7">
      <w:pPr>
        <w:suppressLineNumbers/>
        <w:suppressAutoHyphens/>
        <w:spacing w:after="0" w:line="276" w:lineRule="auto"/>
        <w:jc w:val="center"/>
        <w:rPr>
          <w:rFonts w:ascii="Times New Roman" w:eastAsia="Times New Roman" w:hAnsi="Times New Roman" w:cs="Times New Roman"/>
          <w:b/>
          <w:iCs/>
          <w:color w:val="000000"/>
          <w:sz w:val="18"/>
          <w:szCs w:val="24"/>
          <w:lang w:val="sr-Cyrl-RS" w:eastAsia="ar-SA"/>
        </w:rPr>
      </w:pPr>
    </w:p>
    <w:p w14:paraId="7E4714C2" w14:textId="77777777" w:rsidR="0078010E" w:rsidRDefault="0078010E" w:rsidP="00EA0FD7">
      <w:pPr>
        <w:suppressLineNumbers/>
        <w:suppressAutoHyphens/>
        <w:spacing w:after="0" w:line="276" w:lineRule="auto"/>
        <w:jc w:val="center"/>
        <w:rPr>
          <w:rFonts w:ascii="Times New Roman" w:eastAsia="Times New Roman" w:hAnsi="Times New Roman" w:cs="Times New Roman"/>
          <w:b/>
          <w:iCs/>
          <w:color w:val="000000"/>
          <w:sz w:val="18"/>
          <w:szCs w:val="24"/>
          <w:lang w:val="sr-Cyrl-RS" w:eastAsia="ar-SA"/>
        </w:rPr>
      </w:pPr>
    </w:p>
    <w:p w14:paraId="42CDED0C" w14:textId="77777777" w:rsidR="0078010E" w:rsidRDefault="0078010E" w:rsidP="00EA0FD7">
      <w:pPr>
        <w:suppressLineNumbers/>
        <w:suppressAutoHyphens/>
        <w:spacing w:after="0" w:line="276" w:lineRule="auto"/>
        <w:jc w:val="center"/>
        <w:rPr>
          <w:rFonts w:ascii="Times New Roman" w:eastAsia="Times New Roman" w:hAnsi="Times New Roman" w:cs="Times New Roman"/>
          <w:b/>
          <w:iCs/>
          <w:color w:val="000000"/>
          <w:sz w:val="18"/>
          <w:szCs w:val="24"/>
          <w:lang w:val="sr-Cyrl-RS" w:eastAsia="ar-SA"/>
        </w:rPr>
      </w:pPr>
    </w:p>
    <w:p w14:paraId="1C2E6DBD" w14:textId="07F450D7" w:rsidR="00EA0FD7" w:rsidRPr="00EA0FD7" w:rsidRDefault="00EA0FD7" w:rsidP="00EA0FD7">
      <w:pPr>
        <w:suppressLineNumbers/>
        <w:suppressAutoHyphens/>
        <w:spacing w:after="0" w:line="276" w:lineRule="auto"/>
        <w:jc w:val="center"/>
        <w:rPr>
          <w:rFonts w:ascii="Calibri" w:eastAsia="Times New Roman" w:hAnsi="Calibri" w:cs="Times New Roman"/>
          <w:bCs/>
          <w:iCs/>
          <w:sz w:val="24"/>
          <w:szCs w:val="24"/>
          <w:lang w:val="sr-Cyrl-RS" w:eastAsia="ar-SA"/>
        </w:rPr>
      </w:pPr>
      <w:r w:rsidRPr="00AE5455">
        <w:rPr>
          <w:rFonts w:ascii="Times New Roman" w:eastAsia="Times New Roman" w:hAnsi="Times New Roman" w:cs="Times New Roman"/>
          <w:b/>
          <w:iCs/>
          <w:color w:val="000000"/>
          <w:sz w:val="18"/>
          <w:szCs w:val="24"/>
          <w:lang w:val="sr-Cyrl-RS" w:eastAsia="ar-SA"/>
        </w:rPr>
        <w:lastRenderedPageBreak/>
        <w:t>Графикон 3.</w:t>
      </w:r>
      <w:r w:rsidRPr="00EA0FD7">
        <w:rPr>
          <w:rFonts w:ascii="Calibri" w:eastAsia="Times New Roman" w:hAnsi="Calibri" w:cs="Tahoma"/>
          <w:i/>
          <w:iCs/>
          <w:sz w:val="24"/>
          <w:szCs w:val="24"/>
          <w:lang w:val="sr-Cyrl-RS" w:eastAsia="ar-SA"/>
        </w:rPr>
        <w:fldChar w:fldCharType="begin"/>
      </w:r>
      <w:r w:rsidRPr="00AE5455">
        <w:rPr>
          <w:rFonts w:ascii="Times New Roman" w:eastAsia="Times New Roman" w:hAnsi="Times New Roman" w:cs="Times New Roman"/>
          <w:b/>
          <w:iCs/>
          <w:color w:val="000000"/>
          <w:sz w:val="18"/>
          <w:szCs w:val="24"/>
          <w:lang w:val="sr-Cyrl-RS" w:eastAsia="ar-SA"/>
        </w:rPr>
        <w:instrText xml:space="preserve"> SEQ Grafikon_ \* ARABIC </w:instrText>
      </w:r>
      <w:r w:rsidRPr="00EA0FD7">
        <w:rPr>
          <w:rFonts w:ascii="Calibri" w:eastAsia="Times New Roman" w:hAnsi="Calibri" w:cs="Tahoma"/>
          <w:i/>
          <w:iCs/>
          <w:sz w:val="24"/>
          <w:szCs w:val="24"/>
          <w:lang w:val="sr-Cyrl-RS" w:eastAsia="ar-SA"/>
        </w:rPr>
        <w:fldChar w:fldCharType="separate"/>
      </w:r>
      <w:r w:rsidRPr="00AE5455">
        <w:rPr>
          <w:rFonts w:ascii="Times New Roman" w:eastAsia="Times New Roman" w:hAnsi="Times New Roman" w:cs="Times New Roman"/>
          <w:b/>
          <w:iCs/>
          <w:color w:val="000000"/>
          <w:sz w:val="18"/>
          <w:szCs w:val="24"/>
          <w:lang w:val="sr-Cyrl-RS" w:eastAsia="ar-SA"/>
        </w:rPr>
        <w:t>19</w:t>
      </w:r>
      <w:r w:rsidRPr="00EA0FD7">
        <w:rPr>
          <w:rFonts w:ascii="Calibri" w:eastAsia="Times New Roman" w:hAnsi="Calibri" w:cs="Tahoma"/>
          <w:i/>
          <w:iCs/>
          <w:sz w:val="24"/>
          <w:szCs w:val="24"/>
          <w:lang w:val="sr-Cyrl-RS" w:eastAsia="ar-SA"/>
        </w:rPr>
        <w:fldChar w:fldCharType="end"/>
      </w:r>
      <w:r w:rsidRPr="00AE5455">
        <w:rPr>
          <w:rFonts w:ascii="Times New Roman" w:eastAsia="Times New Roman" w:hAnsi="Times New Roman" w:cs="Times New Roman"/>
          <w:b/>
          <w:iCs/>
          <w:color w:val="000000"/>
          <w:sz w:val="18"/>
          <w:szCs w:val="24"/>
          <w:lang w:val="sr-Cyrl-RS" w:eastAsia="ar-SA"/>
        </w:rPr>
        <w:t>.</w:t>
      </w:r>
      <w:r w:rsidRPr="00EA0FD7">
        <w:rPr>
          <w:rFonts w:ascii="Times New Roman" w:eastAsia="Times New Roman" w:hAnsi="Times New Roman" w:cs="Times New Roman"/>
          <w:iCs/>
          <w:sz w:val="24"/>
          <w:szCs w:val="24"/>
          <w:lang w:val="sr-Cyrl-RS" w:eastAsia="ar-SA"/>
        </w:rPr>
        <w:t xml:space="preserve"> </w:t>
      </w:r>
      <w:r w:rsidRPr="00EA0FD7">
        <w:rPr>
          <w:rFonts w:ascii="Times New Roman" w:eastAsia="Times New Roman" w:hAnsi="Times New Roman" w:cs="Times New Roman"/>
          <w:bCs/>
          <w:iCs/>
          <w:sz w:val="24"/>
          <w:szCs w:val="24"/>
          <w:lang w:val="sr-Cyrl-RS" w:eastAsia="ar-SA"/>
        </w:rPr>
        <w:t>Процјене ДЕП-а за БДП у 2021. години</w:t>
      </w:r>
      <w:bookmarkEnd w:id="85"/>
    </w:p>
    <w:tbl>
      <w:tblPr>
        <w:tblW w:w="0" w:type="auto"/>
        <w:jc w:val="center"/>
        <w:shd w:val="clear" w:color="auto" w:fill="FDE9D9"/>
        <w:tblLayout w:type="fixed"/>
        <w:tblLook w:val="04A0" w:firstRow="1" w:lastRow="0" w:firstColumn="1" w:lastColumn="0" w:noHBand="0" w:noVBand="1"/>
      </w:tblPr>
      <w:tblGrid>
        <w:gridCol w:w="7339"/>
      </w:tblGrid>
      <w:tr w:rsidR="00EA0FD7" w:rsidRPr="00EA0FD7" w14:paraId="4D0E4DC1" w14:textId="77777777" w:rsidTr="00EA0FD7">
        <w:trPr>
          <w:cantSplit/>
          <w:trHeight w:val="106"/>
          <w:jc w:val="center"/>
        </w:trPr>
        <w:tc>
          <w:tcPr>
            <w:tcW w:w="7339" w:type="dxa"/>
            <w:shd w:val="clear" w:color="auto" w:fill="FDE9D9"/>
          </w:tcPr>
          <w:p w14:paraId="3C34B4F1"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p>
        </w:tc>
      </w:tr>
      <w:tr w:rsidR="00EA0FD7" w:rsidRPr="00EA0FD7" w14:paraId="2D1FDA4A" w14:textId="77777777" w:rsidTr="00EA0FD7">
        <w:trPr>
          <w:trHeight w:val="4187"/>
          <w:jc w:val="center"/>
        </w:trPr>
        <w:tc>
          <w:tcPr>
            <w:tcW w:w="7339" w:type="dxa"/>
            <w:shd w:val="clear" w:color="auto" w:fill="FDE9D9"/>
            <w:hideMark/>
          </w:tcPr>
          <w:p w14:paraId="38C9B48A"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4D407A22" wp14:editId="3D9A556D">
                  <wp:extent cx="4584065" cy="2755265"/>
                  <wp:effectExtent l="0" t="0" r="6985" b="698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4065" cy="2755265"/>
                          </a:xfrm>
                          <a:prstGeom prst="rect">
                            <a:avLst/>
                          </a:prstGeom>
                          <a:noFill/>
                          <a:ln>
                            <a:noFill/>
                          </a:ln>
                        </pic:spPr>
                      </pic:pic>
                    </a:graphicData>
                  </a:graphic>
                </wp:inline>
              </w:drawing>
            </w:r>
          </w:p>
        </w:tc>
      </w:tr>
      <w:tr w:rsidR="00EA0FD7" w:rsidRPr="00EA0FD7" w14:paraId="17F90A2F" w14:textId="77777777" w:rsidTr="00EA0FD7">
        <w:trPr>
          <w:trHeight w:val="106"/>
          <w:jc w:val="center"/>
        </w:trPr>
        <w:tc>
          <w:tcPr>
            <w:tcW w:w="7339" w:type="dxa"/>
            <w:shd w:val="clear" w:color="auto" w:fill="FDE9D9"/>
          </w:tcPr>
          <w:p w14:paraId="3A061FA7"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p>
        </w:tc>
      </w:tr>
    </w:tbl>
    <w:p w14:paraId="48086F9C" w14:textId="77777777"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Извор: Презентација ОМА-е на основу пројекција ДЕП-а</w:t>
      </w:r>
    </w:p>
    <w:p w14:paraId="06AE98E7" w14:textId="77777777" w:rsidR="00EA0FD7" w:rsidRPr="00EA0FD7" w:rsidRDefault="00EA0FD7" w:rsidP="00EA0FD7">
      <w:pPr>
        <w:keepNext/>
        <w:spacing w:after="0" w:line="240" w:lineRule="auto"/>
        <w:jc w:val="both"/>
        <w:outlineLvl w:val="0"/>
        <w:rPr>
          <w:rFonts w:ascii="Times New Roman" w:eastAsia="Times New Roman" w:hAnsi="Times New Roman" w:cs="Times New Roman"/>
          <w:b/>
          <w:kern w:val="24"/>
          <w:sz w:val="24"/>
          <w:szCs w:val="24"/>
          <w:lang w:val="sr-Cyrl-RS" w:eastAsia="hr-HR"/>
        </w:rPr>
      </w:pPr>
      <w:bookmarkStart w:id="86" w:name="_Toc100751311"/>
      <w:bookmarkStart w:id="87" w:name="_Toc4666041"/>
      <w:r w:rsidRPr="00EA0FD7">
        <w:rPr>
          <w:rFonts w:ascii="Times New Roman" w:eastAsia="Times New Roman" w:hAnsi="Times New Roman" w:cs="Times New Roman"/>
          <w:b/>
          <w:kern w:val="24"/>
          <w:sz w:val="24"/>
          <w:szCs w:val="24"/>
          <w:lang w:val="sr-Cyrl-RS" w:eastAsia="hr-HR"/>
        </w:rPr>
        <w:t>Ризици</w:t>
      </w:r>
      <w:bookmarkEnd w:id="86"/>
      <w:bookmarkEnd w:id="87"/>
      <w:r w:rsidRPr="00EA0FD7">
        <w:rPr>
          <w:rFonts w:ascii="Times New Roman" w:eastAsia="Times New Roman" w:hAnsi="Times New Roman" w:cs="Times New Roman"/>
          <w:b/>
          <w:kern w:val="24"/>
          <w:sz w:val="24"/>
          <w:szCs w:val="24"/>
          <w:lang w:val="sr-Cyrl-RS" w:eastAsia="hr-HR"/>
        </w:rPr>
        <w:t xml:space="preserve"> </w:t>
      </w:r>
    </w:p>
    <w:p w14:paraId="732C989A"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10E73F1D" w14:textId="742FAF44"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Имајући у виду огромне непознанице у тренутку израде пројекција о јачини и трајању шока узрокованог пандемијом вируса корона, те кориш</w:t>
      </w:r>
      <w:r w:rsidR="006D6AED">
        <w:rPr>
          <w:rFonts w:ascii="Times New Roman" w:eastAsia="Times New Roman" w:hAnsi="Times New Roman" w:cs="Times New Roman"/>
          <w:sz w:val="24"/>
          <w:szCs w:val="24"/>
          <w:lang w:val="sr-Cyrl-RS" w:eastAsia="hr-HR"/>
        </w:rPr>
        <w:t>ћ</w:t>
      </w:r>
      <w:r w:rsidRPr="00EA0FD7">
        <w:rPr>
          <w:rFonts w:ascii="Times New Roman" w:eastAsia="Times New Roman" w:hAnsi="Times New Roman" w:cs="Times New Roman"/>
          <w:sz w:val="24"/>
          <w:szCs w:val="24"/>
          <w:lang w:val="sr-Cyrl-RS" w:eastAsia="hr-HR"/>
        </w:rPr>
        <w:t xml:space="preserve">ене претпоставке (ДЕП, макроекономске пројекције), </w:t>
      </w:r>
      <w:r w:rsidRPr="00EA0FD7">
        <w:rPr>
          <w:rFonts w:ascii="Times New Roman" w:eastAsia="Times New Roman" w:hAnsi="Times New Roman" w:cs="Times New Roman"/>
          <w:b/>
          <w:sz w:val="24"/>
          <w:szCs w:val="24"/>
          <w:lang w:val="sr-Cyrl-RS" w:eastAsia="hr-HR"/>
        </w:rPr>
        <w:t>истичемо да постоје значајни ризици за остварење пројекција прихода од индиректних пореза, при чему преовладавају ризици лошијег исхода</w:t>
      </w:r>
      <w:r w:rsidRPr="00EA0FD7">
        <w:rPr>
          <w:rFonts w:ascii="Times New Roman" w:eastAsia="Times New Roman" w:hAnsi="Times New Roman" w:cs="Times New Roman"/>
          <w:sz w:val="24"/>
          <w:szCs w:val="24"/>
          <w:lang w:val="sr-Cyrl-RS" w:eastAsia="hr-HR"/>
        </w:rPr>
        <w:t>. С обзиром на основне поставке пројекција индиректних пореза и укупне економске услове у БиХ и у свијету, остварење пројектираног нивоа прихода од индиректних пореза у периоду 2022</w:t>
      </w:r>
      <w:r w:rsidR="006D6AED">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2025.</w:t>
      </w:r>
      <w:r w:rsidR="006D6AED">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године је подложно сљедећим ризицима: (1) свим ризицима за остварење пројект</w:t>
      </w:r>
      <w:r w:rsidR="006D6AED">
        <w:rPr>
          <w:rFonts w:ascii="Times New Roman" w:eastAsia="Times New Roman" w:hAnsi="Times New Roman" w:cs="Times New Roman"/>
          <w:sz w:val="24"/>
          <w:szCs w:val="24"/>
          <w:lang w:val="sr-Cyrl-RS" w:eastAsia="hr-HR"/>
        </w:rPr>
        <w:t>ованих</w:t>
      </w:r>
      <w:r w:rsidRPr="00EA0FD7">
        <w:rPr>
          <w:rFonts w:ascii="Times New Roman" w:eastAsia="Times New Roman" w:hAnsi="Times New Roman" w:cs="Times New Roman"/>
          <w:sz w:val="24"/>
          <w:szCs w:val="24"/>
          <w:lang w:val="sr-Cyrl-RS" w:eastAsia="hr-HR"/>
        </w:rPr>
        <w:t xml:space="preserve"> макроекономских показатеља (ДЕП) и (2) ризицима који се односе на саму наплату прихода од индиректних пореза и борбу против сиве економије. </w:t>
      </w:r>
    </w:p>
    <w:p w14:paraId="126CF60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79284B9A" w14:textId="0162AE5F" w:rsidR="00EA0FD7" w:rsidRPr="00EA0FD7" w:rsidRDefault="00EA0FD7" w:rsidP="00EA0FD7">
      <w:pPr>
        <w:spacing w:after="0" w:line="240" w:lineRule="auto"/>
        <w:jc w:val="both"/>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sz w:val="24"/>
          <w:szCs w:val="24"/>
          <w:lang w:val="sr-Cyrl-RS" w:eastAsia="hr-HR"/>
        </w:rPr>
        <w:t>Пројекције прихода од индиректних пореза су уско везане за пројекције макроекономских показатеља ДЕП-а. Сви ризици које ДЕП помиње у својим пројекцијама по аутоматизму представљају и ризике за пројекције прихода од индиректних пореза, пошто свако одступање реализације ДЕП-ових параметара од њихових пројект</w:t>
      </w:r>
      <w:r w:rsidR="006D6AED">
        <w:rPr>
          <w:rFonts w:ascii="Times New Roman" w:eastAsia="Times New Roman" w:hAnsi="Times New Roman" w:cs="Times New Roman"/>
          <w:sz w:val="24"/>
          <w:szCs w:val="24"/>
          <w:lang w:val="sr-Cyrl-RS" w:eastAsia="hr-HR"/>
        </w:rPr>
        <w:t>ованих</w:t>
      </w:r>
      <w:r w:rsidRPr="00EA0FD7">
        <w:rPr>
          <w:rFonts w:ascii="Times New Roman" w:eastAsia="Times New Roman" w:hAnsi="Times New Roman" w:cs="Times New Roman"/>
          <w:sz w:val="24"/>
          <w:szCs w:val="24"/>
          <w:lang w:val="sr-Cyrl-RS" w:eastAsia="hr-HR"/>
        </w:rPr>
        <w:t xml:space="preserve"> вриједности неизбјежно доводи и до одступања реализ</w:t>
      </w:r>
      <w:r w:rsidR="006D6AED">
        <w:rPr>
          <w:rFonts w:ascii="Times New Roman" w:eastAsia="Times New Roman" w:hAnsi="Times New Roman" w:cs="Times New Roman"/>
          <w:sz w:val="24"/>
          <w:szCs w:val="24"/>
          <w:lang w:val="sr-Cyrl-RS" w:eastAsia="hr-HR"/>
        </w:rPr>
        <w:t xml:space="preserve">ованих </w:t>
      </w:r>
      <w:r w:rsidRPr="00EA0FD7">
        <w:rPr>
          <w:rFonts w:ascii="Times New Roman" w:eastAsia="Times New Roman" w:hAnsi="Times New Roman" w:cs="Times New Roman"/>
          <w:sz w:val="24"/>
          <w:szCs w:val="24"/>
          <w:lang w:val="sr-Cyrl-RS" w:eastAsia="hr-HR"/>
        </w:rPr>
        <w:t>од пројект</w:t>
      </w:r>
      <w:r w:rsidR="006D6AED">
        <w:rPr>
          <w:rFonts w:ascii="Times New Roman" w:eastAsia="Times New Roman" w:hAnsi="Times New Roman" w:cs="Times New Roman"/>
          <w:sz w:val="24"/>
          <w:szCs w:val="24"/>
          <w:lang w:val="sr-Cyrl-RS" w:eastAsia="hr-HR"/>
        </w:rPr>
        <w:t>ованих</w:t>
      </w:r>
      <w:r w:rsidRPr="00EA0FD7">
        <w:rPr>
          <w:rFonts w:ascii="Times New Roman" w:eastAsia="Times New Roman" w:hAnsi="Times New Roman" w:cs="Times New Roman"/>
          <w:sz w:val="24"/>
          <w:szCs w:val="24"/>
          <w:lang w:val="sr-Cyrl-RS" w:eastAsia="hr-HR"/>
        </w:rPr>
        <w:t xml:space="preserve"> прихода од индиректних пореза.</w:t>
      </w:r>
      <w:r w:rsidRPr="00EA0FD7">
        <w:rPr>
          <w:rFonts w:ascii="Times New Roman" w:eastAsia="Times New Roman" w:hAnsi="Times New Roman" w:cs="Times New Roman"/>
          <w:b/>
          <w:sz w:val="24"/>
          <w:szCs w:val="24"/>
          <w:lang w:val="sr-Cyrl-RS" w:eastAsia="hr-HR"/>
        </w:rPr>
        <w:t xml:space="preserve"> </w:t>
      </w:r>
      <w:r w:rsidRPr="00EA0FD7">
        <w:rPr>
          <w:rFonts w:ascii="Times New Roman" w:eastAsia="Times New Roman" w:hAnsi="Times New Roman" w:cs="Times New Roman"/>
          <w:sz w:val="24"/>
          <w:szCs w:val="24"/>
          <w:lang w:val="sr-Cyrl-RS" w:eastAsia="hr-HR"/>
        </w:rPr>
        <w:t>У ДЕП-овим пројекцијама из марта 2022. године наводе да се ризици за њихове пројекције могу класифи</w:t>
      </w:r>
      <w:r w:rsidR="006D6AED">
        <w:rPr>
          <w:rFonts w:ascii="Times New Roman" w:eastAsia="Times New Roman" w:hAnsi="Times New Roman" w:cs="Times New Roman"/>
          <w:sz w:val="24"/>
          <w:szCs w:val="24"/>
          <w:lang w:val="sr-Cyrl-RS" w:eastAsia="hr-HR"/>
        </w:rPr>
        <w:t>ковати</w:t>
      </w:r>
      <w:r w:rsidRPr="00EA0FD7">
        <w:rPr>
          <w:rFonts w:ascii="Times New Roman" w:eastAsia="Times New Roman" w:hAnsi="Times New Roman" w:cs="Times New Roman"/>
          <w:sz w:val="24"/>
          <w:szCs w:val="24"/>
          <w:lang w:val="sr-Cyrl-RS" w:eastAsia="hr-HR"/>
        </w:rPr>
        <w:t xml:space="preserve"> у двије групе, и то на </w:t>
      </w:r>
      <w:r w:rsidR="006D6AED">
        <w:rPr>
          <w:rFonts w:ascii="Times New Roman" w:eastAsia="Times New Roman" w:hAnsi="Times New Roman" w:cs="Times New Roman"/>
          <w:sz w:val="24"/>
          <w:szCs w:val="24"/>
          <w:lang w:val="sr-Cyrl-RS" w:eastAsia="hr-HR"/>
        </w:rPr>
        <w:t>спољне</w:t>
      </w:r>
      <w:r w:rsidRPr="00EA0FD7">
        <w:rPr>
          <w:rFonts w:ascii="Times New Roman" w:eastAsia="Times New Roman" w:hAnsi="Times New Roman" w:cs="Times New Roman"/>
          <w:sz w:val="24"/>
          <w:szCs w:val="24"/>
          <w:lang w:val="sr-Cyrl-RS" w:eastAsia="hr-HR"/>
        </w:rPr>
        <w:t xml:space="preserve"> и унутрашње, при чему су </w:t>
      </w:r>
      <w:r w:rsidR="006D6AED">
        <w:rPr>
          <w:rFonts w:ascii="Times New Roman" w:eastAsia="Times New Roman" w:hAnsi="Times New Roman" w:cs="Times New Roman"/>
          <w:sz w:val="24"/>
          <w:szCs w:val="24"/>
          <w:lang w:val="sr-Cyrl-RS" w:eastAsia="hr-HR"/>
        </w:rPr>
        <w:t>спољни</w:t>
      </w:r>
      <w:r w:rsidRPr="00EA0FD7">
        <w:rPr>
          <w:rFonts w:ascii="Times New Roman" w:eastAsia="Times New Roman" w:hAnsi="Times New Roman" w:cs="Times New Roman"/>
          <w:sz w:val="24"/>
          <w:szCs w:val="24"/>
          <w:lang w:val="sr-Cyrl-RS" w:eastAsia="hr-HR"/>
        </w:rPr>
        <w:t xml:space="preserve"> ризици доста извјеснији и утицајнији на кретање економског раста у БиХ. У истом документу наводи се сљедеће: „...</w:t>
      </w:r>
      <w:r w:rsidRPr="00EA0FD7">
        <w:rPr>
          <w:rFonts w:ascii="Times New Roman" w:eastAsia="Times New Roman" w:hAnsi="Times New Roman" w:cs="Times New Roman"/>
          <w:i/>
          <w:sz w:val="24"/>
          <w:szCs w:val="24"/>
          <w:lang w:val="sr-Cyrl-RS" w:eastAsia="hr-HR"/>
        </w:rPr>
        <w:t xml:space="preserve">након стабилизације епидемиолошких прилика које су везане за </w:t>
      </w:r>
      <w:r w:rsidRPr="00AE5455">
        <w:rPr>
          <w:rFonts w:ascii="Times New Roman" w:eastAsia="Times New Roman" w:hAnsi="Times New Roman" w:cs="Times New Roman"/>
          <w:i/>
          <w:sz w:val="24"/>
          <w:szCs w:val="24"/>
          <w:lang w:val="sr-Cyrl-RS" w:eastAsia="hr-HR"/>
        </w:rPr>
        <w:t>COVID-19</w:t>
      </w:r>
      <w:r w:rsidRPr="00EA0FD7">
        <w:rPr>
          <w:rFonts w:ascii="Times New Roman" w:eastAsia="Times New Roman" w:hAnsi="Times New Roman" w:cs="Times New Roman"/>
          <w:i/>
          <w:sz w:val="24"/>
          <w:szCs w:val="24"/>
          <w:lang w:val="sr-Cyrl-RS" w:eastAsia="hr-HR"/>
        </w:rPr>
        <w:t>, почетком 2022. године дошло је до ескалације сукоба Украјине и Русије што ће несумњиво имати негативне економске посљедице по глобалну економију и самим тим и Босну и Херцеговину. Даља ескалација украјинске кризе, као и јачање инфлаторних притисака како на глобалном (плану, оп. ОМА)</w:t>
      </w:r>
      <w:r w:rsidR="006D6AED">
        <w:rPr>
          <w:rFonts w:ascii="Times New Roman" w:eastAsia="Times New Roman" w:hAnsi="Times New Roman" w:cs="Times New Roman"/>
          <w:i/>
          <w:sz w:val="24"/>
          <w:szCs w:val="24"/>
          <w:lang w:val="sr-Cyrl-RS" w:eastAsia="hr-HR"/>
        </w:rPr>
        <w:t xml:space="preserve"> </w:t>
      </w:r>
      <w:r w:rsidRPr="00EA0FD7">
        <w:rPr>
          <w:rFonts w:ascii="Times New Roman" w:eastAsia="Times New Roman" w:hAnsi="Times New Roman" w:cs="Times New Roman"/>
          <w:i/>
          <w:sz w:val="24"/>
          <w:szCs w:val="24"/>
          <w:lang w:val="sr-Cyrl-RS" w:eastAsia="hr-HR"/>
        </w:rPr>
        <w:t xml:space="preserve">тако  и у Босни и Херцеговини засигурно би имали негативан </w:t>
      </w:r>
      <w:r w:rsidR="00AE5455">
        <w:rPr>
          <w:rFonts w:ascii="Times New Roman" w:eastAsia="Times New Roman" w:hAnsi="Times New Roman" w:cs="Times New Roman"/>
          <w:i/>
          <w:sz w:val="24"/>
          <w:szCs w:val="24"/>
          <w:lang w:val="sr-Cyrl-RS" w:eastAsia="hr-HR"/>
        </w:rPr>
        <w:t>утицај</w:t>
      </w:r>
      <w:r w:rsidRPr="00EA0FD7">
        <w:rPr>
          <w:rFonts w:ascii="Times New Roman" w:eastAsia="Times New Roman" w:hAnsi="Times New Roman" w:cs="Times New Roman"/>
          <w:i/>
          <w:sz w:val="24"/>
          <w:szCs w:val="24"/>
          <w:lang w:val="sr-Cyrl-RS" w:eastAsia="hr-HR"/>
        </w:rPr>
        <w:t xml:space="preserve"> на потрошњу, инвестиције, </w:t>
      </w:r>
      <w:r w:rsidR="006D6AED">
        <w:rPr>
          <w:rFonts w:ascii="Times New Roman" w:eastAsia="Times New Roman" w:hAnsi="Times New Roman" w:cs="Times New Roman"/>
          <w:i/>
          <w:sz w:val="24"/>
          <w:szCs w:val="24"/>
          <w:lang w:val="sr-Cyrl-RS" w:eastAsia="hr-HR"/>
        </w:rPr>
        <w:t>спољно</w:t>
      </w:r>
      <w:r w:rsidRPr="00EA0FD7">
        <w:rPr>
          <w:rFonts w:ascii="Times New Roman" w:eastAsia="Times New Roman" w:hAnsi="Times New Roman" w:cs="Times New Roman"/>
          <w:i/>
          <w:sz w:val="24"/>
          <w:szCs w:val="24"/>
          <w:lang w:val="sr-Cyrl-RS" w:eastAsia="hr-HR"/>
        </w:rPr>
        <w:t>трговинску размјену</w:t>
      </w:r>
      <w:r w:rsidR="006D6AED">
        <w:rPr>
          <w:rFonts w:ascii="Times New Roman" w:eastAsia="Times New Roman" w:hAnsi="Times New Roman" w:cs="Times New Roman"/>
          <w:i/>
          <w:sz w:val="24"/>
          <w:szCs w:val="24"/>
          <w:lang w:val="sr-Cyrl-RS" w:eastAsia="hr-HR"/>
        </w:rPr>
        <w:t>,</w:t>
      </w:r>
      <w:r w:rsidRPr="00EA0FD7">
        <w:rPr>
          <w:rFonts w:ascii="Times New Roman" w:eastAsia="Times New Roman" w:hAnsi="Times New Roman" w:cs="Times New Roman"/>
          <w:i/>
          <w:sz w:val="24"/>
          <w:szCs w:val="24"/>
          <w:lang w:val="sr-Cyrl-RS" w:eastAsia="hr-HR"/>
        </w:rPr>
        <w:t xml:space="preserve"> а самим тим и на пројекције економског раста у основном сценарију.“</w:t>
      </w:r>
      <w:r w:rsidRPr="00AE5455">
        <w:rPr>
          <w:rFonts w:ascii="Times New Roman" w:eastAsia="Times New Roman" w:hAnsi="Times New Roman" w:cs="Times New Roman"/>
          <w:i/>
          <w:sz w:val="24"/>
          <w:szCs w:val="24"/>
          <w:vertAlign w:val="superscript"/>
          <w:lang w:val="sr-Cyrl-RS" w:eastAsia="hr-HR"/>
        </w:rPr>
        <w:footnoteReference w:id="54"/>
      </w:r>
    </w:p>
    <w:p w14:paraId="19E94EF4"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686B1CC"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ризике који могу угрозити извршење пројекција наплате прихода од индиректних пореза у сфери политике и администрирања индиректним порезима можемо убројати сљедеће:</w:t>
      </w:r>
    </w:p>
    <w:p w14:paraId="185F99B5" w14:textId="174C4FED" w:rsidR="00EA0FD7" w:rsidRPr="00EA0FD7" w:rsidRDefault="00EA0FD7" w:rsidP="00EA0FD7">
      <w:pPr>
        <w:numPr>
          <w:ilvl w:val="0"/>
          <w:numId w:val="6"/>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Слабљење борбе против црног тржишта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 xml:space="preserve">ских прерађевина након окончања хармонизације </w:t>
      </w:r>
      <w:r w:rsidRPr="00AE5455">
        <w:rPr>
          <w:rFonts w:ascii="Times New Roman" w:eastAsia="Times New Roman" w:hAnsi="Times New Roman" w:cs="Times New Roman"/>
          <w:sz w:val="24"/>
          <w:szCs w:val="24"/>
          <w:lang w:val="sr-Cyrl-RS" w:eastAsia="hr-HR"/>
        </w:rPr>
        <w:t>пореск</w:t>
      </w:r>
      <w:r w:rsidRPr="00EA0FD7">
        <w:rPr>
          <w:rFonts w:ascii="Times New Roman" w:eastAsia="Times New Roman" w:hAnsi="Times New Roman" w:cs="Times New Roman"/>
          <w:sz w:val="24"/>
          <w:szCs w:val="24"/>
          <w:lang w:val="sr-Cyrl-RS" w:eastAsia="hr-HR"/>
        </w:rPr>
        <w:t xml:space="preserve">ог оптерећења цигарета у БиХ са стандардима ЕУ; </w:t>
      </w:r>
    </w:p>
    <w:p w14:paraId="269869E1" w14:textId="77777777" w:rsidR="00EA0FD7" w:rsidRPr="00EA0FD7" w:rsidRDefault="00EA0FD7" w:rsidP="00EA0FD7">
      <w:pPr>
        <w:numPr>
          <w:ilvl w:val="0"/>
          <w:numId w:val="6"/>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Слабљење борбе против ПДВ превара, поготово у сфери поврата, који, у ситуацији пада запослености и неликвидности обвезника постају атрактивни за преваре;</w:t>
      </w:r>
    </w:p>
    <w:p w14:paraId="4022AE43" w14:textId="396C3447" w:rsidR="00EA0FD7" w:rsidRPr="00EA0FD7" w:rsidRDefault="00EA0FD7" w:rsidP="00EA0FD7">
      <w:pPr>
        <w:numPr>
          <w:ilvl w:val="0"/>
          <w:numId w:val="6"/>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Предлагане измјене политике индиректног опорезивања као што су: диференциране стопе ПДВ-а, привремено укидање акциза на деривате, промјена режима наплате акциза на увозне </w:t>
      </w:r>
      <w:r w:rsidR="00F42184">
        <w:rPr>
          <w:rFonts w:ascii="Times New Roman" w:eastAsia="Times New Roman" w:hAnsi="Times New Roman" w:cs="Times New Roman"/>
          <w:sz w:val="24"/>
          <w:szCs w:val="24"/>
          <w:lang w:val="sr-Cyrl-RS" w:eastAsia="hr-HR"/>
        </w:rPr>
        <w:t>дуван</w:t>
      </w:r>
      <w:r w:rsidRPr="00EA0FD7">
        <w:rPr>
          <w:rFonts w:ascii="Times New Roman" w:eastAsia="Times New Roman" w:hAnsi="Times New Roman" w:cs="Times New Roman"/>
          <w:sz w:val="24"/>
          <w:szCs w:val="24"/>
          <w:lang w:val="sr-Cyrl-RS" w:eastAsia="hr-HR"/>
        </w:rPr>
        <w:t>ске прерађевине. Наведене измјене легислативе могле би довести до значајног пада прихода од индиректних пореза.</w:t>
      </w:r>
    </w:p>
    <w:p w14:paraId="0D840BCC"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DC54137"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363A5FC" w14:textId="77777777" w:rsidR="00EA0FD7" w:rsidRPr="00EA0FD7" w:rsidRDefault="00EA0FD7" w:rsidP="00EA0FD7">
      <w:pPr>
        <w:keepNext/>
        <w:spacing w:after="0" w:line="240" w:lineRule="auto"/>
        <w:outlineLvl w:val="0"/>
        <w:rPr>
          <w:rFonts w:ascii="Times New Roman" w:eastAsia="Times New Roman" w:hAnsi="Times New Roman" w:cs="Times New Roman"/>
          <w:b/>
          <w:kern w:val="24"/>
          <w:sz w:val="24"/>
          <w:szCs w:val="24"/>
          <w:lang w:val="sr-Cyrl-RS" w:eastAsia="hr-HR"/>
        </w:rPr>
      </w:pPr>
      <w:bookmarkStart w:id="88" w:name="_Toc100751312"/>
      <w:r w:rsidRPr="00EA0FD7">
        <w:rPr>
          <w:rFonts w:ascii="Times New Roman" w:eastAsia="Times New Roman" w:hAnsi="Times New Roman" w:cs="Times New Roman"/>
          <w:b/>
          <w:kern w:val="24"/>
          <w:sz w:val="24"/>
          <w:szCs w:val="24"/>
          <w:lang w:val="sr-Cyrl-RS" w:eastAsia="hr-HR"/>
        </w:rPr>
        <w:t>Посљедње пројекције међународних институција</w:t>
      </w:r>
      <w:bookmarkEnd w:id="88"/>
    </w:p>
    <w:p w14:paraId="10E38792"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03D4A969" w14:textId="77777777" w:rsidR="00EA0FD7" w:rsidRPr="00EA0FD7" w:rsidRDefault="00EA0FD7" w:rsidP="00EA0FD7">
      <w:pPr>
        <w:keepNext/>
        <w:spacing w:after="0" w:line="240" w:lineRule="auto"/>
        <w:outlineLvl w:val="0"/>
        <w:rPr>
          <w:rFonts w:ascii="Times New Roman" w:eastAsia="Times New Roman" w:hAnsi="Times New Roman" w:cs="Times New Roman"/>
          <w:kern w:val="24"/>
          <w:sz w:val="24"/>
          <w:szCs w:val="24"/>
          <w:lang w:val="sr-Cyrl-RS" w:eastAsia="hr-HR"/>
        </w:rPr>
      </w:pPr>
      <w:bookmarkStart w:id="89" w:name="_Toc100751313"/>
      <w:r w:rsidRPr="00EA0FD7">
        <w:rPr>
          <w:rFonts w:ascii="Times New Roman" w:eastAsia="Times New Roman" w:hAnsi="Times New Roman" w:cs="Times New Roman"/>
          <w:kern w:val="24"/>
          <w:sz w:val="24"/>
          <w:szCs w:val="24"/>
          <w:lang w:val="sr-Cyrl-RS" w:eastAsia="hr-HR"/>
        </w:rPr>
        <w:t>Пројекције Европске комисије (ЕК)</w:t>
      </w:r>
      <w:bookmarkEnd w:id="89"/>
    </w:p>
    <w:p w14:paraId="1073CB8F"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4554D915" w14:textId="6CBB2FED"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Cs/>
          <w:sz w:val="24"/>
          <w:szCs w:val="24"/>
          <w:lang w:val="sr-Cyrl-RS" w:eastAsia="hr-HR"/>
        </w:rPr>
        <w:t>Из Графикона</w:t>
      </w:r>
      <w:r w:rsidR="006D6AED">
        <w:rPr>
          <w:rFonts w:ascii="Times New Roman" w:eastAsia="Times New Roman" w:hAnsi="Times New Roman" w:cs="Times New Roman"/>
          <w:bCs/>
          <w:sz w:val="24"/>
          <w:szCs w:val="24"/>
          <w:lang w:val="sr-Cyrl-RS" w:eastAsia="hr-HR"/>
        </w:rPr>
        <w:t xml:space="preserve"> </w:t>
      </w:r>
      <w:r w:rsidRPr="00EA0FD7">
        <w:rPr>
          <w:rFonts w:ascii="Times New Roman" w:eastAsia="Times New Roman" w:hAnsi="Times New Roman" w:cs="Times New Roman"/>
          <w:bCs/>
          <w:sz w:val="24"/>
          <w:szCs w:val="24"/>
          <w:lang w:val="sr-Cyrl-RS" w:eastAsia="hr-HR"/>
        </w:rPr>
        <w:t>3.20. можемо видјети пројекције реалног раста БДП-а и инфлације за период од 2021. до 2023. године из посљедњих, зимских пројекција ЕК (фебруар 2022. године). У пројекцијама се наводи да се након снажног опоравка од 5,3% у 2021. години, у 2022. години предвиђа раст економије ЕУ и Е</w:t>
      </w:r>
      <w:r w:rsidR="006D6AED">
        <w:rPr>
          <w:rFonts w:ascii="Times New Roman" w:eastAsia="Times New Roman" w:hAnsi="Times New Roman" w:cs="Times New Roman"/>
          <w:bCs/>
          <w:sz w:val="24"/>
          <w:szCs w:val="24"/>
          <w:lang w:val="sr-Cyrl-RS" w:eastAsia="hr-HR"/>
        </w:rPr>
        <w:t>в</w:t>
      </w:r>
      <w:r w:rsidRPr="00EA0FD7">
        <w:rPr>
          <w:rFonts w:ascii="Times New Roman" w:eastAsia="Times New Roman" w:hAnsi="Times New Roman" w:cs="Times New Roman"/>
          <w:bCs/>
          <w:sz w:val="24"/>
          <w:szCs w:val="24"/>
          <w:lang w:val="sr-Cyrl-RS" w:eastAsia="hr-HR"/>
        </w:rPr>
        <w:t>ро</w:t>
      </w:r>
      <w:r w:rsidR="006D6AED">
        <w:rPr>
          <w:rFonts w:ascii="Times New Roman" w:eastAsia="Times New Roman" w:hAnsi="Times New Roman" w:cs="Times New Roman"/>
          <w:bCs/>
          <w:sz w:val="24"/>
          <w:szCs w:val="24"/>
          <w:lang w:val="sr-Cyrl-RS" w:eastAsia="hr-HR"/>
        </w:rPr>
        <w:t xml:space="preserve"> </w:t>
      </w:r>
      <w:r w:rsidRPr="00EA0FD7">
        <w:rPr>
          <w:rFonts w:ascii="Times New Roman" w:eastAsia="Times New Roman" w:hAnsi="Times New Roman" w:cs="Times New Roman"/>
          <w:bCs/>
          <w:sz w:val="24"/>
          <w:szCs w:val="24"/>
          <w:lang w:val="sr-Cyrl-RS" w:eastAsia="hr-HR"/>
        </w:rPr>
        <w:t>зоне од 4,0%, док се у 2023. очекује раст од 2,8% у ЕУ и 2,7% у Е</w:t>
      </w:r>
      <w:r w:rsidR="006D6AED">
        <w:rPr>
          <w:rFonts w:ascii="Times New Roman" w:eastAsia="Times New Roman" w:hAnsi="Times New Roman" w:cs="Times New Roman"/>
          <w:bCs/>
          <w:sz w:val="24"/>
          <w:szCs w:val="24"/>
          <w:lang w:val="sr-Cyrl-RS" w:eastAsia="hr-HR"/>
        </w:rPr>
        <w:t>в</w:t>
      </w:r>
      <w:r w:rsidRPr="00EA0FD7">
        <w:rPr>
          <w:rFonts w:ascii="Times New Roman" w:eastAsia="Times New Roman" w:hAnsi="Times New Roman" w:cs="Times New Roman"/>
          <w:bCs/>
          <w:sz w:val="24"/>
          <w:szCs w:val="24"/>
          <w:lang w:val="sr-Cyrl-RS" w:eastAsia="hr-HR"/>
        </w:rPr>
        <w:t>ро</w:t>
      </w:r>
      <w:r w:rsidR="006D6AED">
        <w:rPr>
          <w:rFonts w:ascii="Times New Roman" w:eastAsia="Times New Roman" w:hAnsi="Times New Roman" w:cs="Times New Roman"/>
          <w:bCs/>
          <w:sz w:val="24"/>
          <w:szCs w:val="24"/>
          <w:lang w:val="sr-Cyrl-RS" w:eastAsia="hr-HR"/>
        </w:rPr>
        <w:t xml:space="preserve"> </w:t>
      </w:r>
      <w:r w:rsidRPr="00EA0FD7">
        <w:rPr>
          <w:rFonts w:ascii="Times New Roman" w:eastAsia="Times New Roman" w:hAnsi="Times New Roman" w:cs="Times New Roman"/>
          <w:bCs/>
          <w:sz w:val="24"/>
          <w:szCs w:val="24"/>
          <w:lang w:val="sr-Cyrl-RS" w:eastAsia="hr-HR"/>
        </w:rPr>
        <w:t>зони</w:t>
      </w:r>
      <w:r w:rsidRPr="00EA0FD7">
        <w:rPr>
          <w:rFonts w:ascii="Times New Roman" w:eastAsia="Times New Roman" w:hAnsi="Times New Roman" w:cs="Times New Roman"/>
          <w:sz w:val="24"/>
          <w:szCs w:val="24"/>
          <w:vertAlign w:val="superscript"/>
          <w:lang w:val="sr-Cyrl-RS" w:eastAsia="hr-HR"/>
        </w:rPr>
        <w:footnoteReference w:id="55"/>
      </w:r>
      <w:r w:rsidRPr="00EA0FD7">
        <w:rPr>
          <w:rFonts w:ascii="Times New Roman" w:eastAsia="Times New Roman" w:hAnsi="Times New Roman" w:cs="Times New Roman"/>
          <w:bCs/>
          <w:sz w:val="24"/>
          <w:szCs w:val="24"/>
          <w:lang w:val="sr-Cyrl-RS" w:eastAsia="hr-HR"/>
        </w:rPr>
        <w:t xml:space="preserve"> Треба имати на уму вријеме израде ових пројекција, односно неузимање у обзир најновијих дешавања у Украјини.</w:t>
      </w:r>
    </w:p>
    <w:p w14:paraId="6318D3F1" w14:textId="77777777" w:rsidR="00EA0FD7" w:rsidRPr="00EA0FD7" w:rsidRDefault="00EA0FD7" w:rsidP="00EA0FD7">
      <w:pPr>
        <w:spacing w:after="0" w:line="240" w:lineRule="auto"/>
        <w:jc w:val="both"/>
        <w:rPr>
          <w:rFonts w:ascii="Times New Roman" w:eastAsia="Times New Roman" w:hAnsi="Times New Roman" w:cs="Times New Roman"/>
          <w:b/>
          <w:lang w:val="sr-Cyrl-RS" w:eastAsia="hr-HR"/>
        </w:rPr>
      </w:pPr>
    </w:p>
    <w:p w14:paraId="4A87B22C" w14:textId="77777777" w:rsidR="00EA0FD7" w:rsidRPr="00EA0FD7" w:rsidRDefault="00EA0FD7" w:rsidP="00EA0FD7">
      <w:pPr>
        <w:spacing w:after="0" w:line="240" w:lineRule="auto"/>
        <w:jc w:val="both"/>
        <w:rPr>
          <w:rFonts w:ascii="Times New Roman" w:eastAsia="Times New Roman" w:hAnsi="Times New Roman" w:cs="Times New Roman"/>
          <w:b/>
          <w:lang w:val="sr-Cyrl-RS" w:eastAsia="hr-HR"/>
        </w:rPr>
      </w:pPr>
    </w:p>
    <w:p w14:paraId="52CB11DB" w14:textId="77777777"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bookmarkStart w:id="90" w:name="_Toc100909355"/>
      <w:r w:rsidRPr="00EA0FD7">
        <w:rPr>
          <w:rFonts w:ascii="Times New Roman" w:eastAsia="Times New Roman" w:hAnsi="Times New Roman" w:cs="Times New Roman"/>
          <w:b/>
          <w:sz w:val="24"/>
          <w:szCs w:val="24"/>
          <w:lang w:val="sr-Cyrl-RS" w:eastAsia="hr-HR"/>
        </w:rPr>
        <w:t>Графикон  3.20.</w:t>
      </w:r>
      <w:r w:rsidRPr="00EA0FD7">
        <w:rPr>
          <w:rFonts w:ascii="Times New Roman" w:eastAsia="Times New Roman" w:hAnsi="Times New Roman" w:cs="Times New Roman"/>
          <w:bCs/>
          <w:sz w:val="24"/>
          <w:szCs w:val="24"/>
          <w:lang w:val="sr-Cyrl-RS" w:eastAsia="hr-HR"/>
        </w:rPr>
        <w:t xml:space="preserve"> </w:t>
      </w:r>
      <w:r w:rsidRPr="00EA0FD7">
        <w:rPr>
          <w:rFonts w:ascii="Times New Roman" w:eastAsia="Times New Roman" w:hAnsi="Times New Roman" w:cs="Times New Roman"/>
          <w:sz w:val="24"/>
          <w:szCs w:val="24"/>
          <w:lang w:val="sr-Cyrl-RS" w:eastAsia="hr-HR"/>
        </w:rPr>
        <w:t>Зимске пројекције (2022) Европске</w:t>
      </w:r>
      <w:r w:rsidRPr="00EA0FD7">
        <w:rPr>
          <w:rFonts w:ascii="Times New Roman" w:eastAsia="Times New Roman" w:hAnsi="Times New Roman" w:cs="Times New Roman"/>
          <w:sz w:val="20"/>
          <w:szCs w:val="20"/>
          <w:lang w:val="sr-Cyrl-RS" w:eastAsia="hr-HR"/>
        </w:rPr>
        <w:t xml:space="preserve"> комисије</w:t>
      </w:r>
      <w:bookmarkEnd w:id="90"/>
    </w:p>
    <w:tbl>
      <w:tblPr>
        <w:tblW w:w="9780" w:type="dxa"/>
        <w:tblInd w:w="108" w:type="dxa"/>
        <w:shd w:val="clear" w:color="auto" w:fill="FDE9D9"/>
        <w:tblLayout w:type="fixed"/>
        <w:tblLook w:val="04A0" w:firstRow="1" w:lastRow="0" w:firstColumn="1" w:lastColumn="0" w:noHBand="0" w:noVBand="1"/>
      </w:tblPr>
      <w:tblGrid>
        <w:gridCol w:w="4820"/>
        <w:gridCol w:w="4960"/>
      </w:tblGrid>
      <w:tr w:rsidR="00EA0FD7" w:rsidRPr="00EA0FD7" w14:paraId="3E24F3C1" w14:textId="77777777" w:rsidTr="00EA0FD7">
        <w:trPr>
          <w:trHeight w:hRule="exact" w:val="102"/>
        </w:trPr>
        <w:tc>
          <w:tcPr>
            <w:tcW w:w="4820" w:type="dxa"/>
            <w:shd w:val="clear" w:color="auto" w:fill="FDE9D9"/>
          </w:tcPr>
          <w:p w14:paraId="5378F086"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61B02915"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r w:rsidR="00EA0FD7" w:rsidRPr="00EA0FD7" w14:paraId="6F1B5B4E" w14:textId="77777777" w:rsidTr="00EA0FD7">
        <w:tc>
          <w:tcPr>
            <w:tcW w:w="4820" w:type="dxa"/>
            <w:shd w:val="clear" w:color="auto" w:fill="FDE9D9"/>
            <w:hideMark/>
          </w:tcPr>
          <w:p w14:paraId="2AA806E2"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64CBFFBA" wp14:editId="011E6734">
                  <wp:extent cx="2986405" cy="2701925"/>
                  <wp:effectExtent l="0" t="0" r="4445" b="3175"/>
                  <wp:docPr id="41" name="Slika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6405" cy="2701925"/>
                          </a:xfrm>
                          <a:prstGeom prst="rect">
                            <a:avLst/>
                          </a:prstGeom>
                          <a:noFill/>
                          <a:ln>
                            <a:noFill/>
                          </a:ln>
                        </pic:spPr>
                      </pic:pic>
                    </a:graphicData>
                  </a:graphic>
                </wp:inline>
              </w:drawing>
            </w:r>
          </w:p>
        </w:tc>
        <w:tc>
          <w:tcPr>
            <w:tcW w:w="4961" w:type="dxa"/>
            <w:shd w:val="clear" w:color="auto" w:fill="FDE9D9"/>
            <w:hideMark/>
          </w:tcPr>
          <w:p w14:paraId="0B1CE8CB"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r w:rsidRPr="00EA0FD7">
              <w:rPr>
                <w:rFonts w:ascii="Times New Roman" w:eastAsia="Times New Roman" w:hAnsi="Times New Roman" w:cs="Times New Roman"/>
                <w:i/>
                <w:noProof/>
                <w:sz w:val="24"/>
                <w:szCs w:val="24"/>
                <w:lang w:val="sr-Cyrl-RS" w:eastAsia="hr-HR"/>
              </w:rPr>
              <w:drawing>
                <wp:inline distT="0" distB="0" distL="0" distR="0" wp14:anchorId="0669E733" wp14:editId="27D73093">
                  <wp:extent cx="2986405" cy="2701925"/>
                  <wp:effectExtent l="0" t="0" r="4445" b="3175"/>
                  <wp:docPr id="42" name="Slika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86405" cy="2701925"/>
                          </a:xfrm>
                          <a:prstGeom prst="rect">
                            <a:avLst/>
                          </a:prstGeom>
                          <a:noFill/>
                          <a:ln>
                            <a:noFill/>
                          </a:ln>
                        </pic:spPr>
                      </pic:pic>
                    </a:graphicData>
                  </a:graphic>
                </wp:inline>
              </w:drawing>
            </w:r>
          </w:p>
        </w:tc>
      </w:tr>
      <w:tr w:rsidR="00EA0FD7" w:rsidRPr="00EA0FD7" w14:paraId="1DF2D759" w14:textId="77777777" w:rsidTr="00EA0FD7">
        <w:trPr>
          <w:trHeight w:hRule="exact" w:val="102"/>
        </w:trPr>
        <w:tc>
          <w:tcPr>
            <w:tcW w:w="4820" w:type="dxa"/>
            <w:shd w:val="clear" w:color="auto" w:fill="FDE9D9"/>
          </w:tcPr>
          <w:p w14:paraId="078ABBF2"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c>
          <w:tcPr>
            <w:tcW w:w="4961" w:type="dxa"/>
            <w:shd w:val="clear" w:color="auto" w:fill="FDE9D9"/>
          </w:tcPr>
          <w:p w14:paraId="7058E916" w14:textId="77777777" w:rsidR="00EA0FD7" w:rsidRPr="00EA0FD7" w:rsidRDefault="00EA0FD7" w:rsidP="00EA0FD7">
            <w:pPr>
              <w:spacing w:after="0" w:line="240" w:lineRule="auto"/>
              <w:rPr>
                <w:rFonts w:ascii="Times New Roman" w:eastAsia="Times New Roman" w:hAnsi="Times New Roman" w:cs="Times New Roman"/>
                <w:i/>
                <w:sz w:val="24"/>
                <w:szCs w:val="24"/>
                <w:lang w:val="sr-Cyrl-RS" w:eastAsia="hr-HR"/>
              </w:rPr>
            </w:pPr>
          </w:p>
        </w:tc>
      </w:tr>
    </w:tbl>
    <w:p w14:paraId="083C299B" w14:textId="14A01F6C" w:rsidR="00EA0FD7" w:rsidRPr="00EA0FD7" w:rsidRDefault="00EA0FD7" w:rsidP="00EA0FD7">
      <w:pPr>
        <w:spacing w:after="0" w:line="240" w:lineRule="auto"/>
        <w:jc w:val="center"/>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Извор: Презентација ОМА на основу пројекција Европске комисије</w:t>
      </w:r>
    </w:p>
    <w:p w14:paraId="0714E299" w14:textId="77777777" w:rsidR="00EA0FD7" w:rsidRPr="00EA0FD7" w:rsidRDefault="00EA0FD7" w:rsidP="00EA0FD7">
      <w:pPr>
        <w:spacing w:after="0" w:line="240" w:lineRule="auto"/>
        <w:jc w:val="both"/>
        <w:rPr>
          <w:rFonts w:ascii="Times New Roman" w:eastAsia="Times New Roman" w:hAnsi="Times New Roman" w:cs="Times New Roman"/>
          <w:b/>
          <w:lang w:val="sr-Cyrl-RS" w:eastAsia="hr-HR"/>
        </w:rPr>
      </w:pPr>
    </w:p>
    <w:p w14:paraId="4745BF67" w14:textId="77777777" w:rsidR="00EA0FD7" w:rsidRPr="00EA0FD7" w:rsidRDefault="00EA0FD7" w:rsidP="00EA0FD7">
      <w:pPr>
        <w:spacing w:after="0" w:line="240" w:lineRule="auto"/>
        <w:jc w:val="both"/>
        <w:rPr>
          <w:rFonts w:ascii="Times New Roman" w:eastAsia="Times New Roman" w:hAnsi="Times New Roman" w:cs="Times New Roman"/>
          <w:b/>
          <w:lang w:val="sr-Cyrl-RS" w:eastAsia="hr-HR"/>
        </w:rPr>
      </w:pPr>
    </w:p>
    <w:p w14:paraId="59CCB89E" w14:textId="77777777" w:rsidR="00EA0FD7" w:rsidRPr="00EA0FD7" w:rsidRDefault="00EA0FD7" w:rsidP="00EA0FD7">
      <w:pPr>
        <w:keepNext/>
        <w:spacing w:after="0" w:line="240" w:lineRule="auto"/>
        <w:outlineLvl w:val="0"/>
        <w:rPr>
          <w:rFonts w:ascii="Times New Roman" w:eastAsia="Times New Roman" w:hAnsi="Times New Roman" w:cs="Times New Roman"/>
          <w:kern w:val="24"/>
          <w:sz w:val="24"/>
          <w:szCs w:val="24"/>
          <w:lang w:val="sr-Cyrl-RS" w:eastAsia="hr-HR"/>
        </w:rPr>
      </w:pPr>
      <w:bookmarkStart w:id="91" w:name="_Toc100751314"/>
      <w:r w:rsidRPr="00EA0FD7">
        <w:rPr>
          <w:rFonts w:ascii="Times New Roman" w:eastAsia="Times New Roman" w:hAnsi="Times New Roman" w:cs="Times New Roman"/>
          <w:kern w:val="24"/>
          <w:sz w:val="24"/>
          <w:szCs w:val="24"/>
          <w:lang w:val="sr-Cyrl-RS" w:eastAsia="hr-HR"/>
        </w:rPr>
        <w:t>Пројекције Међународног монетарног фонда (ММФ)</w:t>
      </w:r>
      <w:bookmarkEnd w:id="91"/>
      <w:r w:rsidRPr="00EA0FD7">
        <w:rPr>
          <w:rFonts w:ascii="Times New Roman" w:eastAsia="Times New Roman" w:hAnsi="Times New Roman" w:cs="Times New Roman"/>
          <w:kern w:val="24"/>
          <w:sz w:val="24"/>
          <w:szCs w:val="24"/>
          <w:lang w:val="sr-Cyrl-RS" w:eastAsia="hr-HR"/>
        </w:rPr>
        <w:t xml:space="preserve"> </w:t>
      </w:r>
    </w:p>
    <w:p w14:paraId="1DD37C50" w14:textId="77777777" w:rsidR="00EA0FD7" w:rsidRPr="00EA0FD7" w:rsidRDefault="00EA0FD7" w:rsidP="00EA0FD7">
      <w:pPr>
        <w:spacing w:after="0" w:line="240" w:lineRule="auto"/>
        <w:rPr>
          <w:rFonts w:ascii="Times New Roman" w:eastAsia="Times New Roman" w:hAnsi="Times New Roman" w:cs="Times New Roman"/>
          <w:bCs/>
          <w:sz w:val="24"/>
          <w:szCs w:val="24"/>
          <w:lang w:val="sr-Cyrl-RS" w:eastAsia="hr-HR"/>
        </w:rPr>
      </w:pPr>
    </w:p>
    <w:p w14:paraId="5554C6A7" w14:textId="3C1617B0"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sz w:val="24"/>
          <w:szCs w:val="24"/>
          <w:lang w:val="sr-Cyrl-RS" w:eastAsia="hr-HR"/>
        </w:rPr>
        <w:lastRenderedPageBreak/>
        <w:t>Посљедње пројекције ММФ-а датирају из јануара 2022. године.</w:t>
      </w:r>
      <w:r w:rsidRPr="00EA0FD7">
        <w:rPr>
          <w:rFonts w:ascii="Times New Roman" w:eastAsia="Times New Roman" w:hAnsi="Times New Roman" w:cs="Times New Roman"/>
          <w:sz w:val="24"/>
          <w:szCs w:val="24"/>
          <w:vertAlign w:val="superscript"/>
          <w:lang w:val="sr-Cyrl-RS" w:eastAsia="hr-HR"/>
        </w:rPr>
        <w:footnoteReference w:id="56"/>
      </w:r>
      <w:r w:rsidR="006D6AED">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Према истим пројекцијама, у 2021. години је у Е</w:t>
      </w:r>
      <w:r w:rsidR="006D6AED">
        <w:rPr>
          <w:rFonts w:ascii="Times New Roman" w:eastAsia="Times New Roman" w:hAnsi="Times New Roman" w:cs="Times New Roman"/>
          <w:sz w:val="24"/>
          <w:szCs w:val="24"/>
          <w:lang w:val="sr-Cyrl-RS" w:eastAsia="hr-HR"/>
        </w:rPr>
        <w:t>в</w:t>
      </w:r>
      <w:r w:rsidRPr="00EA0FD7">
        <w:rPr>
          <w:rFonts w:ascii="Times New Roman" w:eastAsia="Times New Roman" w:hAnsi="Times New Roman" w:cs="Times New Roman"/>
          <w:sz w:val="24"/>
          <w:szCs w:val="24"/>
          <w:lang w:val="sr-Cyrl-RS" w:eastAsia="hr-HR"/>
        </w:rPr>
        <w:t>ро</w:t>
      </w:r>
      <w:r w:rsidR="006D6AED">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зони остварен раст од 5,2 %, док се за 2022. годину пројектује раст од 3,9%. Процијењена остварена стопа раста свјетске економије у 2021. години износи 5,9%, док је за 2022. годину пројектован раст од 4,4%. Треба напоменути да јануарске пројекције нису узеле у обзир посљедња дешавања у Украјини, а ММФ на својој страници најављује објаву нових, априлских пројекција, за 19. април 2022. године.</w:t>
      </w:r>
    </w:p>
    <w:p w14:paraId="3055DA59"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68A64E76" w14:textId="713EF1F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Cs/>
          <w:sz w:val="24"/>
          <w:szCs w:val="24"/>
          <w:lang w:val="sr-Cyrl-RS" w:eastAsia="hr-HR"/>
        </w:rPr>
        <w:t>Према посљедњим пројекцијама ММФ-а у БиХ се у 2022. години очекује реални раст БДП-а од 2,5%</w:t>
      </w:r>
      <w:r w:rsidR="006D6AED">
        <w:rPr>
          <w:rFonts w:ascii="Times New Roman" w:eastAsia="Times New Roman" w:hAnsi="Times New Roman" w:cs="Times New Roman"/>
          <w:bCs/>
          <w:sz w:val="24"/>
          <w:szCs w:val="24"/>
          <w:lang w:val="sr-Cyrl-RS" w:eastAsia="hr-HR"/>
        </w:rPr>
        <w:t xml:space="preserve"> </w:t>
      </w:r>
      <w:r w:rsidRPr="00EA0FD7">
        <w:rPr>
          <w:rFonts w:ascii="Times New Roman" w:eastAsia="Times New Roman" w:hAnsi="Times New Roman" w:cs="Times New Roman"/>
          <w:bCs/>
          <w:sz w:val="24"/>
          <w:szCs w:val="24"/>
          <w:lang w:val="sr-Cyrl-RS" w:eastAsia="hr-HR"/>
        </w:rPr>
        <w:t xml:space="preserve">те стопа инфлације од 6,5%. Наводи се да су пројекције изузетно неизвјесне, с обзиром на рат у Украјини, политичку ситуацију у БиХ, док потенцијална појава нових сојева вируса корона представља додатни ризик. У ММФ-овом извјештају се наводи сљедеће: </w:t>
      </w:r>
      <w:r w:rsidR="006D6AED">
        <w:rPr>
          <w:rFonts w:ascii="Times New Roman" w:eastAsia="Times New Roman" w:hAnsi="Times New Roman" w:cs="Times New Roman"/>
          <w:bCs/>
          <w:i/>
          <w:sz w:val="24"/>
          <w:szCs w:val="24"/>
          <w:lang w:eastAsia="hr-HR"/>
        </w:rPr>
        <w:t>„</w:t>
      </w:r>
      <w:r w:rsidRPr="00EA0FD7">
        <w:rPr>
          <w:rFonts w:ascii="Times New Roman" w:eastAsia="Times New Roman" w:hAnsi="Times New Roman" w:cs="Times New Roman"/>
          <w:bCs/>
          <w:i/>
          <w:sz w:val="24"/>
          <w:szCs w:val="24"/>
          <w:lang w:val="sr-Cyrl-RS" w:eastAsia="hr-HR"/>
        </w:rPr>
        <w:t>Иако су директне економске везе са Русијом и Украјином ограничене, економија БиХ осјетљива је на растуће цијене роба, успоренији економски раст у Европи и строже финансијске у</w:t>
      </w:r>
      <w:r w:rsidR="006D6AED">
        <w:rPr>
          <w:rFonts w:ascii="Times New Roman" w:eastAsia="Times New Roman" w:hAnsi="Times New Roman" w:cs="Times New Roman"/>
          <w:bCs/>
          <w:i/>
          <w:sz w:val="24"/>
          <w:szCs w:val="24"/>
          <w:lang w:val="bs-Cyrl-BA" w:eastAsia="hr-HR"/>
        </w:rPr>
        <w:t>слове</w:t>
      </w:r>
      <w:r w:rsidRPr="00EA0FD7">
        <w:rPr>
          <w:rFonts w:ascii="Times New Roman" w:eastAsia="Times New Roman" w:hAnsi="Times New Roman" w:cs="Times New Roman"/>
          <w:bCs/>
          <w:i/>
          <w:sz w:val="24"/>
          <w:szCs w:val="24"/>
          <w:lang w:val="sr-Cyrl-RS" w:eastAsia="hr-HR"/>
        </w:rPr>
        <w:t xml:space="preserve"> као овог резултат рата.”</w:t>
      </w:r>
      <w:r w:rsidRPr="00EA0FD7">
        <w:rPr>
          <w:rFonts w:ascii="Times New Roman" w:eastAsia="Times New Roman" w:hAnsi="Times New Roman" w:cs="Times New Roman"/>
          <w:sz w:val="24"/>
          <w:szCs w:val="24"/>
          <w:vertAlign w:val="superscript"/>
          <w:lang w:val="sr-Cyrl-RS" w:eastAsia="hr-HR"/>
        </w:rPr>
        <w:footnoteReference w:id="57"/>
      </w:r>
    </w:p>
    <w:p w14:paraId="4F1D05AB"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p>
    <w:p w14:paraId="276F542E" w14:textId="77777777" w:rsidR="00EA0FD7" w:rsidRPr="00EA0FD7" w:rsidRDefault="00EA0FD7" w:rsidP="00EA0FD7">
      <w:pPr>
        <w:keepNext/>
        <w:spacing w:after="0" w:line="240" w:lineRule="auto"/>
        <w:outlineLvl w:val="0"/>
        <w:rPr>
          <w:rFonts w:ascii="Times New Roman" w:eastAsia="Times New Roman" w:hAnsi="Times New Roman" w:cs="Times New Roman"/>
          <w:kern w:val="24"/>
          <w:sz w:val="24"/>
          <w:szCs w:val="24"/>
          <w:lang w:val="sr-Cyrl-RS" w:eastAsia="hr-HR"/>
        </w:rPr>
      </w:pPr>
      <w:bookmarkStart w:id="92" w:name="_Toc100751315"/>
      <w:r w:rsidRPr="00EA0FD7">
        <w:rPr>
          <w:rFonts w:ascii="Times New Roman" w:eastAsia="Times New Roman" w:hAnsi="Times New Roman" w:cs="Times New Roman"/>
          <w:kern w:val="24"/>
          <w:sz w:val="24"/>
          <w:szCs w:val="24"/>
          <w:lang w:val="sr-Cyrl-RS" w:eastAsia="hr-HR"/>
        </w:rPr>
        <w:t>Пројекције Европске централне банке (ЕЦБ)</w:t>
      </w:r>
      <w:bookmarkEnd w:id="92"/>
    </w:p>
    <w:p w14:paraId="74FD2121" w14:textId="77777777" w:rsidR="00EA0FD7" w:rsidRPr="00EA0FD7" w:rsidRDefault="00EA0FD7" w:rsidP="00EA0FD7">
      <w:pPr>
        <w:spacing w:after="0" w:line="240" w:lineRule="auto"/>
        <w:rPr>
          <w:rFonts w:ascii="Times New Roman" w:eastAsia="Times New Roman" w:hAnsi="Times New Roman" w:cs="Times New Roman"/>
          <w:bCs/>
          <w:sz w:val="24"/>
          <w:szCs w:val="24"/>
          <w:lang w:val="sr-Cyrl-RS" w:eastAsia="hr-HR"/>
        </w:rPr>
      </w:pPr>
    </w:p>
    <w:p w14:paraId="2DECE693" w14:textId="43DD117E"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Европска централна банка (ЕЦБ) је објавила макроекономске пројекције за Е</w:t>
      </w:r>
      <w:r w:rsidR="006D6AED">
        <w:rPr>
          <w:rFonts w:ascii="Times New Roman" w:eastAsia="Times New Roman" w:hAnsi="Times New Roman" w:cs="Times New Roman"/>
          <w:sz w:val="24"/>
          <w:szCs w:val="24"/>
          <w:lang w:val="sr-Cyrl-RS" w:eastAsia="hr-HR"/>
        </w:rPr>
        <w:t>в</w:t>
      </w:r>
      <w:r w:rsidRPr="00EA0FD7">
        <w:rPr>
          <w:rFonts w:ascii="Times New Roman" w:eastAsia="Times New Roman" w:hAnsi="Times New Roman" w:cs="Times New Roman"/>
          <w:sz w:val="24"/>
          <w:szCs w:val="24"/>
          <w:lang w:val="sr-Cyrl-RS" w:eastAsia="hr-HR"/>
        </w:rPr>
        <w:t>ро</w:t>
      </w:r>
      <w:r w:rsidR="006D6AED">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зону на основу података доступних до 2. марта 2022. године.</w:t>
      </w:r>
      <w:r w:rsidRPr="00EA0FD7">
        <w:rPr>
          <w:rFonts w:ascii="Times New Roman" w:eastAsia="Times New Roman" w:hAnsi="Times New Roman" w:cs="Times New Roman"/>
          <w:sz w:val="24"/>
          <w:szCs w:val="24"/>
          <w:vertAlign w:val="superscript"/>
          <w:lang w:val="sr-Cyrl-RS" w:eastAsia="hr-HR"/>
        </w:rPr>
        <w:footnoteReference w:id="58"/>
      </w:r>
      <w:r w:rsidRPr="00EA0FD7">
        <w:rPr>
          <w:rFonts w:ascii="Times New Roman" w:eastAsia="Times New Roman" w:hAnsi="Times New Roman" w:cs="Times New Roman"/>
          <w:sz w:val="24"/>
          <w:szCs w:val="24"/>
          <w:lang w:val="sr-Cyrl-RS" w:eastAsia="hr-HR"/>
        </w:rPr>
        <w:t xml:space="preserve"> У документу се наводи да су пројекције врло неизвјесне и да зависе од даљих дешавања у рату у Украјини, ефектима санкција и даљим мјерама. Основни сценарио пројекција ЕЦБ заснива се на претпоставкама да су тренутни поремећаји у сна</w:t>
      </w:r>
      <w:r w:rsidR="006D6AED">
        <w:rPr>
          <w:rFonts w:ascii="Times New Roman" w:eastAsia="Times New Roman" w:hAnsi="Times New Roman" w:cs="Times New Roman"/>
          <w:sz w:val="24"/>
          <w:szCs w:val="24"/>
          <w:lang w:val="sr-Cyrl-RS" w:eastAsia="hr-HR"/>
        </w:rPr>
        <w:t>бд</w:t>
      </w:r>
      <w:r w:rsidRPr="00EA0FD7">
        <w:rPr>
          <w:rFonts w:ascii="Times New Roman" w:eastAsia="Times New Roman" w:hAnsi="Times New Roman" w:cs="Times New Roman"/>
          <w:sz w:val="24"/>
          <w:szCs w:val="24"/>
          <w:lang w:val="sr-Cyrl-RS" w:eastAsia="hr-HR"/>
        </w:rPr>
        <w:t>ијевању енергијом и негативни утицаји на повјерење повезани са сукобом привремени и да глобални ланци снабдијевања нису значајно погођени. Под таквим условима ЕЦБ предвиђа реални раст БДП-а Е</w:t>
      </w:r>
      <w:r w:rsidR="006D6AED">
        <w:rPr>
          <w:rFonts w:ascii="Times New Roman" w:eastAsia="Times New Roman" w:hAnsi="Times New Roman" w:cs="Times New Roman"/>
          <w:sz w:val="24"/>
          <w:szCs w:val="24"/>
          <w:lang w:val="sr-Cyrl-RS" w:eastAsia="hr-HR"/>
        </w:rPr>
        <w:t>в</w:t>
      </w:r>
      <w:r w:rsidRPr="00EA0FD7">
        <w:rPr>
          <w:rFonts w:ascii="Times New Roman" w:eastAsia="Times New Roman" w:hAnsi="Times New Roman" w:cs="Times New Roman"/>
          <w:sz w:val="24"/>
          <w:szCs w:val="24"/>
          <w:lang w:val="sr-Cyrl-RS" w:eastAsia="hr-HR"/>
        </w:rPr>
        <w:t>ро</w:t>
      </w:r>
      <w:r w:rsidR="006D6AED">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зоне од 3,7% у 2022., 2,8% у 2023. и 1,6% у 2024. години.</w:t>
      </w:r>
    </w:p>
    <w:p w14:paraId="74566B58"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3260F5EC"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Због велике неизвјесности поводом дешавања у Украјини, осим основног сценарија, ЕЦБ је израдила и два алтернативна сценарија макроекономских пројекција: неповољни и песимистични сценарио пројекција (Графикон 3.21).</w:t>
      </w:r>
    </w:p>
    <w:p w14:paraId="0F654D03" w14:textId="77777777" w:rsidR="00EA0FD7" w:rsidRPr="00EA0FD7" w:rsidRDefault="00EA0FD7" w:rsidP="0078010E">
      <w:pPr>
        <w:spacing w:after="0" w:line="240" w:lineRule="auto"/>
        <w:jc w:val="center"/>
        <w:rPr>
          <w:rFonts w:ascii="Times New Roman" w:eastAsia="Times New Roman" w:hAnsi="Times New Roman" w:cs="Times New Roman"/>
          <w:bCs/>
          <w:sz w:val="24"/>
          <w:szCs w:val="24"/>
          <w:lang w:val="sr-Cyrl-RS" w:eastAsia="hr-HR"/>
        </w:rPr>
      </w:pPr>
      <w:bookmarkStart w:id="93" w:name="_Toc100909356"/>
      <w:r w:rsidRPr="00EA0FD7">
        <w:rPr>
          <w:rFonts w:ascii="Times New Roman" w:eastAsia="Times New Roman" w:hAnsi="Times New Roman" w:cs="Times New Roman"/>
          <w:b/>
          <w:bCs/>
          <w:sz w:val="24"/>
          <w:szCs w:val="24"/>
          <w:lang w:val="sr-Cyrl-RS" w:eastAsia="hr-HR"/>
        </w:rPr>
        <w:t>Графикон  3.</w:t>
      </w:r>
      <w:r w:rsidRPr="00EA0FD7">
        <w:rPr>
          <w:rFonts w:ascii="Times New Roman" w:eastAsia="Times New Roman" w:hAnsi="Times New Roman" w:cs="Times New Roman"/>
          <w:sz w:val="24"/>
          <w:szCs w:val="24"/>
          <w:lang w:val="sr-Cyrl-RS" w:eastAsia="hr-HR"/>
        </w:rPr>
        <w:fldChar w:fldCharType="begin"/>
      </w:r>
      <w:r w:rsidRPr="00EA0FD7">
        <w:rPr>
          <w:rFonts w:ascii="Times New Roman" w:eastAsia="Times New Roman" w:hAnsi="Times New Roman" w:cs="Times New Roman"/>
          <w:b/>
          <w:bCs/>
          <w:sz w:val="24"/>
          <w:szCs w:val="24"/>
          <w:lang w:val="sr-Cyrl-RS" w:eastAsia="hr-HR"/>
        </w:rPr>
        <w:instrText xml:space="preserve"> SEQ Grafikon_ \* ARABIC </w:instrText>
      </w:r>
      <w:r w:rsidRPr="00EA0FD7">
        <w:rPr>
          <w:rFonts w:ascii="Times New Roman" w:eastAsia="Times New Roman" w:hAnsi="Times New Roman" w:cs="Times New Roman"/>
          <w:sz w:val="24"/>
          <w:szCs w:val="24"/>
          <w:lang w:val="sr-Cyrl-RS" w:eastAsia="hr-HR"/>
        </w:rPr>
        <w:fldChar w:fldCharType="separate"/>
      </w:r>
      <w:r w:rsidRPr="00EA0FD7">
        <w:rPr>
          <w:rFonts w:ascii="Times New Roman" w:eastAsia="Times New Roman" w:hAnsi="Times New Roman" w:cs="Times New Roman"/>
          <w:b/>
          <w:bCs/>
          <w:sz w:val="24"/>
          <w:szCs w:val="24"/>
          <w:lang w:val="sr-Cyrl-RS" w:eastAsia="hr-HR"/>
        </w:rPr>
        <w:t>20</w:t>
      </w:r>
      <w:r w:rsidRPr="00EA0FD7">
        <w:rPr>
          <w:rFonts w:ascii="Times New Roman" w:eastAsia="Times New Roman" w:hAnsi="Times New Roman" w:cs="Times New Roman"/>
          <w:sz w:val="24"/>
          <w:szCs w:val="24"/>
          <w:lang w:val="sr-Cyrl-RS" w:eastAsia="hr-HR"/>
        </w:rPr>
        <w:fldChar w:fldCharType="end"/>
      </w:r>
      <w:r w:rsidRPr="00EA0FD7">
        <w:rPr>
          <w:rFonts w:ascii="Times New Roman" w:eastAsia="Times New Roman" w:hAnsi="Times New Roman" w:cs="Times New Roman"/>
          <w:b/>
          <w:bCs/>
          <w:sz w:val="24"/>
          <w:szCs w:val="24"/>
          <w:lang w:val="sr-Cyrl-RS" w:eastAsia="hr-HR"/>
        </w:rPr>
        <w:t>.</w:t>
      </w:r>
      <w:r w:rsidRPr="00EA0FD7">
        <w:rPr>
          <w:rFonts w:ascii="Times New Roman" w:eastAsia="Times New Roman" w:hAnsi="Times New Roman" w:cs="Times New Roman"/>
          <w:bCs/>
          <w:sz w:val="24"/>
          <w:szCs w:val="24"/>
          <w:lang w:val="sr-Cyrl-RS" w:eastAsia="hr-HR"/>
        </w:rPr>
        <w:t xml:space="preserve"> Пројекције ЕЦБ, март 2022</w:t>
      </w:r>
      <w:bookmarkEnd w:id="93"/>
    </w:p>
    <w:tbl>
      <w:tblPr>
        <w:tblW w:w="9780" w:type="dxa"/>
        <w:tblInd w:w="108" w:type="dxa"/>
        <w:shd w:val="clear" w:color="auto" w:fill="FDE9D9"/>
        <w:tblLayout w:type="fixed"/>
        <w:tblLook w:val="04A0" w:firstRow="1" w:lastRow="0" w:firstColumn="1" w:lastColumn="0" w:noHBand="0" w:noVBand="1"/>
      </w:tblPr>
      <w:tblGrid>
        <w:gridCol w:w="4820"/>
        <w:gridCol w:w="4960"/>
      </w:tblGrid>
      <w:tr w:rsidR="00EA0FD7" w:rsidRPr="00EA0FD7" w14:paraId="02E6EC03" w14:textId="77777777" w:rsidTr="00EA0FD7">
        <w:trPr>
          <w:trHeight w:hRule="exact" w:val="102"/>
        </w:trPr>
        <w:tc>
          <w:tcPr>
            <w:tcW w:w="4820" w:type="dxa"/>
            <w:shd w:val="clear" w:color="auto" w:fill="FDE9D9"/>
          </w:tcPr>
          <w:p w14:paraId="3C4826E9" w14:textId="77777777" w:rsidR="00EA0FD7" w:rsidRPr="00EA0FD7" w:rsidRDefault="00EA0FD7" w:rsidP="00EA0FD7">
            <w:pPr>
              <w:spacing w:after="0" w:line="240" w:lineRule="auto"/>
              <w:rPr>
                <w:rFonts w:ascii="Times New Roman" w:eastAsia="Times New Roman" w:hAnsi="Times New Roman" w:cs="Times New Roman"/>
                <w:bCs/>
                <w:i/>
                <w:sz w:val="24"/>
                <w:szCs w:val="24"/>
                <w:lang w:val="sr-Cyrl-RS" w:eastAsia="hr-HR"/>
              </w:rPr>
            </w:pPr>
          </w:p>
        </w:tc>
        <w:tc>
          <w:tcPr>
            <w:tcW w:w="4961" w:type="dxa"/>
            <w:shd w:val="clear" w:color="auto" w:fill="FDE9D9"/>
          </w:tcPr>
          <w:p w14:paraId="370982AD" w14:textId="77777777" w:rsidR="00EA0FD7" w:rsidRPr="00EA0FD7" w:rsidRDefault="00EA0FD7" w:rsidP="00EA0FD7">
            <w:pPr>
              <w:spacing w:after="0" w:line="240" w:lineRule="auto"/>
              <w:rPr>
                <w:rFonts w:ascii="Times New Roman" w:eastAsia="Times New Roman" w:hAnsi="Times New Roman" w:cs="Times New Roman"/>
                <w:bCs/>
                <w:i/>
                <w:sz w:val="24"/>
                <w:szCs w:val="24"/>
                <w:lang w:val="sr-Cyrl-RS" w:eastAsia="hr-HR"/>
              </w:rPr>
            </w:pPr>
          </w:p>
        </w:tc>
      </w:tr>
      <w:tr w:rsidR="00EA0FD7" w:rsidRPr="00EA0FD7" w14:paraId="20035E14" w14:textId="77777777" w:rsidTr="00EA0FD7">
        <w:tc>
          <w:tcPr>
            <w:tcW w:w="4820" w:type="dxa"/>
            <w:shd w:val="clear" w:color="auto" w:fill="FDE9D9"/>
            <w:hideMark/>
          </w:tcPr>
          <w:p w14:paraId="6FF8D54D" w14:textId="77777777" w:rsidR="00EA0FD7" w:rsidRPr="00EA0FD7" w:rsidRDefault="00EA0FD7" w:rsidP="00EA0FD7">
            <w:pPr>
              <w:spacing w:after="0" w:line="240" w:lineRule="auto"/>
              <w:rPr>
                <w:rFonts w:ascii="Times New Roman" w:eastAsia="Times New Roman" w:hAnsi="Times New Roman" w:cs="Times New Roman"/>
                <w:bCs/>
                <w:i/>
                <w:sz w:val="24"/>
                <w:szCs w:val="24"/>
                <w:lang w:val="sr-Cyrl-RS" w:eastAsia="hr-HR"/>
              </w:rPr>
            </w:pPr>
            <w:r w:rsidRPr="00EA0FD7">
              <w:rPr>
                <w:rFonts w:ascii="Times New Roman" w:eastAsia="Times New Roman" w:hAnsi="Times New Roman" w:cs="Times New Roman"/>
                <w:bCs/>
                <w:i/>
                <w:noProof/>
                <w:sz w:val="24"/>
                <w:szCs w:val="24"/>
                <w:lang w:val="sr-Cyrl-RS" w:eastAsia="hr-HR"/>
              </w:rPr>
              <w:drawing>
                <wp:inline distT="0" distB="0" distL="0" distR="0" wp14:anchorId="056F3A5A" wp14:editId="171E32B4">
                  <wp:extent cx="2986405" cy="2701925"/>
                  <wp:effectExtent l="0" t="0" r="4445" b="3175"/>
                  <wp:docPr id="43" name="Slika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86405" cy="2701925"/>
                          </a:xfrm>
                          <a:prstGeom prst="rect">
                            <a:avLst/>
                          </a:prstGeom>
                          <a:noFill/>
                          <a:ln>
                            <a:noFill/>
                          </a:ln>
                        </pic:spPr>
                      </pic:pic>
                    </a:graphicData>
                  </a:graphic>
                </wp:inline>
              </w:drawing>
            </w:r>
          </w:p>
        </w:tc>
        <w:tc>
          <w:tcPr>
            <w:tcW w:w="4961" w:type="dxa"/>
            <w:shd w:val="clear" w:color="auto" w:fill="FDE9D9"/>
            <w:hideMark/>
          </w:tcPr>
          <w:p w14:paraId="381BDD3E" w14:textId="77777777" w:rsidR="00EA0FD7" w:rsidRPr="00EA0FD7" w:rsidRDefault="00EA0FD7" w:rsidP="00EA0FD7">
            <w:pPr>
              <w:spacing w:after="0" w:line="240" w:lineRule="auto"/>
              <w:rPr>
                <w:rFonts w:ascii="Times New Roman" w:eastAsia="Times New Roman" w:hAnsi="Times New Roman" w:cs="Times New Roman"/>
                <w:bCs/>
                <w:i/>
                <w:sz w:val="24"/>
                <w:szCs w:val="24"/>
                <w:lang w:val="sr-Cyrl-RS" w:eastAsia="hr-HR"/>
              </w:rPr>
            </w:pPr>
            <w:r w:rsidRPr="00EA0FD7">
              <w:rPr>
                <w:rFonts w:ascii="Times New Roman" w:eastAsia="Times New Roman" w:hAnsi="Times New Roman" w:cs="Times New Roman"/>
                <w:bCs/>
                <w:i/>
                <w:noProof/>
                <w:sz w:val="24"/>
                <w:szCs w:val="24"/>
                <w:lang w:val="sr-Cyrl-RS" w:eastAsia="hr-HR"/>
              </w:rPr>
              <w:drawing>
                <wp:inline distT="0" distB="0" distL="0" distR="0" wp14:anchorId="7C8BCE5C" wp14:editId="1A789300">
                  <wp:extent cx="2986405" cy="2701925"/>
                  <wp:effectExtent l="0" t="0" r="4445" b="3175"/>
                  <wp:docPr id="44" name="Slika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86405" cy="2701925"/>
                          </a:xfrm>
                          <a:prstGeom prst="rect">
                            <a:avLst/>
                          </a:prstGeom>
                          <a:noFill/>
                          <a:ln>
                            <a:noFill/>
                          </a:ln>
                        </pic:spPr>
                      </pic:pic>
                    </a:graphicData>
                  </a:graphic>
                </wp:inline>
              </w:drawing>
            </w:r>
          </w:p>
        </w:tc>
      </w:tr>
      <w:tr w:rsidR="00EA0FD7" w:rsidRPr="00EA0FD7" w14:paraId="02861D0E" w14:textId="77777777" w:rsidTr="00EA0FD7">
        <w:trPr>
          <w:trHeight w:hRule="exact" w:val="102"/>
        </w:trPr>
        <w:tc>
          <w:tcPr>
            <w:tcW w:w="4820" w:type="dxa"/>
            <w:shd w:val="clear" w:color="auto" w:fill="FDE9D9"/>
          </w:tcPr>
          <w:p w14:paraId="3C3CF4D7" w14:textId="77777777" w:rsidR="00EA0FD7" w:rsidRPr="00EA0FD7" w:rsidRDefault="00EA0FD7" w:rsidP="00EA0FD7">
            <w:pPr>
              <w:spacing w:after="0" w:line="240" w:lineRule="auto"/>
              <w:rPr>
                <w:rFonts w:ascii="Times New Roman" w:eastAsia="Times New Roman" w:hAnsi="Times New Roman" w:cs="Times New Roman"/>
                <w:bCs/>
                <w:i/>
                <w:sz w:val="24"/>
                <w:szCs w:val="24"/>
                <w:lang w:val="sr-Cyrl-RS" w:eastAsia="hr-HR"/>
              </w:rPr>
            </w:pPr>
          </w:p>
        </w:tc>
        <w:tc>
          <w:tcPr>
            <w:tcW w:w="4961" w:type="dxa"/>
            <w:shd w:val="clear" w:color="auto" w:fill="FDE9D9"/>
          </w:tcPr>
          <w:p w14:paraId="0989B234" w14:textId="77777777" w:rsidR="00EA0FD7" w:rsidRPr="00EA0FD7" w:rsidRDefault="00EA0FD7" w:rsidP="00EA0FD7">
            <w:pPr>
              <w:spacing w:after="0" w:line="240" w:lineRule="auto"/>
              <w:rPr>
                <w:rFonts w:ascii="Times New Roman" w:eastAsia="Times New Roman" w:hAnsi="Times New Roman" w:cs="Times New Roman"/>
                <w:bCs/>
                <w:i/>
                <w:sz w:val="24"/>
                <w:szCs w:val="24"/>
                <w:lang w:val="sr-Cyrl-RS" w:eastAsia="hr-HR"/>
              </w:rPr>
            </w:pPr>
          </w:p>
        </w:tc>
      </w:tr>
    </w:tbl>
    <w:p w14:paraId="6E156359" w14:textId="77777777" w:rsidR="00EA0FD7" w:rsidRPr="00EA0FD7" w:rsidRDefault="00EA0FD7" w:rsidP="00EA0FD7">
      <w:pPr>
        <w:spacing w:after="0" w:line="240" w:lineRule="auto"/>
        <w:jc w:val="center"/>
        <w:rPr>
          <w:rFonts w:ascii="Times New Roman" w:eastAsia="Times New Roman" w:hAnsi="Times New Roman" w:cs="Times New Roman"/>
          <w:bCs/>
          <w:sz w:val="20"/>
          <w:szCs w:val="20"/>
          <w:lang w:val="sr-Cyrl-RS" w:eastAsia="hr-HR"/>
        </w:rPr>
      </w:pPr>
      <w:r w:rsidRPr="00EA0FD7">
        <w:rPr>
          <w:rFonts w:ascii="Times New Roman" w:eastAsia="Times New Roman" w:hAnsi="Times New Roman" w:cs="Times New Roman"/>
          <w:bCs/>
          <w:sz w:val="20"/>
          <w:szCs w:val="20"/>
          <w:lang w:val="sr-Cyrl-RS" w:eastAsia="hr-HR"/>
        </w:rPr>
        <w:t>Извор: Презентација ОМА-е на основу пројекција ЕЦБ</w:t>
      </w:r>
    </w:p>
    <w:bookmarkEnd w:id="75"/>
    <w:p w14:paraId="4F6F64E4"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7F7E4B7A" w14:textId="1BEA4229" w:rsidR="00EA0FD7" w:rsidRPr="00EA0FD7" w:rsidRDefault="00EA0FD7" w:rsidP="00EA0FD7">
      <w:pPr>
        <w:keepNext/>
        <w:tabs>
          <w:tab w:val="left" w:pos="3010"/>
          <w:tab w:val="left" w:pos="3294"/>
          <w:tab w:val="left" w:pos="5196"/>
        </w:tabs>
        <w:spacing w:after="0" w:line="240" w:lineRule="auto"/>
        <w:outlineLvl w:val="1"/>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lastRenderedPageBreak/>
        <w:t>ПРИХОДИ ОД ИНДИРЕКТНИХ ПОРЕЗА У КОРИСТ БРЧКО ДИСТРИКТА Б</w:t>
      </w:r>
      <w:r w:rsidR="006D6AED">
        <w:rPr>
          <w:rFonts w:ascii="Times New Roman" w:eastAsia="Times New Roman" w:hAnsi="Times New Roman" w:cs="Times New Roman"/>
          <w:b/>
          <w:sz w:val="24"/>
          <w:szCs w:val="24"/>
          <w:lang w:val="sr-Cyrl-RS" w:eastAsia="hr-HR"/>
        </w:rPr>
        <w:t>и</w:t>
      </w:r>
      <w:r w:rsidRPr="00EA0FD7">
        <w:rPr>
          <w:rFonts w:ascii="Times New Roman" w:eastAsia="Times New Roman" w:hAnsi="Times New Roman" w:cs="Times New Roman"/>
          <w:b/>
          <w:sz w:val="24"/>
          <w:szCs w:val="24"/>
          <w:lang w:val="sr-Cyrl-RS" w:eastAsia="hr-HR"/>
        </w:rPr>
        <w:t>Х</w:t>
      </w:r>
    </w:p>
    <w:p w14:paraId="2B22808E" w14:textId="166CCC44" w:rsidR="00EA0FD7" w:rsidRPr="00EA0FD7" w:rsidRDefault="00EA0FD7" w:rsidP="00EA0FD7">
      <w:pPr>
        <w:keepNext/>
        <w:tabs>
          <w:tab w:val="left" w:pos="3010"/>
          <w:tab w:val="left" w:pos="3294"/>
          <w:tab w:val="left" w:pos="5196"/>
        </w:tabs>
        <w:spacing w:after="0" w:line="240" w:lineRule="auto"/>
        <w:outlineLvl w:val="1"/>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t>ЗА ПЕРИОД 2023</w:t>
      </w:r>
      <w:r w:rsidR="006D6AED">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
          <w:sz w:val="24"/>
          <w:szCs w:val="24"/>
          <w:lang w:val="sr-Cyrl-RS" w:eastAsia="hr-HR"/>
        </w:rPr>
        <w:t>2025. ГОДИНЕ</w:t>
      </w:r>
    </w:p>
    <w:p w14:paraId="65AA9D87"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5D6A2AFE" w14:textId="34E7557B"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Карактеристика прихода од </w:t>
      </w:r>
      <w:r w:rsidRPr="00EA0FD7">
        <w:rPr>
          <w:rFonts w:ascii="Times New Roman" w:eastAsia="Times New Roman" w:hAnsi="Times New Roman" w:cs="Times New Roman"/>
          <w:b/>
          <w:bCs/>
          <w:sz w:val="24"/>
          <w:lang w:val="sr-Cyrl-RS" w:eastAsia="hr-HR"/>
        </w:rPr>
        <w:t>индиректних пореза (715500 – индиректни порези, путарине и остали приходи дозначени од ОУИ у БиХ)</w:t>
      </w:r>
      <w:r w:rsidRPr="00EA0FD7">
        <w:rPr>
          <w:rFonts w:ascii="Times New Roman" w:eastAsia="Times New Roman" w:hAnsi="Times New Roman" w:cs="Times New Roman"/>
          <w:sz w:val="24"/>
          <w:lang w:val="sr-Cyrl-RS" w:eastAsia="hr-HR"/>
        </w:rPr>
        <w:t xml:space="preserve"> је да њима управља Управа за индиректно опорезивање БиХ (администрира, контролише, убире, евидентира и дистрибуира корисницима) и да припадајући дио након одбијања резерви и средстава за потребе финансирања државних институција, дневно трансферише на Јединствени рачун Брчко дистрикта БиХ, што јасно указује на немогућност директног утицаја Брчко дистрикта БиХ на планске вриједности ових прихода. </w:t>
      </w:r>
    </w:p>
    <w:p w14:paraId="4D004224"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1DF64030"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Учешће индиректних пореза у укупним приходима Брчко дистрикта БиХ у 2015. години 80,31%, у 2016. години </w:t>
      </w:r>
      <w:r w:rsidRPr="00EA0FD7">
        <w:rPr>
          <w:rFonts w:ascii="Times New Roman" w:eastAsia="Times New Roman" w:hAnsi="Times New Roman" w:cs="Times New Roman"/>
          <w:sz w:val="24"/>
          <w:szCs w:val="24"/>
          <w:lang w:val="sr-Cyrl-RS" w:eastAsia="hr-HR"/>
        </w:rPr>
        <w:t>79,89%, у</w:t>
      </w:r>
      <w:r w:rsidRPr="00EA0FD7">
        <w:rPr>
          <w:rFonts w:ascii="Times New Roman" w:eastAsia="Times New Roman" w:hAnsi="Times New Roman" w:cs="Times New Roman"/>
          <w:sz w:val="24"/>
          <w:lang w:val="sr-Cyrl-RS" w:eastAsia="hr-HR"/>
        </w:rPr>
        <w:t xml:space="preserve"> 2017. години 81,91%, у 2018. години 79,86%, у 2019. години 81,96%, у 2020. години 80,72%, у 2021. години 83,24%, а у 2022. години планирано је учешће индиректних пореза у укупним приходима Брчко дистрикта БиХ од 80,30%. Процјењује се да ће учешће индиректних пореза у укупним приходима Брчко дистрикта БиХ у 2023. години износити 83,77%, у 2024. години 84,15%, док ће у 2025. години износити 84,53%</w:t>
      </w:r>
    </w:p>
    <w:p w14:paraId="0B093480" w14:textId="77777777" w:rsidR="00EA0FD7" w:rsidRPr="00EA0FD7" w:rsidRDefault="00EA0FD7" w:rsidP="00EA0FD7">
      <w:pPr>
        <w:spacing w:after="0" w:line="240" w:lineRule="auto"/>
        <w:ind w:firstLine="720"/>
        <w:jc w:val="both"/>
        <w:rPr>
          <w:rFonts w:ascii="Times New Roman" w:eastAsia="Times New Roman" w:hAnsi="Times New Roman" w:cs="Times New Roman"/>
          <w:sz w:val="24"/>
          <w:lang w:val="sr-Cyrl-RS" w:eastAsia="hr-HR"/>
        </w:rPr>
      </w:pPr>
    </w:p>
    <w:p w14:paraId="7B2FDBC7" w14:textId="77777777" w:rsidR="00EA0FD7" w:rsidRPr="00EA0FD7" w:rsidRDefault="00EA0FD7" w:rsidP="00EA0FD7">
      <w:pPr>
        <w:widowControl w:val="0"/>
        <w:tabs>
          <w:tab w:val="left" w:pos="540"/>
        </w:tabs>
        <w:autoSpaceDE w:val="0"/>
        <w:autoSpaceDN w:val="0"/>
        <w:adjustRightInd w:val="0"/>
        <w:spacing w:before="17" w:after="0" w:line="233" w:lineRule="exact"/>
        <w:ind w:right="29"/>
        <w:jc w:val="both"/>
        <w:rPr>
          <w:rFonts w:ascii="Times New Roman" w:eastAsia="Times New Roman" w:hAnsi="Times New Roman" w:cs="Times New Roman"/>
          <w:spacing w:val="-1"/>
          <w:sz w:val="24"/>
          <w:lang w:val="sr-Cyrl-RS" w:eastAsia="hr-HR"/>
        </w:rPr>
      </w:pPr>
      <w:r w:rsidRPr="00EA0FD7">
        <w:rPr>
          <w:rFonts w:ascii="Times New Roman" w:eastAsia="Times New Roman" w:hAnsi="Times New Roman" w:cs="Times New Roman"/>
          <w:sz w:val="24"/>
          <w:lang w:val="sr-Cyrl-RS" w:eastAsia="hr-HR"/>
        </w:rPr>
        <w:t>У 2023. години се очекује раст прихода од индиректних пореза од 21,75% у односу на планиране приходе од индиректних пореза у 2022. години, док се у 2024. и 2025. години очекује раст прихода од индиректних пореза за 3,32%, односно 3,44% у односу на план претходне године.</w:t>
      </w:r>
    </w:p>
    <w:p w14:paraId="760F53DB" w14:textId="77777777" w:rsidR="00EA0FD7" w:rsidRPr="00EA0FD7" w:rsidRDefault="00EA0FD7" w:rsidP="00EA0FD7">
      <w:pPr>
        <w:widowControl w:val="0"/>
        <w:tabs>
          <w:tab w:val="left" w:pos="540"/>
        </w:tabs>
        <w:autoSpaceDE w:val="0"/>
        <w:autoSpaceDN w:val="0"/>
        <w:adjustRightInd w:val="0"/>
        <w:spacing w:before="17" w:after="0" w:line="233" w:lineRule="exact"/>
        <w:ind w:right="911"/>
        <w:jc w:val="both"/>
        <w:rPr>
          <w:rFonts w:ascii="Times New Roman" w:eastAsia="Times New Roman" w:hAnsi="Times New Roman" w:cs="Times New Roman"/>
          <w:color w:val="FF0000"/>
          <w:spacing w:val="-1"/>
          <w:sz w:val="24"/>
          <w:lang w:val="sr-Cyrl-RS" w:eastAsia="hr-HR"/>
        </w:rPr>
      </w:pPr>
    </w:p>
    <w:p w14:paraId="4510EE6C" w14:textId="768F8D6C" w:rsidR="00EA0FD7" w:rsidRPr="00EA0FD7" w:rsidRDefault="00EA0FD7" w:rsidP="00EA0FD7">
      <w:pPr>
        <w:tabs>
          <w:tab w:val="right" w:pos="9029"/>
        </w:tabs>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Јаснији увид у кретање индиректних пореза у укупно оствареним приходима Брчко дистрикта БиХ у периоду од 2015. до 2021. године, плану 2022. године, као и процјени у укупним приходима у периоду 2023</w:t>
      </w:r>
      <w:r w:rsidR="00303EB7">
        <w:rPr>
          <w:rFonts w:ascii="Times New Roman" w:eastAsia="Times New Roman" w:hAnsi="Times New Roman" w:cs="Times New Roman"/>
          <w:sz w:val="24"/>
          <w:lang w:val="sr-Cyrl-RS" w:eastAsia="hr-HR"/>
        </w:rPr>
        <w:t>–</w:t>
      </w:r>
      <w:r w:rsidRPr="00EA0FD7">
        <w:rPr>
          <w:rFonts w:ascii="Times New Roman" w:eastAsia="Times New Roman" w:hAnsi="Times New Roman" w:cs="Times New Roman"/>
          <w:sz w:val="24"/>
          <w:lang w:val="sr-Cyrl-RS" w:eastAsia="hr-HR"/>
        </w:rPr>
        <w:t>2025. година, даје Графикон 3.22.</w:t>
      </w:r>
    </w:p>
    <w:p w14:paraId="3597746F" w14:textId="77777777" w:rsidR="00EA0FD7" w:rsidRPr="00EA0FD7" w:rsidRDefault="00EA0FD7" w:rsidP="00EA0FD7">
      <w:pPr>
        <w:tabs>
          <w:tab w:val="right" w:pos="9029"/>
        </w:tabs>
        <w:spacing w:after="0" w:line="240" w:lineRule="auto"/>
        <w:jc w:val="both"/>
        <w:rPr>
          <w:rFonts w:ascii="Times New Roman" w:eastAsia="Times New Roman" w:hAnsi="Times New Roman" w:cs="Times New Roman"/>
          <w:sz w:val="24"/>
          <w:lang w:val="sr-Cyrl-RS" w:eastAsia="hr-HR"/>
        </w:rPr>
      </w:pPr>
    </w:p>
    <w:p w14:paraId="0E5A9FF1" w14:textId="0BC8C1BC" w:rsidR="00EA0FD7" w:rsidRDefault="00EA0FD7" w:rsidP="00EA0FD7">
      <w:pPr>
        <w:tabs>
          <w:tab w:val="right" w:pos="9029"/>
        </w:tabs>
        <w:spacing w:after="0" w:line="240" w:lineRule="auto"/>
        <w:jc w:val="both"/>
        <w:rPr>
          <w:rFonts w:ascii="Times New Roman" w:eastAsia="Times New Roman" w:hAnsi="Times New Roman" w:cs="Times New Roman"/>
          <w:sz w:val="24"/>
          <w:lang w:val="sr-Cyrl-RS" w:eastAsia="hr-HR"/>
        </w:rPr>
      </w:pPr>
    </w:p>
    <w:p w14:paraId="2FBD0338" w14:textId="77777777" w:rsidR="00303EB7" w:rsidRPr="00EA0FD7" w:rsidRDefault="00303EB7" w:rsidP="00EA0FD7">
      <w:pPr>
        <w:tabs>
          <w:tab w:val="right" w:pos="9029"/>
        </w:tabs>
        <w:spacing w:after="0" w:line="240" w:lineRule="auto"/>
        <w:jc w:val="both"/>
        <w:rPr>
          <w:rFonts w:ascii="Times New Roman" w:eastAsia="Times New Roman" w:hAnsi="Times New Roman" w:cs="Times New Roman"/>
          <w:sz w:val="24"/>
          <w:lang w:val="sr-Cyrl-RS" w:eastAsia="hr-HR"/>
        </w:rPr>
      </w:pPr>
    </w:p>
    <w:p w14:paraId="09BE122F" w14:textId="691ABB8B" w:rsidR="00EA0FD7" w:rsidRPr="00EA0FD7" w:rsidRDefault="00EA0FD7" w:rsidP="00303EB7">
      <w:pPr>
        <w:spacing w:after="0" w:line="240" w:lineRule="auto"/>
        <w:jc w:val="center"/>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szCs w:val="24"/>
          <w:lang w:val="sr-Cyrl-RS" w:eastAsia="hr-HR"/>
        </w:rPr>
        <w:t>Графикон 3.22:</w:t>
      </w:r>
      <w:r w:rsidRPr="00EA0FD7">
        <w:rPr>
          <w:rFonts w:ascii="Times New Roman" w:eastAsia="Times New Roman" w:hAnsi="Times New Roman" w:cs="Times New Roman"/>
          <w:sz w:val="24"/>
          <w:szCs w:val="24"/>
          <w:lang w:val="sr-Cyrl-RS" w:eastAsia="hr-HR"/>
        </w:rPr>
        <w:t xml:space="preserve"> Учешће индиректних пореза у укупним приходима Брчко дистрикта БиХ</w:t>
      </w:r>
      <w:r w:rsidR="00303EB7">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у периоду 2015–2025. године</w:t>
      </w:r>
    </w:p>
    <w:p w14:paraId="5BCC3BD0" w14:textId="77777777" w:rsidR="00EA0FD7" w:rsidRPr="00EA0FD7" w:rsidRDefault="00EA0FD7" w:rsidP="00EA0FD7">
      <w:pPr>
        <w:spacing w:after="0" w:line="240" w:lineRule="auto"/>
        <w:jc w:val="center"/>
        <w:rPr>
          <w:rFonts w:ascii="Times New Roman" w:eastAsia="Times New Roman" w:hAnsi="Times New Roman" w:cs="Times New Roman"/>
          <w:b/>
          <w:lang w:val="sr-Cyrl-RS" w:eastAsia="hr-HR"/>
        </w:rPr>
      </w:pPr>
    </w:p>
    <w:p w14:paraId="451F70E1" w14:textId="77777777" w:rsidR="00EA0FD7" w:rsidRPr="00EA0FD7" w:rsidRDefault="00EA0FD7" w:rsidP="00EA0FD7">
      <w:pPr>
        <w:spacing w:after="0" w:line="240" w:lineRule="auto"/>
        <w:jc w:val="center"/>
        <w:rPr>
          <w:rFonts w:ascii="Times New Roman" w:eastAsia="Times New Roman" w:hAnsi="Times New Roman" w:cs="Times New Roman"/>
          <w:b/>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1EAC34B4" wp14:editId="4F6E9EBA">
            <wp:extent cx="5765165" cy="2321560"/>
            <wp:effectExtent l="0" t="0" r="6985" b="254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5165" cy="2321560"/>
                    </a:xfrm>
                    <a:prstGeom prst="rect">
                      <a:avLst/>
                    </a:prstGeom>
                    <a:noFill/>
                    <a:ln>
                      <a:noFill/>
                    </a:ln>
                  </pic:spPr>
                </pic:pic>
              </a:graphicData>
            </a:graphic>
          </wp:inline>
        </w:drawing>
      </w:r>
    </w:p>
    <w:p w14:paraId="623A4B2B" w14:textId="77777777" w:rsidR="00EA0FD7" w:rsidRPr="00EA0FD7" w:rsidRDefault="00EA0FD7" w:rsidP="00EA0FD7">
      <w:pPr>
        <w:spacing w:after="0" w:line="240" w:lineRule="auto"/>
        <w:rPr>
          <w:rFonts w:ascii="Times New Roman" w:eastAsia="Times New Roman" w:hAnsi="Times New Roman" w:cs="Times New Roman"/>
          <w:sz w:val="24"/>
          <w:lang w:val="sr-Cyrl-RS" w:eastAsia="hr-HR"/>
        </w:rPr>
      </w:pPr>
    </w:p>
    <w:p w14:paraId="71628BE2" w14:textId="77777777" w:rsidR="00EA0FD7" w:rsidRPr="00EA0FD7" w:rsidRDefault="00EA0FD7" w:rsidP="00EA0FD7">
      <w:pPr>
        <w:spacing w:after="0" w:line="240" w:lineRule="auto"/>
        <w:jc w:val="both"/>
        <w:rPr>
          <w:rFonts w:ascii="Times New Roman" w:eastAsia="Times New Roman" w:hAnsi="Times New Roman" w:cs="Times New Roman"/>
          <w:b/>
          <w:sz w:val="24"/>
          <w:lang w:val="sr-Cyrl-RS" w:eastAsia="hr-HR"/>
        </w:rPr>
      </w:pPr>
    </w:p>
    <w:p w14:paraId="34B8F75F" w14:textId="77777777" w:rsidR="0078010E" w:rsidRDefault="0078010E" w:rsidP="00EA0FD7">
      <w:pPr>
        <w:keepNext/>
        <w:tabs>
          <w:tab w:val="left" w:pos="3010"/>
          <w:tab w:val="left" w:pos="3294"/>
          <w:tab w:val="left" w:pos="5196"/>
        </w:tabs>
        <w:spacing w:after="0" w:line="240" w:lineRule="auto"/>
        <w:jc w:val="both"/>
        <w:outlineLvl w:val="1"/>
        <w:rPr>
          <w:rFonts w:ascii="Times New Roman" w:eastAsia="Times New Roman" w:hAnsi="Times New Roman" w:cs="Times New Roman"/>
          <w:b/>
          <w:sz w:val="24"/>
          <w:szCs w:val="24"/>
          <w:lang w:val="sr-Cyrl-RS" w:eastAsia="hr-HR"/>
        </w:rPr>
      </w:pPr>
    </w:p>
    <w:p w14:paraId="6C9D4014" w14:textId="5DF5AB49" w:rsidR="00EA0FD7" w:rsidRPr="00EA0FD7" w:rsidRDefault="00EA0FD7" w:rsidP="00EA0FD7">
      <w:pPr>
        <w:keepNext/>
        <w:tabs>
          <w:tab w:val="left" w:pos="3010"/>
          <w:tab w:val="left" w:pos="3294"/>
          <w:tab w:val="left" w:pos="5196"/>
        </w:tabs>
        <w:spacing w:after="0" w:line="240" w:lineRule="auto"/>
        <w:jc w:val="both"/>
        <w:outlineLvl w:val="1"/>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t>ПРИХОДИ ОД ДИРЕКТНИХ ПОРЕЗА У КОРИСТ БРЧКО ДИСТРИКТА Б</w:t>
      </w:r>
      <w:r w:rsidR="00303EB7">
        <w:rPr>
          <w:rFonts w:ascii="Times New Roman" w:eastAsia="Times New Roman" w:hAnsi="Times New Roman" w:cs="Times New Roman"/>
          <w:b/>
          <w:sz w:val="24"/>
          <w:szCs w:val="24"/>
          <w:lang w:val="sr-Cyrl-RS" w:eastAsia="hr-HR"/>
        </w:rPr>
        <w:t>и</w:t>
      </w:r>
      <w:r w:rsidRPr="00EA0FD7">
        <w:rPr>
          <w:rFonts w:ascii="Times New Roman" w:eastAsia="Times New Roman" w:hAnsi="Times New Roman" w:cs="Times New Roman"/>
          <w:b/>
          <w:sz w:val="24"/>
          <w:szCs w:val="24"/>
          <w:lang w:val="sr-Cyrl-RS" w:eastAsia="hr-HR"/>
        </w:rPr>
        <w:t>Х ЗА</w:t>
      </w:r>
    </w:p>
    <w:p w14:paraId="67B03D85" w14:textId="6B7CA9AA" w:rsidR="00EA0FD7" w:rsidRPr="00EA0FD7" w:rsidRDefault="00EA0FD7" w:rsidP="00EA0FD7">
      <w:pPr>
        <w:keepNext/>
        <w:tabs>
          <w:tab w:val="left" w:pos="3010"/>
          <w:tab w:val="left" w:pos="3294"/>
          <w:tab w:val="left" w:pos="5196"/>
        </w:tabs>
        <w:spacing w:after="0" w:line="240" w:lineRule="auto"/>
        <w:jc w:val="both"/>
        <w:outlineLvl w:val="1"/>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t>ПЕРИОД 2023</w:t>
      </w:r>
      <w:r w:rsidR="00303EB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
          <w:sz w:val="24"/>
          <w:szCs w:val="24"/>
          <w:lang w:val="sr-Cyrl-RS" w:eastAsia="hr-HR"/>
        </w:rPr>
        <w:t>2025. ГОДИНЕ</w:t>
      </w:r>
    </w:p>
    <w:p w14:paraId="6F34F3B3" w14:textId="77777777" w:rsidR="00EA0FD7" w:rsidRPr="00EA0FD7" w:rsidRDefault="00EA0FD7" w:rsidP="00EA0FD7">
      <w:pPr>
        <w:spacing w:after="0" w:line="240" w:lineRule="auto"/>
        <w:rPr>
          <w:rFonts w:ascii="Times New Roman" w:eastAsia="Times New Roman" w:hAnsi="Times New Roman" w:cs="Times New Roman"/>
          <w:sz w:val="28"/>
          <w:szCs w:val="28"/>
          <w:lang w:val="sr-Cyrl-RS" w:eastAsia="hr-HR"/>
        </w:rPr>
      </w:pPr>
    </w:p>
    <w:p w14:paraId="5D7618CE" w14:textId="32E9D390"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Поред прихода са Јединственог рачуна УИО, Брчко дистрикт БиХ такође прикупља низ других пореза укључујући порезе на добит појединаца, порез на добит предузећа, порезе на плате, порез на имовину, порез на промет посебних услуга, порез на употребу добара или на одобрење за кориш</w:t>
      </w:r>
      <w:r w:rsidR="00303EB7">
        <w:rPr>
          <w:rFonts w:ascii="Times New Roman" w:eastAsia="Times New Roman" w:hAnsi="Times New Roman" w:cs="Times New Roman"/>
          <w:sz w:val="24"/>
          <w:lang w:val="sr-Cyrl-RS" w:eastAsia="hr-HR"/>
        </w:rPr>
        <w:t>ћ</w:t>
      </w:r>
      <w:r w:rsidRPr="00EA0FD7">
        <w:rPr>
          <w:rFonts w:ascii="Times New Roman" w:eastAsia="Times New Roman" w:hAnsi="Times New Roman" w:cs="Times New Roman"/>
          <w:sz w:val="24"/>
          <w:lang w:val="sr-Cyrl-RS" w:eastAsia="hr-HR"/>
        </w:rPr>
        <w:t xml:space="preserve">ење добара или за извођење активности. </w:t>
      </w:r>
    </w:p>
    <w:p w14:paraId="16A27D91"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72B7D846"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Учешће директних пореза у укупним приходима Брчко дистрикта БиХ за 2023. годину планирано је у висини од 12,20%, у 2024. години 11,86 %, а у 2025. години 11,52%.</w:t>
      </w:r>
    </w:p>
    <w:p w14:paraId="11F0E2E7"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13D79EE" w14:textId="513AF30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Приходи од директних пореза у 2023, 2024. и 2025. години планирани </w:t>
      </w:r>
      <w:r w:rsidR="00303EB7">
        <w:rPr>
          <w:rFonts w:ascii="Times New Roman" w:eastAsia="Times New Roman" w:hAnsi="Times New Roman" w:cs="Times New Roman"/>
          <w:sz w:val="24"/>
          <w:szCs w:val="24"/>
          <w:lang w:val="sr-Cyrl-RS" w:eastAsia="hr-HR"/>
        </w:rPr>
        <w:t xml:space="preserve">су </w:t>
      </w:r>
      <w:r w:rsidRPr="00EA0FD7">
        <w:rPr>
          <w:rFonts w:ascii="Times New Roman" w:eastAsia="Times New Roman" w:hAnsi="Times New Roman" w:cs="Times New Roman"/>
          <w:sz w:val="24"/>
          <w:szCs w:val="24"/>
          <w:lang w:val="sr-Cyrl-RS" w:eastAsia="hr-HR"/>
        </w:rPr>
        <w:t xml:space="preserve">у нешто вишем износу у односу на приходе планиране у 2022. години и то за по 132.000 КМ или за приближно 0,4%. Повећање планираних прихода се односи на приходе од Пореза на добит предузећа у износу од 100.000 КМ и  приходе од Пореза на промет посебних услуга у износу од 32.000 КМ. </w:t>
      </w:r>
    </w:p>
    <w:p w14:paraId="0E7B7A47" w14:textId="77777777" w:rsidR="00EA0FD7" w:rsidRPr="00EA0FD7" w:rsidRDefault="00EA0FD7" w:rsidP="00EA0FD7">
      <w:pPr>
        <w:spacing w:after="0" w:line="240" w:lineRule="auto"/>
        <w:rPr>
          <w:rFonts w:ascii="Times New Roman" w:eastAsia="Times New Roman" w:hAnsi="Times New Roman" w:cs="Times New Roman"/>
          <w:color w:val="FF0000"/>
          <w:sz w:val="24"/>
          <w:szCs w:val="24"/>
          <w:lang w:val="sr-Cyrl-RS" w:eastAsia="hr-HR"/>
        </w:rPr>
      </w:pPr>
    </w:p>
    <w:p w14:paraId="320EAEF7" w14:textId="73E44AAD"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szCs w:val="24"/>
          <w:lang w:val="sr-Cyrl-RS" w:eastAsia="hr-HR"/>
        </w:rPr>
        <w:t xml:space="preserve">Табела 3.5: </w:t>
      </w:r>
      <w:r w:rsidRPr="00EA0FD7">
        <w:rPr>
          <w:rFonts w:ascii="Times New Roman" w:eastAsia="Times New Roman" w:hAnsi="Times New Roman" w:cs="Times New Roman"/>
          <w:sz w:val="24"/>
          <w:szCs w:val="24"/>
          <w:lang w:val="sr-Cyrl-RS" w:eastAsia="hr-HR"/>
        </w:rPr>
        <w:t>Пројекција директних пореза за период 2023</w:t>
      </w:r>
      <w:r w:rsidR="00303EB7">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2025. године</w:t>
      </w:r>
    </w:p>
    <w:tbl>
      <w:tblPr>
        <w:tblW w:w="9738" w:type="dxa"/>
        <w:tblInd w:w="98" w:type="dxa"/>
        <w:tblLook w:val="04A0" w:firstRow="1" w:lastRow="0" w:firstColumn="1" w:lastColumn="0" w:noHBand="0" w:noVBand="1"/>
      </w:tblPr>
      <w:tblGrid>
        <w:gridCol w:w="817"/>
        <w:gridCol w:w="3119"/>
        <w:gridCol w:w="1459"/>
        <w:gridCol w:w="1459"/>
        <w:gridCol w:w="1459"/>
        <w:gridCol w:w="1459"/>
      </w:tblGrid>
      <w:tr w:rsidR="00EA0FD7" w:rsidRPr="00EA0FD7" w14:paraId="7317FBEC" w14:textId="77777777" w:rsidTr="00EA0FD7">
        <w:trPr>
          <w:trHeight w:val="240"/>
        </w:trPr>
        <w:tc>
          <w:tcPr>
            <w:tcW w:w="3902" w:type="dxa"/>
            <w:gridSpan w:val="2"/>
            <w:tcBorders>
              <w:top w:val="single" w:sz="8" w:space="0" w:color="auto"/>
              <w:left w:val="single" w:sz="8" w:space="0" w:color="auto"/>
              <w:bottom w:val="single" w:sz="8" w:space="0" w:color="auto"/>
              <w:right w:val="single" w:sz="8" w:space="0" w:color="000000"/>
            </w:tcBorders>
            <w:shd w:val="clear" w:color="auto" w:fill="99CCFF"/>
            <w:noWrap/>
            <w:vAlign w:val="center"/>
            <w:hideMark/>
          </w:tcPr>
          <w:p w14:paraId="785B03E8"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Директни порези</w:t>
            </w:r>
          </w:p>
        </w:tc>
        <w:tc>
          <w:tcPr>
            <w:tcW w:w="1459" w:type="dxa"/>
            <w:tcBorders>
              <w:top w:val="single" w:sz="8" w:space="0" w:color="auto"/>
              <w:left w:val="nil"/>
              <w:bottom w:val="single" w:sz="8" w:space="0" w:color="auto"/>
              <w:right w:val="nil"/>
            </w:tcBorders>
            <w:shd w:val="clear" w:color="auto" w:fill="99CCFF"/>
            <w:noWrap/>
            <w:vAlign w:val="center"/>
            <w:hideMark/>
          </w:tcPr>
          <w:p w14:paraId="56B1D4BD" w14:textId="1811C949"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2022</w:t>
            </w:r>
            <w:r w:rsidR="00303EB7">
              <w:rPr>
                <w:rFonts w:ascii="Arial" w:eastAsia="Times New Roman" w:hAnsi="Arial" w:cs="Arial"/>
                <w:b/>
                <w:bCs/>
                <w:sz w:val="18"/>
                <w:szCs w:val="18"/>
                <w:lang w:val="sr-Cyrl-RS"/>
              </w:rPr>
              <w:t>.</w:t>
            </w:r>
          </w:p>
        </w:tc>
        <w:tc>
          <w:tcPr>
            <w:tcW w:w="1459" w:type="dxa"/>
            <w:tcBorders>
              <w:top w:val="single" w:sz="8" w:space="0" w:color="auto"/>
              <w:left w:val="single" w:sz="8" w:space="0" w:color="auto"/>
              <w:bottom w:val="single" w:sz="8" w:space="0" w:color="auto"/>
              <w:right w:val="single" w:sz="8" w:space="0" w:color="auto"/>
            </w:tcBorders>
            <w:shd w:val="clear" w:color="auto" w:fill="99CCFF"/>
            <w:noWrap/>
            <w:vAlign w:val="center"/>
            <w:hideMark/>
          </w:tcPr>
          <w:p w14:paraId="7F3B416E" w14:textId="7D63A180"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2023</w:t>
            </w:r>
            <w:r w:rsidR="00303EB7">
              <w:rPr>
                <w:rFonts w:ascii="Arial" w:eastAsia="Times New Roman" w:hAnsi="Arial" w:cs="Arial"/>
                <w:b/>
                <w:bCs/>
                <w:sz w:val="18"/>
                <w:szCs w:val="18"/>
                <w:lang w:val="sr-Cyrl-RS"/>
              </w:rPr>
              <w:t>.</w:t>
            </w:r>
          </w:p>
        </w:tc>
        <w:tc>
          <w:tcPr>
            <w:tcW w:w="1459" w:type="dxa"/>
            <w:tcBorders>
              <w:top w:val="single" w:sz="8" w:space="0" w:color="auto"/>
              <w:left w:val="nil"/>
              <w:bottom w:val="single" w:sz="8" w:space="0" w:color="auto"/>
              <w:right w:val="nil"/>
            </w:tcBorders>
            <w:shd w:val="clear" w:color="auto" w:fill="99CCFF"/>
            <w:noWrap/>
            <w:vAlign w:val="center"/>
            <w:hideMark/>
          </w:tcPr>
          <w:p w14:paraId="1F4A12F2" w14:textId="72379D3D"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2024</w:t>
            </w:r>
            <w:r w:rsidR="00303EB7">
              <w:rPr>
                <w:rFonts w:ascii="Arial" w:eastAsia="Times New Roman" w:hAnsi="Arial" w:cs="Arial"/>
                <w:b/>
                <w:bCs/>
                <w:sz w:val="18"/>
                <w:szCs w:val="18"/>
                <w:lang w:val="sr-Cyrl-RS"/>
              </w:rPr>
              <w:t>.</w:t>
            </w:r>
          </w:p>
        </w:tc>
        <w:tc>
          <w:tcPr>
            <w:tcW w:w="1459" w:type="dxa"/>
            <w:tcBorders>
              <w:top w:val="single" w:sz="8" w:space="0" w:color="auto"/>
              <w:left w:val="single" w:sz="8" w:space="0" w:color="auto"/>
              <w:bottom w:val="single" w:sz="8" w:space="0" w:color="auto"/>
              <w:right w:val="single" w:sz="8" w:space="0" w:color="auto"/>
            </w:tcBorders>
            <w:shd w:val="clear" w:color="auto" w:fill="99CCFF"/>
            <w:noWrap/>
            <w:vAlign w:val="center"/>
            <w:hideMark/>
          </w:tcPr>
          <w:p w14:paraId="77C59CA9" w14:textId="5A98232C"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2025</w:t>
            </w:r>
            <w:r w:rsidR="00303EB7">
              <w:rPr>
                <w:rFonts w:ascii="Arial" w:eastAsia="Times New Roman" w:hAnsi="Arial" w:cs="Arial"/>
                <w:b/>
                <w:bCs/>
                <w:sz w:val="18"/>
                <w:szCs w:val="18"/>
                <w:lang w:val="sr-Cyrl-RS"/>
              </w:rPr>
              <w:t>.</w:t>
            </w:r>
          </w:p>
        </w:tc>
      </w:tr>
      <w:tr w:rsidR="00EA0FD7" w:rsidRPr="00EA0FD7" w14:paraId="4D882569" w14:textId="77777777" w:rsidTr="00EA0FD7">
        <w:trPr>
          <w:trHeight w:val="128"/>
        </w:trPr>
        <w:tc>
          <w:tcPr>
            <w:tcW w:w="783" w:type="dxa"/>
            <w:tcBorders>
              <w:top w:val="nil"/>
              <w:left w:val="single" w:sz="8" w:space="0" w:color="auto"/>
              <w:bottom w:val="single" w:sz="4" w:space="0" w:color="auto"/>
              <w:right w:val="single" w:sz="4" w:space="0" w:color="auto"/>
            </w:tcBorders>
            <w:noWrap/>
            <w:vAlign w:val="bottom"/>
            <w:hideMark/>
          </w:tcPr>
          <w:p w14:paraId="7A2888BD" w14:textId="77777777" w:rsidR="00EA0FD7" w:rsidRPr="00EA0FD7" w:rsidRDefault="00EA0FD7" w:rsidP="00EA0FD7">
            <w:pPr>
              <w:spacing w:after="0" w:line="240" w:lineRule="auto"/>
              <w:jc w:val="center"/>
              <w:rPr>
                <w:rFonts w:ascii="Arial" w:eastAsia="Times New Roman" w:hAnsi="Arial" w:cs="Arial"/>
                <w:sz w:val="18"/>
                <w:szCs w:val="18"/>
                <w:lang w:val="sr-Cyrl-RS"/>
              </w:rPr>
            </w:pPr>
            <w:r w:rsidRPr="00EA0FD7">
              <w:rPr>
                <w:rFonts w:ascii="Arial" w:eastAsia="Times New Roman" w:hAnsi="Arial" w:cs="Arial"/>
                <w:sz w:val="18"/>
                <w:szCs w:val="18"/>
                <w:lang w:val="sr-Cyrl-RS"/>
              </w:rPr>
              <w:t>711100</w:t>
            </w:r>
          </w:p>
        </w:tc>
        <w:tc>
          <w:tcPr>
            <w:tcW w:w="3119" w:type="dxa"/>
            <w:tcBorders>
              <w:top w:val="nil"/>
              <w:left w:val="nil"/>
              <w:bottom w:val="single" w:sz="4" w:space="0" w:color="auto"/>
              <w:right w:val="single" w:sz="8" w:space="0" w:color="auto"/>
            </w:tcBorders>
            <w:noWrap/>
            <w:vAlign w:val="bottom"/>
            <w:hideMark/>
          </w:tcPr>
          <w:p w14:paraId="0012AC2E"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Порези на добит појединаца</w:t>
            </w:r>
          </w:p>
        </w:tc>
        <w:tc>
          <w:tcPr>
            <w:tcW w:w="1459" w:type="dxa"/>
            <w:tcBorders>
              <w:top w:val="nil"/>
              <w:left w:val="nil"/>
              <w:bottom w:val="single" w:sz="4" w:space="0" w:color="auto"/>
              <w:right w:val="nil"/>
            </w:tcBorders>
            <w:noWrap/>
            <w:vAlign w:val="bottom"/>
            <w:hideMark/>
          </w:tcPr>
          <w:p w14:paraId="67641B6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1,800,000</w:t>
            </w:r>
          </w:p>
        </w:tc>
        <w:tc>
          <w:tcPr>
            <w:tcW w:w="1459" w:type="dxa"/>
            <w:tcBorders>
              <w:top w:val="nil"/>
              <w:left w:val="single" w:sz="8" w:space="0" w:color="auto"/>
              <w:bottom w:val="single" w:sz="4" w:space="0" w:color="auto"/>
              <w:right w:val="single" w:sz="8" w:space="0" w:color="auto"/>
            </w:tcBorders>
            <w:noWrap/>
            <w:vAlign w:val="bottom"/>
            <w:hideMark/>
          </w:tcPr>
          <w:p w14:paraId="067B3AB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1,800,000</w:t>
            </w:r>
          </w:p>
        </w:tc>
        <w:tc>
          <w:tcPr>
            <w:tcW w:w="1459" w:type="dxa"/>
            <w:tcBorders>
              <w:top w:val="nil"/>
              <w:left w:val="nil"/>
              <w:bottom w:val="single" w:sz="4" w:space="0" w:color="auto"/>
              <w:right w:val="nil"/>
            </w:tcBorders>
            <w:noWrap/>
            <w:vAlign w:val="bottom"/>
            <w:hideMark/>
          </w:tcPr>
          <w:p w14:paraId="408799B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1,800,000</w:t>
            </w:r>
          </w:p>
        </w:tc>
        <w:tc>
          <w:tcPr>
            <w:tcW w:w="1459" w:type="dxa"/>
            <w:tcBorders>
              <w:top w:val="nil"/>
              <w:left w:val="single" w:sz="8" w:space="0" w:color="auto"/>
              <w:bottom w:val="single" w:sz="4" w:space="0" w:color="auto"/>
              <w:right w:val="single" w:sz="8" w:space="0" w:color="auto"/>
            </w:tcBorders>
            <w:noWrap/>
            <w:vAlign w:val="bottom"/>
            <w:hideMark/>
          </w:tcPr>
          <w:p w14:paraId="2D205C7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1,800,000</w:t>
            </w:r>
          </w:p>
        </w:tc>
      </w:tr>
      <w:tr w:rsidR="00EA0FD7" w:rsidRPr="00EA0FD7" w14:paraId="1E8902A4" w14:textId="77777777" w:rsidTr="00EA0FD7">
        <w:trPr>
          <w:trHeight w:val="128"/>
        </w:trPr>
        <w:tc>
          <w:tcPr>
            <w:tcW w:w="783" w:type="dxa"/>
            <w:tcBorders>
              <w:top w:val="nil"/>
              <w:left w:val="single" w:sz="8" w:space="0" w:color="auto"/>
              <w:bottom w:val="single" w:sz="4" w:space="0" w:color="auto"/>
              <w:right w:val="single" w:sz="4" w:space="0" w:color="auto"/>
            </w:tcBorders>
            <w:noWrap/>
            <w:vAlign w:val="bottom"/>
            <w:hideMark/>
          </w:tcPr>
          <w:p w14:paraId="7B10015C" w14:textId="77777777" w:rsidR="00EA0FD7" w:rsidRPr="00EA0FD7" w:rsidRDefault="00EA0FD7" w:rsidP="00EA0FD7">
            <w:pPr>
              <w:spacing w:after="0" w:line="240" w:lineRule="auto"/>
              <w:jc w:val="center"/>
              <w:rPr>
                <w:rFonts w:ascii="Arial" w:eastAsia="Times New Roman" w:hAnsi="Arial" w:cs="Arial"/>
                <w:sz w:val="18"/>
                <w:szCs w:val="18"/>
                <w:lang w:val="sr-Cyrl-RS"/>
              </w:rPr>
            </w:pPr>
            <w:r w:rsidRPr="00EA0FD7">
              <w:rPr>
                <w:rFonts w:ascii="Arial" w:eastAsia="Times New Roman" w:hAnsi="Arial" w:cs="Arial"/>
                <w:sz w:val="18"/>
                <w:szCs w:val="18"/>
                <w:lang w:val="sr-Cyrl-RS"/>
              </w:rPr>
              <w:t>711200</w:t>
            </w:r>
          </w:p>
        </w:tc>
        <w:tc>
          <w:tcPr>
            <w:tcW w:w="3119" w:type="dxa"/>
            <w:tcBorders>
              <w:top w:val="nil"/>
              <w:left w:val="nil"/>
              <w:bottom w:val="single" w:sz="4" w:space="0" w:color="auto"/>
              <w:right w:val="single" w:sz="8" w:space="0" w:color="auto"/>
            </w:tcBorders>
            <w:noWrap/>
            <w:vAlign w:val="bottom"/>
            <w:hideMark/>
          </w:tcPr>
          <w:p w14:paraId="30112CEB"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Порез на добит предузећа</w:t>
            </w:r>
          </w:p>
        </w:tc>
        <w:tc>
          <w:tcPr>
            <w:tcW w:w="1459" w:type="dxa"/>
            <w:tcBorders>
              <w:top w:val="nil"/>
              <w:left w:val="nil"/>
              <w:bottom w:val="single" w:sz="4" w:space="0" w:color="auto"/>
              <w:right w:val="nil"/>
            </w:tcBorders>
            <w:noWrap/>
            <w:vAlign w:val="bottom"/>
            <w:hideMark/>
          </w:tcPr>
          <w:p w14:paraId="1DF50F0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15,200,000</w:t>
            </w:r>
          </w:p>
        </w:tc>
        <w:tc>
          <w:tcPr>
            <w:tcW w:w="1459" w:type="dxa"/>
            <w:tcBorders>
              <w:top w:val="nil"/>
              <w:left w:val="single" w:sz="8" w:space="0" w:color="auto"/>
              <w:bottom w:val="single" w:sz="4" w:space="0" w:color="auto"/>
              <w:right w:val="single" w:sz="8" w:space="0" w:color="auto"/>
            </w:tcBorders>
            <w:noWrap/>
            <w:vAlign w:val="bottom"/>
            <w:hideMark/>
          </w:tcPr>
          <w:p w14:paraId="5D4D9F2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15,300,000</w:t>
            </w:r>
          </w:p>
        </w:tc>
        <w:tc>
          <w:tcPr>
            <w:tcW w:w="1459" w:type="dxa"/>
            <w:tcBorders>
              <w:top w:val="nil"/>
              <w:left w:val="nil"/>
              <w:bottom w:val="single" w:sz="4" w:space="0" w:color="auto"/>
              <w:right w:val="nil"/>
            </w:tcBorders>
            <w:noWrap/>
            <w:vAlign w:val="bottom"/>
            <w:hideMark/>
          </w:tcPr>
          <w:p w14:paraId="05E0B7A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15,300,000</w:t>
            </w:r>
          </w:p>
        </w:tc>
        <w:tc>
          <w:tcPr>
            <w:tcW w:w="1459" w:type="dxa"/>
            <w:tcBorders>
              <w:top w:val="nil"/>
              <w:left w:val="single" w:sz="8" w:space="0" w:color="auto"/>
              <w:bottom w:val="single" w:sz="4" w:space="0" w:color="auto"/>
              <w:right w:val="single" w:sz="8" w:space="0" w:color="auto"/>
            </w:tcBorders>
            <w:noWrap/>
            <w:vAlign w:val="bottom"/>
            <w:hideMark/>
          </w:tcPr>
          <w:p w14:paraId="18F2328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15,300,000</w:t>
            </w:r>
          </w:p>
        </w:tc>
      </w:tr>
      <w:tr w:rsidR="00EA0FD7" w:rsidRPr="00EA0FD7" w14:paraId="1B64BD84" w14:textId="77777777" w:rsidTr="00EA0FD7">
        <w:trPr>
          <w:trHeight w:val="128"/>
        </w:trPr>
        <w:tc>
          <w:tcPr>
            <w:tcW w:w="783" w:type="dxa"/>
            <w:tcBorders>
              <w:top w:val="nil"/>
              <w:left w:val="single" w:sz="8" w:space="0" w:color="auto"/>
              <w:bottom w:val="single" w:sz="4" w:space="0" w:color="auto"/>
              <w:right w:val="single" w:sz="4" w:space="0" w:color="auto"/>
            </w:tcBorders>
            <w:noWrap/>
            <w:vAlign w:val="bottom"/>
            <w:hideMark/>
          </w:tcPr>
          <w:p w14:paraId="09371DC1" w14:textId="77777777" w:rsidR="00EA0FD7" w:rsidRPr="00EA0FD7" w:rsidRDefault="00EA0FD7" w:rsidP="00EA0FD7">
            <w:pPr>
              <w:spacing w:after="0" w:line="240" w:lineRule="auto"/>
              <w:jc w:val="center"/>
              <w:rPr>
                <w:rFonts w:ascii="Arial" w:eastAsia="Times New Roman" w:hAnsi="Arial" w:cs="Arial"/>
                <w:sz w:val="18"/>
                <w:szCs w:val="18"/>
                <w:lang w:val="sr-Cyrl-RS"/>
              </w:rPr>
            </w:pPr>
            <w:r w:rsidRPr="00EA0FD7">
              <w:rPr>
                <w:rFonts w:ascii="Arial" w:eastAsia="Times New Roman" w:hAnsi="Arial" w:cs="Arial"/>
                <w:sz w:val="18"/>
                <w:szCs w:val="18"/>
                <w:lang w:val="sr-Cyrl-RS"/>
              </w:rPr>
              <w:t>713100</w:t>
            </w:r>
          </w:p>
        </w:tc>
        <w:tc>
          <w:tcPr>
            <w:tcW w:w="3119" w:type="dxa"/>
            <w:tcBorders>
              <w:top w:val="nil"/>
              <w:left w:val="nil"/>
              <w:bottom w:val="single" w:sz="4" w:space="0" w:color="auto"/>
              <w:right w:val="single" w:sz="8" w:space="0" w:color="auto"/>
            </w:tcBorders>
            <w:noWrap/>
            <w:vAlign w:val="bottom"/>
            <w:hideMark/>
          </w:tcPr>
          <w:p w14:paraId="227D363A"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Порези на плате</w:t>
            </w:r>
          </w:p>
        </w:tc>
        <w:tc>
          <w:tcPr>
            <w:tcW w:w="1459" w:type="dxa"/>
            <w:tcBorders>
              <w:top w:val="nil"/>
              <w:left w:val="nil"/>
              <w:bottom w:val="single" w:sz="4" w:space="0" w:color="auto"/>
              <w:right w:val="nil"/>
            </w:tcBorders>
            <w:noWrap/>
            <w:vAlign w:val="bottom"/>
            <w:hideMark/>
          </w:tcPr>
          <w:p w14:paraId="389622F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11,000,000</w:t>
            </w:r>
          </w:p>
        </w:tc>
        <w:tc>
          <w:tcPr>
            <w:tcW w:w="1459" w:type="dxa"/>
            <w:tcBorders>
              <w:top w:val="nil"/>
              <w:left w:val="single" w:sz="8" w:space="0" w:color="auto"/>
              <w:bottom w:val="single" w:sz="4" w:space="0" w:color="auto"/>
              <w:right w:val="single" w:sz="8" w:space="0" w:color="auto"/>
            </w:tcBorders>
            <w:noWrap/>
            <w:vAlign w:val="bottom"/>
            <w:hideMark/>
          </w:tcPr>
          <w:p w14:paraId="72C92E8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11,000,000</w:t>
            </w:r>
          </w:p>
        </w:tc>
        <w:tc>
          <w:tcPr>
            <w:tcW w:w="1459" w:type="dxa"/>
            <w:tcBorders>
              <w:top w:val="nil"/>
              <w:left w:val="nil"/>
              <w:bottom w:val="single" w:sz="4" w:space="0" w:color="auto"/>
              <w:right w:val="nil"/>
            </w:tcBorders>
            <w:noWrap/>
            <w:vAlign w:val="bottom"/>
            <w:hideMark/>
          </w:tcPr>
          <w:p w14:paraId="2B0B037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11,000,000</w:t>
            </w:r>
          </w:p>
        </w:tc>
        <w:tc>
          <w:tcPr>
            <w:tcW w:w="1459" w:type="dxa"/>
            <w:tcBorders>
              <w:top w:val="nil"/>
              <w:left w:val="single" w:sz="8" w:space="0" w:color="auto"/>
              <w:bottom w:val="single" w:sz="4" w:space="0" w:color="auto"/>
              <w:right w:val="single" w:sz="8" w:space="0" w:color="auto"/>
            </w:tcBorders>
            <w:noWrap/>
            <w:vAlign w:val="bottom"/>
            <w:hideMark/>
          </w:tcPr>
          <w:p w14:paraId="6090504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11,000,000</w:t>
            </w:r>
          </w:p>
        </w:tc>
      </w:tr>
      <w:tr w:rsidR="00EA0FD7" w:rsidRPr="00EA0FD7" w14:paraId="22D003B3" w14:textId="77777777" w:rsidTr="00EA0FD7">
        <w:trPr>
          <w:trHeight w:val="128"/>
        </w:trPr>
        <w:tc>
          <w:tcPr>
            <w:tcW w:w="783" w:type="dxa"/>
            <w:tcBorders>
              <w:top w:val="nil"/>
              <w:left w:val="single" w:sz="8" w:space="0" w:color="auto"/>
              <w:bottom w:val="single" w:sz="4" w:space="0" w:color="auto"/>
              <w:right w:val="single" w:sz="4" w:space="0" w:color="auto"/>
            </w:tcBorders>
            <w:noWrap/>
            <w:vAlign w:val="bottom"/>
            <w:hideMark/>
          </w:tcPr>
          <w:p w14:paraId="02C71EE3" w14:textId="77777777" w:rsidR="00EA0FD7" w:rsidRPr="00EA0FD7" w:rsidRDefault="00EA0FD7" w:rsidP="00EA0FD7">
            <w:pPr>
              <w:spacing w:after="0" w:line="240" w:lineRule="auto"/>
              <w:jc w:val="center"/>
              <w:rPr>
                <w:rFonts w:ascii="Arial" w:eastAsia="Times New Roman" w:hAnsi="Arial" w:cs="Arial"/>
                <w:sz w:val="18"/>
                <w:szCs w:val="18"/>
                <w:lang w:val="sr-Cyrl-RS"/>
              </w:rPr>
            </w:pPr>
            <w:r w:rsidRPr="00EA0FD7">
              <w:rPr>
                <w:rFonts w:ascii="Arial" w:eastAsia="Times New Roman" w:hAnsi="Arial" w:cs="Arial"/>
                <w:sz w:val="18"/>
                <w:szCs w:val="18"/>
                <w:lang w:val="sr-Cyrl-RS"/>
              </w:rPr>
              <w:t>714100</w:t>
            </w:r>
          </w:p>
        </w:tc>
        <w:tc>
          <w:tcPr>
            <w:tcW w:w="3119" w:type="dxa"/>
            <w:tcBorders>
              <w:top w:val="nil"/>
              <w:left w:val="nil"/>
              <w:bottom w:val="single" w:sz="4" w:space="0" w:color="auto"/>
              <w:right w:val="single" w:sz="8" w:space="0" w:color="auto"/>
            </w:tcBorders>
            <w:noWrap/>
            <w:vAlign w:val="bottom"/>
            <w:hideMark/>
          </w:tcPr>
          <w:p w14:paraId="2BF8AB34"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Порези на имовину</w:t>
            </w:r>
          </w:p>
        </w:tc>
        <w:tc>
          <w:tcPr>
            <w:tcW w:w="1459" w:type="dxa"/>
            <w:tcBorders>
              <w:top w:val="nil"/>
              <w:left w:val="nil"/>
              <w:bottom w:val="single" w:sz="4" w:space="0" w:color="auto"/>
              <w:right w:val="nil"/>
            </w:tcBorders>
            <w:noWrap/>
            <w:vAlign w:val="bottom"/>
            <w:hideMark/>
          </w:tcPr>
          <w:p w14:paraId="7DCCC15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1,900,000</w:t>
            </w:r>
          </w:p>
        </w:tc>
        <w:tc>
          <w:tcPr>
            <w:tcW w:w="1459" w:type="dxa"/>
            <w:tcBorders>
              <w:top w:val="nil"/>
              <w:left w:val="single" w:sz="8" w:space="0" w:color="auto"/>
              <w:bottom w:val="single" w:sz="4" w:space="0" w:color="auto"/>
              <w:right w:val="single" w:sz="8" w:space="0" w:color="auto"/>
            </w:tcBorders>
            <w:noWrap/>
            <w:vAlign w:val="bottom"/>
            <w:hideMark/>
          </w:tcPr>
          <w:p w14:paraId="3321C9B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1,900,000</w:t>
            </w:r>
          </w:p>
        </w:tc>
        <w:tc>
          <w:tcPr>
            <w:tcW w:w="1459" w:type="dxa"/>
            <w:tcBorders>
              <w:top w:val="nil"/>
              <w:left w:val="nil"/>
              <w:bottom w:val="single" w:sz="4" w:space="0" w:color="auto"/>
              <w:right w:val="nil"/>
            </w:tcBorders>
            <w:noWrap/>
            <w:vAlign w:val="bottom"/>
            <w:hideMark/>
          </w:tcPr>
          <w:p w14:paraId="3245859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1,900,000</w:t>
            </w:r>
          </w:p>
        </w:tc>
        <w:tc>
          <w:tcPr>
            <w:tcW w:w="1459" w:type="dxa"/>
            <w:tcBorders>
              <w:top w:val="nil"/>
              <w:left w:val="single" w:sz="8" w:space="0" w:color="auto"/>
              <w:bottom w:val="single" w:sz="4" w:space="0" w:color="auto"/>
              <w:right w:val="single" w:sz="8" w:space="0" w:color="auto"/>
            </w:tcBorders>
            <w:noWrap/>
            <w:vAlign w:val="bottom"/>
            <w:hideMark/>
          </w:tcPr>
          <w:p w14:paraId="3021FC1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1,900,000</w:t>
            </w:r>
          </w:p>
        </w:tc>
      </w:tr>
      <w:tr w:rsidR="00EA0FD7" w:rsidRPr="00EA0FD7" w14:paraId="39276D54" w14:textId="77777777" w:rsidTr="00EA0FD7">
        <w:trPr>
          <w:trHeight w:val="128"/>
        </w:trPr>
        <w:tc>
          <w:tcPr>
            <w:tcW w:w="783" w:type="dxa"/>
            <w:tcBorders>
              <w:top w:val="nil"/>
              <w:left w:val="single" w:sz="8" w:space="0" w:color="auto"/>
              <w:bottom w:val="single" w:sz="4" w:space="0" w:color="auto"/>
              <w:right w:val="single" w:sz="4" w:space="0" w:color="auto"/>
            </w:tcBorders>
            <w:noWrap/>
            <w:vAlign w:val="bottom"/>
            <w:hideMark/>
          </w:tcPr>
          <w:p w14:paraId="212AB69B" w14:textId="77777777" w:rsidR="00EA0FD7" w:rsidRPr="00EA0FD7" w:rsidRDefault="00EA0FD7" w:rsidP="00EA0FD7">
            <w:pPr>
              <w:spacing w:after="0" w:line="240" w:lineRule="auto"/>
              <w:jc w:val="center"/>
              <w:rPr>
                <w:rFonts w:ascii="Arial" w:eastAsia="Times New Roman" w:hAnsi="Arial" w:cs="Arial"/>
                <w:sz w:val="18"/>
                <w:szCs w:val="18"/>
                <w:lang w:val="sr-Cyrl-RS"/>
              </w:rPr>
            </w:pPr>
            <w:r w:rsidRPr="00EA0FD7">
              <w:rPr>
                <w:rFonts w:ascii="Arial" w:eastAsia="Times New Roman" w:hAnsi="Arial" w:cs="Arial"/>
                <w:sz w:val="18"/>
                <w:szCs w:val="18"/>
                <w:lang w:val="sr-Cyrl-RS"/>
              </w:rPr>
              <w:t>715200</w:t>
            </w:r>
          </w:p>
        </w:tc>
        <w:tc>
          <w:tcPr>
            <w:tcW w:w="3119" w:type="dxa"/>
            <w:tcBorders>
              <w:top w:val="nil"/>
              <w:left w:val="nil"/>
              <w:bottom w:val="single" w:sz="4" w:space="0" w:color="auto"/>
              <w:right w:val="single" w:sz="8" w:space="0" w:color="auto"/>
            </w:tcBorders>
            <w:noWrap/>
            <w:vAlign w:val="bottom"/>
            <w:hideMark/>
          </w:tcPr>
          <w:p w14:paraId="7EAC2435"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Порез на промет посебних услуга</w:t>
            </w:r>
          </w:p>
        </w:tc>
        <w:tc>
          <w:tcPr>
            <w:tcW w:w="1459" w:type="dxa"/>
            <w:tcBorders>
              <w:top w:val="nil"/>
              <w:left w:val="nil"/>
              <w:bottom w:val="single" w:sz="4" w:space="0" w:color="auto"/>
              <w:right w:val="nil"/>
            </w:tcBorders>
            <w:noWrap/>
            <w:vAlign w:val="bottom"/>
            <w:hideMark/>
          </w:tcPr>
          <w:p w14:paraId="2CF6058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2,100,000</w:t>
            </w:r>
          </w:p>
        </w:tc>
        <w:tc>
          <w:tcPr>
            <w:tcW w:w="1459" w:type="dxa"/>
            <w:tcBorders>
              <w:top w:val="nil"/>
              <w:left w:val="single" w:sz="8" w:space="0" w:color="auto"/>
              <w:bottom w:val="single" w:sz="4" w:space="0" w:color="auto"/>
              <w:right w:val="single" w:sz="8" w:space="0" w:color="auto"/>
            </w:tcBorders>
            <w:noWrap/>
            <w:vAlign w:val="bottom"/>
            <w:hideMark/>
          </w:tcPr>
          <w:p w14:paraId="753F0B0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2,132,000</w:t>
            </w:r>
          </w:p>
        </w:tc>
        <w:tc>
          <w:tcPr>
            <w:tcW w:w="1459" w:type="dxa"/>
            <w:tcBorders>
              <w:top w:val="nil"/>
              <w:left w:val="nil"/>
              <w:bottom w:val="single" w:sz="4" w:space="0" w:color="auto"/>
              <w:right w:val="nil"/>
            </w:tcBorders>
            <w:noWrap/>
            <w:vAlign w:val="bottom"/>
            <w:hideMark/>
          </w:tcPr>
          <w:p w14:paraId="0E97A0A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2,132,000</w:t>
            </w:r>
          </w:p>
        </w:tc>
        <w:tc>
          <w:tcPr>
            <w:tcW w:w="1459" w:type="dxa"/>
            <w:tcBorders>
              <w:top w:val="nil"/>
              <w:left w:val="single" w:sz="8" w:space="0" w:color="auto"/>
              <w:bottom w:val="single" w:sz="4" w:space="0" w:color="auto"/>
              <w:right w:val="single" w:sz="8" w:space="0" w:color="auto"/>
            </w:tcBorders>
            <w:noWrap/>
            <w:vAlign w:val="bottom"/>
            <w:hideMark/>
          </w:tcPr>
          <w:p w14:paraId="69FA0F3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2,132,000</w:t>
            </w:r>
          </w:p>
        </w:tc>
      </w:tr>
      <w:tr w:rsidR="00EA0FD7" w:rsidRPr="00EA0FD7" w14:paraId="580B702D" w14:textId="77777777" w:rsidTr="00EA0FD7">
        <w:trPr>
          <w:trHeight w:val="368"/>
        </w:trPr>
        <w:tc>
          <w:tcPr>
            <w:tcW w:w="783" w:type="dxa"/>
            <w:tcBorders>
              <w:top w:val="nil"/>
              <w:left w:val="single" w:sz="8" w:space="0" w:color="auto"/>
              <w:bottom w:val="single" w:sz="8" w:space="0" w:color="auto"/>
              <w:right w:val="single" w:sz="4" w:space="0" w:color="auto"/>
            </w:tcBorders>
            <w:noWrap/>
            <w:vAlign w:val="bottom"/>
            <w:hideMark/>
          </w:tcPr>
          <w:p w14:paraId="389A0502" w14:textId="77777777" w:rsidR="00EA0FD7" w:rsidRPr="00EA0FD7" w:rsidRDefault="00EA0FD7" w:rsidP="00EA0FD7">
            <w:pPr>
              <w:spacing w:after="0" w:line="240" w:lineRule="auto"/>
              <w:jc w:val="center"/>
              <w:rPr>
                <w:rFonts w:ascii="Arial" w:eastAsia="Times New Roman" w:hAnsi="Arial" w:cs="Arial"/>
                <w:sz w:val="18"/>
                <w:szCs w:val="18"/>
                <w:lang w:val="sr-Cyrl-RS"/>
              </w:rPr>
            </w:pPr>
            <w:r w:rsidRPr="00EA0FD7">
              <w:rPr>
                <w:rFonts w:ascii="Arial" w:eastAsia="Times New Roman" w:hAnsi="Arial" w:cs="Arial"/>
                <w:sz w:val="18"/>
                <w:szCs w:val="18"/>
                <w:lang w:val="sr-Cyrl-RS"/>
              </w:rPr>
              <w:t>715300</w:t>
            </w:r>
          </w:p>
        </w:tc>
        <w:tc>
          <w:tcPr>
            <w:tcW w:w="3119" w:type="dxa"/>
            <w:tcBorders>
              <w:top w:val="nil"/>
              <w:left w:val="nil"/>
              <w:bottom w:val="single" w:sz="8" w:space="0" w:color="auto"/>
              <w:right w:val="single" w:sz="8" w:space="0" w:color="auto"/>
            </w:tcBorders>
            <w:vAlign w:val="bottom"/>
            <w:hideMark/>
          </w:tcPr>
          <w:p w14:paraId="07BF013C" w14:textId="00BE20D8"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П</w:t>
            </w:r>
            <w:r w:rsidR="00303EB7">
              <w:rPr>
                <w:rFonts w:ascii="Arial" w:eastAsia="Times New Roman" w:hAnsi="Arial" w:cs="Arial"/>
                <w:sz w:val="18"/>
                <w:szCs w:val="18"/>
                <w:lang w:val="sr-Cyrl-RS"/>
              </w:rPr>
              <w:t>орези</w:t>
            </w:r>
            <w:r w:rsidRPr="00EA0FD7">
              <w:rPr>
                <w:rFonts w:ascii="Arial" w:eastAsia="Times New Roman" w:hAnsi="Arial" w:cs="Arial"/>
                <w:sz w:val="18"/>
                <w:szCs w:val="18"/>
                <w:lang w:val="sr-Cyrl-RS"/>
              </w:rPr>
              <w:t xml:space="preserve"> на употребу добара или на одобрења за кориш</w:t>
            </w:r>
            <w:r w:rsidR="00303EB7">
              <w:rPr>
                <w:rFonts w:ascii="Arial" w:eastAsia="Times New Roman" w:hAnsi="Arial" w:cs="Arial"/>
                <w:sz w:val="18"/>
                <w:szCs w:val="18"/>
                <w:lang w:val="sr-Cyrl-RS"/>
              </w:rPr>
              <w:t>ћ</w:t>
            </w:r>
            <w:r w:rsidRPr="00EA0FD7">
              <w:rPr>
                <w:rFonts w:ascii="Arial" w:eastAsia="Times New Roman" w:hAnsi="Arial" w:cs="Arial"/>
                <w:sz w:val="18"/>
                <w:szCs w:val="18"/>
                <w:lang w:val="sr-Cyrl-RS"/>
              </w:rPr>
              <w:t>ење добара или за извођење активности</w:t>
            </w:r>
          </w:p>
        </w:tc>
        <w:tc>
          <w:tcPr>
            <w:tcW w:w="1459" w:type="dxa"/>
            <w:noWrap/>
            <w:vAlign w:val="bottom"/>
            <w:hideMark/>
          </w:tcPr>
          <w:p w14:paraId="459F16A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1,000,000</w:t>
            </w:r>
          </w:p>
        </w:tc>
        <w:tc>
          <w:tcPr>
            <w:tcW w:w="1459" w:type="dxa"/>
            <w:tcBorders>
              <w:top w:val="nil"/>
              <w:left w:val="single" w:sz="8" w:space="0" w:color="auto"/>
              <w:bottom w:val="single" w:sz="8" w:space="0" w:color="auto"/>
              <w:right w:val="single" w:sz="8" w:space="0" w:color="auto"/>
            </w:tcBorders>
            <w:noWrap/>
            <w:vAlign w:val="bottom"/>
            <w:hideMark/>
          </w:tcPr>
          <w:p w14:paraId="0335569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1,000,000</w:t>
            </w:r>
          </w:p>
        </w:tc>
        <w:tc>
          <w:tcPr>
            <w:tcW w:w="1459" w:type="dxa"/>
            <w:noWrap/>
            <w:vAlign w:val="bottom"/>
            <w:hideMark/>
          </w:tcPr>
          <w:p w14:paraId="3048C39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1,000,000</w:t>
            </w:r>
          </w:p>
        </w:tc>
        <w:tc>
          <w:tcPr>
            <w:tcW w:w="1459" w:type="dxa"/>
            <w:tcBorders>
              <w:top w:val="nil"/>
              <w:left w:val="single" w:sz="8" w:space="0" w:color="auto"/>
              <w:bottom w:val="single" w:sz="8" w:space="0" w:color="auto"/>
              <w:right w:val="single" w:sz="8" w:space="0" w:color="auto"/>
            </w:tcBorders>
            <w:noWrap/>
            <w:vAlign w:val="bottom"/>
            <w:hideMark/>
          </w:tcPr>
          <w:p w14:paraId="728449A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1,000,000</w:t>
            </w:r>
          </w:p>
        </w:tc>
      </w:tr>
      <w:tr w:rsidR="00EA0FD7" w:rsidRPr="00EA0FD7" w14:paraId="5B8078E8" w14:textId="77777777" w:rsidTr="00EA0FD7">
        <w:trPr>
          <w:trHeight w:val="225"/>
        </w:trPr>
        <w:tc>
          <w:tcPr>
            <w:tcW w:w="783" w:type="dxa"/>
            <w:tcBorders>
              <w:top w:val="nil"/>
              <w:left w:val="single" w:sz="8" w:space="0" w:color="auto"/>
              <w:bottom w:val="single" w:sz="8" w:space="0" w:color="auto"/>
              <w:right w:val="nil"/>
            </w:tcBorders>
            <w:shd w:val="clear" w:color="auto" w:fill="99CCFF"/>
            <w:noWrap/>
            <w:vAlign w:val="bottom"/>
            <w:hideMark/>
          </w:tcPr>
          <w:p w14:paraId="49DB51C7"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3119" w:type="dxa"/>
            <w:tcBorders>
              <w:top w:val="nil"/>
              <w:left w:val="single" w:sz="8" w:space="0" w:color="auto"/>
              <w:bottom w:val="single" w:sz="8" w:space="0" w:color="auto"/>
              <w:right w:val="single" w:sz="8" w:space="0" w:color="auto"/>
            </w:tcBorders>
            <w:shd w:val="clear" w:color="auto" w:fill="99CCFF"/>
            <w:noWrap/>
            <w:vAlign w:val="bottom"/>
            <w:hideMark/>
          </w:tcPr>
          <w:p w14:paraId="7DDD1A8D"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УКУПНО</w:t>
            </w:r>
          </w:p>
        </w:tc>
        <w:tc>
          <w:tcPr>
            <w:tcW w:w="1459" w:type="dxa"/>
            <w:tcBorders>
              <w:top w:val="single" w:sz="8" w:space="0" w:color="auto"/>
              <w:left w:val="nil"/>
              <w:bottom w:val="single" w:sz="8" w:space="0" w:color="auto"/>
              <w:right w:val="nil"/>
            </w:tcBorders>
            <w:shd w:val="clear" w:color="auto" w:fill="99CCFF"/>
            <w:noWrap/>
            <w:vAlign w:val="bottom"/>
            <w:hideMark/>
          </w:tcPr>
          <w:p w14:paraId="26509C9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33,000,000</w:t>
            </w:r>
          </w:p>
        </w:tc>
        <w:tc>
          <w:tcPr>
            <w:tcW w:w="1459" w:type="dxa"/>
            <w:tcBorders>
              <w:top w:val="nil"/>
              <w:left w:val="single" w:sz="8" w:space="0" w:color="auto"/>
              <w:bottom w:val="single" w:sz="8" w:space="0" w:color="auto"/>
              <w:right w:val="single" w:sz="8" w:space="0" w:color="auto"/>
            </w:tcBorders>
            <w:shd w:val="clear" w:color="auto" w:fill="99CCFF"/>
            <w:noWrap/>
            <w:vAlign w:val="bottom"/>
            <w:hideMark/>
          </w:tcPr>
          <w:p w14:paraId="7D933E9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33,132,000</w:t>
            </w:r>
          </w:p>
        </w:tc>
        <w:tc>
          <w:tcPr>
            <w:tcW w:w="1459" w:type="dxa"/>
            <w:tcBorders>
              <w:top w:val="single" w:sz="8" w:space="0" w:color="auto"/>
              <w:left w:val="nil"/>
              <w:bottom w:val="single" w:sz="8" w:space="0" w:color="auto"/>
              <w:right w:val="nil"/>
            </w:tcBorders>
            <w:shd w:val="clear" w:color="auto" w:fill="99CCFF"/>
            <w:noWrap/>
            <w:vAlign w:val="bottom"/>
            <w:hideMark/>
          </w:tcPr>
          <w:p w14:paraId="14D41CF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33,132,000</w:t>
            </w:r>
          </w:p>
        </w:tc>
        <w:tc>
          <w:tcPr>
            <w:tcW w:w="1459" w:type="dxa"/>
            <w:tcBorders>
              <w:top w:val="nil"/>
              <w:left w:val="single" w:sz="8" w:space="0" w:color="auto"/>
              <w:bottom w:val="single" w:sz="8" w:space="0" w:color="auto"/>
              <w:right w:val="single" w:sz="8" w:space="0" w:color="auto"/>
            </w:tcBorders>
            <w:shd w:val="clear" w:color="auto" w:fill="99CCFF"/>
            <w:noWrap/>
            <w:vAlign w:val="bottom"/>
            <w:hideMark/>
          </w:tcPr>
          <w:p w14:paraId="2868E75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33,132,000</w:t>
            </w:r>
          </w:p>
        </w:tc>
      </w:tr>
    </w:tbl>
    <w:p w14:paraId="6AAB36DE" w14:textId="77777777" w:rsidR="00EA0FD7" w:rsidRPr="00EA0FD7" w:rsidRDefault="00EA0FD7" w:rsidP="00EA0FD7">
      <w:pPr>
        <w:spacing w:after="0" w:line="240" w:lineRule="auto"/>
        <w:rPr>
          <w:rFonts w:ascii="Times New Roman" w:eastAsia="Times New Roman" w:hAnsi="Times New Roman" w:cs="Times New Roman"/>
          <w:b/>
          <w:sz w:val="24"/>
          <w:lang w:val="sr-Cyrl-RS" w:eastAsia="hr-HR"/>
        </w:rPr>
      </w:pPr>
    </w:p>
    <w:p w14:paraId="4564D3A4" w14:textId="77777777" w:rsidR="00EA0FD7" w:rsidRPr="00EA0FD7" w:rsidRDefault="00EA0FD7" w:rsidP="00EA0FD7">
      <w:pPr>
        <w:spacing w:after="0" w:line="240" w:lineRule="auto"/>
        <w:rPr>
          <w:rFonts w:ascii="Times New Roman" w:eastAsia="Times New Roman" w:hAnsi="Times New Roman" w:cs="Times New Roman"/>
          <w:b/>
          <w:lang w:val="sr-Cyrl-RS" w:eastAsia="hr-HR"/>
        </w:rPr>
      </w:pPr>
      <w:r w:rsidRPr="00EA0FD7">
        <w:rPr>
          <w:rFonts w:ascii="Times New Roman" w:eastAsia="Times New Roman" w:hAnsi="Times New Roman" w:cs="Times New Roman"/>
          <w:b/>
          <w:lang w:val="sr-Cyrl-RS" w:eastAsia="hr-HR"/>
        </w:rPr>
        <w:t xml:space="preserve"> </w:t>
      </w:r>
    </w:p>
    <w:p w14:paraId="4818111F" w14:textId="7A283681" w:rsidR="00EA0FD7" w:rsidRPr="00EA0FD7" w:rsidRDefault="00EA0FD7" w:rsidP="0078010E">
      <w:pPr>
        <w:spacing w:after="0" w:line="240" w:lineRule="auto"/>
        <w:rPr>
          <w:rFonts w:ascii="Times New Roman" w:eastAsia="Times New Roman" w:hAnsi="Times New Roman" w:cs="Times New Roman"/>
          <w:lang w:val="sr-Cyrl-RS" w:eastAsia="hr-HR"/>
        </w:rPr>
      </w:pPr>
      <w:r w:rsidRPr="00EA0FD7">
        <w:rPr>
          <w:rFonts w:ascii="Times New Roman" w:eastAsia="Times New Roman" w:hAnsi="Times New Roman" w:cs="Times New Roman"/>
          <w:b/>
          <w:lang w:val="sr-Cyrl-RS" w:eastAsia="hr-HR"/>
        </w:rPr>
        <w:t>Графикон 3.23:</w:t>
      </w:r>
      <w:r w:rsidRPr="00EA0FD7">
        <w:rPr>
          <w:rFonts w:ascii="Times New Roman" w:eastAsia="Times New Roman" w:hAnsi="Times New Roman" w:cs="Times New Roman"/>
          <w:lang w:val="sr-Cyrl-RS" w:eastAsia="hr-HR"/>
        </w:rPr>
        <w:t xml:space="preserve"> Структура директних пореза за 2023. годину и њихово % учешће</w:t>
      </w:r>
    </w:p>
    <w:p w14:paraId="5E55A43B" w14:textId="77777777" w:rsidR="00EA0FD7" w:rsidRPr="00EA0FD7" w:rsidRDefault="00EA0FD7" w:rsidP="00EA0FD7">
      <w:pPr>
        <w:spacing w:after="0" w:line="240" w:lineRule="auto"/>
        <w:rPr>
          <w:rFonts w:ascii="Times New Roman" w:eastAsia="Times New Roman" w:hAnsi="Times New Roman" w:cs="Times New Roman"/>
          <w:b/>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61CC2E65" wp14:editId="711CB6F3">
            <wp:extent cx="5765165" cy="3360420"/>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5165" cy="3360420"/>
                    </a:xfrm>
                    <a:prstGeom prst="rect">
                      <a:avLst/>
                    </a:prstGeom>
                    <a:noFill/>
                    <a:ln>
                      <a:noFill/>
                    </a:ln>
                  </pic:spPr>
                </pic:pic>
              </a:graphicData>
            </a:graphic>
          </wp:inline>
        </w:drawing>
      </w:r>
    </w:p>
    <w:p w14:paraId="168A60B3" w14:textId="77777777" w:rsidR="00EA0FD7" w:rsidRPr="00EA0FD7" w:rsidRDefault="00EA0FD7" w:rsidP="00EA0FD7">
      <w:pPr>
        <w:spacing w:after="0" w:line="240" w:lineRule="auto"/>
        <w:rPr>
          <w:rFonts w:ascii="Times New Roman" w:eastAsia="Times New Roman" w:hAnsi="Times New Roman" w:cs="Times New Roman"/>
          <w:b/>
          <w:lang w:val="sr-Cyrl-RS" w:eastAsia="hr-HR"/>
        </w:rPr>
      </w:pPr>
    </w:p>
    <w:p w14:paraId="55AC70C4" w14:textId="77777777" w:rsidR="00EA0FD7" w:rsidRPr="00EA0FD7" w:rsidRDefault="00EA0FD7" w:rsidP="00EA0FD7">
      <w:pPr>
        <w:tabs>
          <w:tab w:val="left" w:pos="1260"/>
        </w:tabs>
        <w:spacing w:after="0" w:line="240" w:lineRule="auto"/>
        <w:jc w:val="both"/>
        <w:rPr>
          <w:rFonts w:ascii="Times New Roman" w:eastAsia="Times New Roman" w:hAnsi="Times New Roman" w:cs="Times New Roman"/>
          <w:b/>
          <w:sz w:val="24"/>
          <w:lang w:val="sr-Cyrl-RS" w:eastAsia="hr-HR"/>
        </w:rPr>
      </w:pPr>
    </w:p>
    <w:p w14:paraId="536F02D1" w14:textId="77777777" w:rsidR="00EA0FD7" w:rsidRPr="00EA0FD7" w:rsidRDefault="00EA0FD7" w:rsidP="00EA0FD7">
      <w:pPr>
        <w:tabs>
          <w:tab w:val="left" w:pos="1260"/>
        </w:tabs>
        <w:spacing w:after="0" w:line="240" w:lineRule="auto"/>
        <w:jc w:val="both"/>
        <w:rPr>
          <w:rFonts w:ascii="Times New Roman" w:eastAsia="Times New Roman" w:hAnsi="Times New Roman" w:cs="Times New Roman"/>
          <w:bCs/>
          <w:sz w:val="24"/>
          <w:lang w:val="sr-Cyrl-RS" w:eastAsia="hr-HR"/>
        </w:rPr>
      </w:pPr>
      <w:r w:rsidRPr="00EA0FD7">
        <w:rPr>
          <w:rFonts w:ascii="Times New Roman" w:eastAsia="Times New Roman" w:hAnsi="Times New Roman" w:cs="Times New Roman"/>
          <w:b/>
          <w:sz w:val="24"/>
          <w:lang w:val="sr-Cyrl-RS" w:eastAsia="hr-HR"/>
        </w:rPr>
        <w:t>Порез на добит појединаца</w:t>
      </w:r>
      <w:r w:rsidRPr="00EA0FD7">
        <w:rPr>
          <w:rFonts w:ascii="Times New Roman" w:eastAsia="Times New Roman" w:hAnsi="Times New Roman" w:cs="Times New Roman"/>
          <w:sz w:val="24"/>
          <w:lang w:val="sr-Cyrl-RS" w:eastAsia="hr-HR"/>
        </w:rPr>
        <w:t xml:space="preserve"> </w:t>
      </w:r>
      <w:r w:rsidRPr="00EA0FD7">
        <w:rPr>
          <w:rFonts w:ascii="Times New Roman" w:eastAsia="Times New Roman" w:hAnsi="Times New Roman" w:cs="Times New Roman"/>
          <w:b/>
          <w:bCs/>
          <w:sz w:val="24"/>
          <w:lang w:val="sr-Cyrl-RS" w:eastAsia="hr-HR"/>
        </w:rPr>
        <w:t xml:space="preserve">– 711100 </w:t>
      </w:r>
      <w:r w:rsidRPr="00EA0FD7">
        <w:rPr>
          <w:rFonts w:ascii="Times New Roman" w:eastAsia="Times New Roman" w:hAnsi="Times New Roman" w:cs="Times New Roman"/>
          <w:bCs/>
          <w:sz w:val="24"/>
          <w:lang w:val="sr-Cyrl-RS" w:eastAsia="hr-HR"/>
        </w:rPr>
        <w:t>у 2023. години</w:t>
      </w:r>
      <w:r w:rsidRPr="00EA0FD7">
        <w:rPr>
          <w:rFonts w:ascii="Times New Roman" w:eastAsia="Times New Roman" w:hAnsi="Times New Roman" w:cs="Times New Roman"/>
          <w:b/>
          <w:bCs/>
          <w:sz w:val="24"/>
          <w:lang w:val="sr-Cyrl-RS" w:eastAsia="hr-HR"/>
        </w:rPr>
        <w:t xml:space="preserve"> </w:t>
      </w:r>
      <w:r w:rsidRPr="00EA0FD7">
        <w:rPr>
          <w:rFonts w:ascii="Times New Roman" w:eastAsia="Times New Roman" w:hAnsi="Times New Roman" w:cs="Times New Roman"/>
          <w:bCs/>
          <w:sz w:val="24"/>
          <w:lang w:val="sr-Cyrl-RS" w:eastAsia="hr-HR"/>
        </w:rPr>
        <w:t xml:space="preserve">планиран је у висини од 1.800.000 КМ, што је у нивоу плана за 2022. годину односно за 273.025 КМ више од остварења ове врсте прихода у 2021. години. </w:t>
      </w:r>
    </w:p>
    <w:p w14:paraId="64CBF02E" w14:textId="77777777" w:rsidR="00EA0FD7" w:rsidRPr="00EA0FD7" w:rsidRDefault="00EA0FD7" w:rsidP="00EA0FD7">
      <w:pPr>
        <w:tabs>
          <w:tab w:val="left" w:pos="1260"/>
        </w:tabs>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Cs/>
          <w:sz w:val="24"/>
          <w:lang w:val="sr-Cyrl-RS" w:eastAsia="hr-HR"/>
        </w:rPr>
        <w:t xml:space="preserve">Порез на добит појединаца чини 5,43% од планираних директних пореза у 2023. години. </w:t>
      </w:r>
    </w:p>
    <w:p w14:paraId="7EC9EFE5" w14:textId="77777777" w:rsidR="00EA0FD7" w:rsidRPr="00EA0FD7" w:rsidRDefault="00EA0FD7" w:rsidP="00EA0FD7">
      <w:pPr>
        <w:tabs>
          <w:tab w:val="left" w:pos="1260"/>
        </w:tabs>
        <w:spacing w:after="0" w:line="240" w:lineRule="auto"/>
        <w:ind w:firstLine="720"/>
        <w:jc w:val="both"/>
        <w:rPr>
          <w:rFonts w:ascii="Times New Roman" w:eastAsia="Times New Roman" w:hAnsi="Times New Roman" w:cs="Times New Roman"/>
          <w:color w:val="FF0000"/>
          <w:sz w:val="24"/>
          <w:szCs w:val="24"/>
          <w:lang w:val="sr-Cyrl-RS" w:eastAsia="hr-HR"/>
        </w:rPr>
      </w:pPr>
    </w:p>
    <w:p w14:paraId="24052692" w14:textId="5E53814D"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szCs w:val="24"/>
          <w:lang w:val="sr-Cyrl-RS" w:eastAsia="hr-HR"/>
        </w:rPr>
        <w:t xml:space="preserve">Порез на добит предузећа </w:t>
      </w:r>
      <w:r w:rsidR="00303EB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b/>
          <w:sz w:val="24"/>
          <w:szCs w:val="24"/>
          <w:lang w:val="sr-Cyrl-RS" w:eastAsia="hr-HR"/>
        </w:rPr>
        <w:t xml:space="preserve">711200 </w:t>
      </w:r>
      <w:r w:rsidRPr="00EA0FD7">
        <w:rPr>
          <w:rFonts w:ascii="Times New Roman" w:eastAsia="Times New Roman" w:hAnsi="Times New Roman" w:cs="Times New Roman"/>
          <w:sz w:val="24"/>
          <w:szCs w:val="24"/>
          <w:lang w:val="sr-Cyrl-RS" w:eastAsia="hr-HR"/>
        </w:rPr>
        <w:t xml:space="preserve">у 2023. години је планиран у износу од 15.300.000 КМ. Пореска управа је ову врсту прихода планирала  приближно у нивоу плана за  2022. годину, а што је више у односу на остварење у 2021. години за 2.189.871 КМ. </w:t>
      </w:r>
    </w:p>
    <w:p w14:paraId="74A5649C" w14:textId="449447B5"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Ови приходи чине 46,18% од укупних директних пореза планираних у 2023. години. </w:t>
      </w:r>
    </w:p>
    <w:p w14:paraId="0811B002" w14:textId="77777777" w:rsidR="00EA0FD7" w:rsidRPr="00EA0FD7" w:rsidRDefault="00EA0FD7" w:rsidP="00EA0FD7">
      <w:pPr>
        <w:spacing w:after="0" w:line="240" w:lineRule="auto"/>
        <w:ind w:firstLine="720"/>
        <w:jc w:val="both"/>
        <w:rPr>
          <w:rFonts w:ascii="Times New Roman" w:eastAsia="Times New Roman" w:hAnsi="Times New Roman" w:cs="Times New Roman"/>
          <w:sz w:val="24"/>
          <w:szCs w:val="24"/>
          <w:lang w:val="sr-Cyrl-RS" w:eastAsia="hr-HR"/>
        </w:rPr>
      </w:pPr>
    </w:p>
    <w:p w14:paraId="2999EF9B"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szCs w:val="24"/>
          <w:lang w:val="sr-Cyrl-RS" w:eastAsia="hr-HR"/>
        </w:rPr>
        <w:t xml:space="preserve">Порези на плате – 713100 </w:t>
      </w:r>
      <w:r w:rsidRPr="00EA0FD7">
        <w:rPr>
          <w:rFonts w:ascii="Times New Roman" w:eastAsia="Times New Roman" w:hAnsi="Times New Roman" w:cs="Times New Roman"/>
          <w:sz w:val="24"/>
          <w:szCs w:val="24"/>
          <w:lang w:val="sr-Cyrl-RS" w:eastAsia="hr-HR"/>
        </w:rPr>
        <w:t>је у 2023. години, као и у 2024. и 2025. години планиран у висини од 11.000.000 КМ, а што је у висини плана ове врсте прихода за 2022. годину. Порез на плате чини 33,20 % од укупних директних пореза планираних за 2023. годину.</w:t>
      </w:r>
    </w:p>
    <w:p w14:paraId="1189CD9A"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6EA13A9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bCs/>
          <w:sz w:val="24"/>
          <w:szCs w:val="24"/>
          <w:lang w:val="sr-Cyrl-RS" w:eastAsia="hr-HR"/>
        </w:rPr>
        <w:t>Порез на имовину</w:t>
      </w:r>
      <w:r w:rsidRPr="00EA0FD7">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b/>
          <w:bCs/>
          <w:sz w:val="24"/>
          <w:szCs w:val="24"/>
          <w:lang w:val="sr-Cyrl-RS" w:eastAsia="hr-HR"/>
        </w:rPr>
        <w:t>– 714100</w:t>
      </w:r>
      <w:r w:rsidRPr="00EA0FD7">
        <w:rPr>
          <w:rFonts w:ascii="Times New Roman" w:eastAsia="Times New Roman" w:hAnsi="Times New Roman" w:cs="Times New Roman"/>
          <w:sz w:val="24"/>
          <w:szCs w:val="24"/>
          <w:lang w:val="sr-Cyrl-RS" w:eastAsia="hr-HR"/>
        </w:rPr>
        <w:t xml:space="preserve"> је у 2023. години, као и у 2024. и 2025. години планиран у износу од 1.900.000 КМ, што је једнако плану ове врсте прихода за 2022. годину, односно за 391.228 КМ више у односу на остварење у 2021. години. </w:t>
      </w:r>
    </w:p>
    <w:p w14:paraId="3A510AF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Порез на имовину чини 5,73% од планираних директних пореза за 2023. годину.</w:t>
      </w:r>
    </w:p>
    <w:p w14:paraId="521F9A33" w14:textId="77777777" w:rsidR="00EA0FD7" w:rsidRPr="00EA0FD7" w:rsidRDefault="00EA0FD7" w:rsidP="00EA0FD7">
      <w:pPr>
        <w:spacing w:after="0" w:line="240" w:lineRule="auto"/>
        <w:ind w:firstLine="720"/>
        <w:jc w:val="both"/>
        <w:rPr>
          <w:rFonts w:ascii="Times New Roman" w:eastAsia="Times New Roman" w:hAnsi="Times New Roman" w:cs="Times New Roman"/>
          <w:color w:val="FF0000"/>
          <w:sz w:val="24"/>
          <w:szCs w:val="24"/>
          <w:lang w:val="sr-Cyrl-RS" w:eastAsia="hr-HR"/>
        </w:rPr>
      </w:pPr>
    </w:p>
    <w:p w14:paraId="216B6DE5"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b/>
          <w:bCs/>
          <w:sz w:val="24"/>
          <w:lang w:val="sr-Cyrl-RS" w:eastAsia="hr-HR"/>
        </w:rPr>
        <w:t>Порез на промет посебних услуга – 715200,</w:t>
      </w:r>
      <w:r w:rsidRPr="00EA0FD7">
        <w:rPr>
          <w:rFonts w:ascii="Times New Roman" w:eastAsia="Times New Roman" w:hAnsi="Times New Roman" w:cs="Times New Roman"/>
          <w:sz w:val="24"/>
          <w:lang w:val="sr-Cyrl-RS" w:eastAsia="hr-HR"/>
        </w:rPr>
        <w:t xml:space="preserve"> који обухвата порезе од приређивања игара на срећу и забавних игара и порезе на добитке од игара на срећу у 2023. години је планиран у висини од 2.132.000 КМ, што је за 32.000 КМ више у односу на план 2022. године. Ова врста прихода чини 6,43% од укупних директних пореза у 2023. години. </w:t>
      </w:r>
    </w:p>
    <w:p w14:paraId="3163BC17" w14:textId="77777777" w:rsidR="00EA0FD7" w:rsidRPr="00EA0FD7" w:rsidRDefault="00EA0FD7" w:rsidP="00EA0FD7">
      <w:pPr>
        <w:spacing w:after="0" w:line="240" w:lineRule="auto"/>
        <w:ind w:firstLine="720"/>
        <w:jc w:val="both"/>
        <w:rPr>
          <w:rFonts w:ascii="Times New Roman" w:eastAsia="Times New Roman" w:hAnsi="Times New Roman" w:cs="Times New Roman"/>
          <w:color w:val="FF0000"/>
          <w:sz w:val="24"/>
          <w:lang w:val="sr-Cyrl-RS" w:eastAsia="hr-HR"/>
        </w:rPr>
      </w:pPr>
    </w:p>
    <w:p w14:paraId="5A338649" w14:textId="7A7B6AC4"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b/>
          <w:bCs/>
          <w:sz w:val="24"/>
          <w:lang w:val="sr-Cyrl-RS" w:eastAsia="hr-HR"/>
        </w:rPr>
        <w:t>Порез на употребу добара или на одобрење за кориш</w:t>
      </w:r>
      <w:r w:rsidR="00303EB7">
        <w:rPr>
          <w:rFonts w:ascii="Times New Roman" w:eastAsia="Times New Roman" w:hAnsi="Times New Roman" w:cs="Times New Roman"/>
          <w:b/>
          <w:bCs/>
          <w:sz w:val="24"/>
          <w:lang w:val="sr-Cyrl-RS" w:eastAsia="hr-HR"/>
        </w:rPr>
        <w:t>ћ</w:t>
      </w:r>
      <w:r w:rsidRPr="00EA0FD7">
        <w:rPr>
          <w:rFonts w:ascii="Times New Roman" w:eastAsia="Times New Roman" w:hAnsi="Times New Roman" w:cs="Times New Roman"/>
          <w:b/>
          <w:bCs/>
          <w:sz w:val="24"/>
          <w:lang w:val="sr-Cyrl-RS" w:eastAsia="hr-HR"/>
        </w:rPr>
        <w:t xml:space="preserve">ење добара или за извођење активности </w:t>
      </w:r>
      <w:r w:rsidR="00303EB7">
        <w:rPr>
          <w:rFonts w:ascii="Times New Roman" w:eastAsia="Times New Roman" w:hAnsi="Times New Roman" w:cs="Times New Roman"/>
          <w:b/>
          <w:bCs/>
          <w:sz w:val="24"/>
          <w:lang w:val="sr-Cyrl-RS" w:eastAsia="hr-HR"/>
        </w:rPr>
        <w:t>–</w:t>
      </w:r>
      <w:r w:rsidRPr="00EA0FD7">
        <w:rPr>
          <w:rFonts w:ascii="Times New Roman" w:eastAsia="Times New Roman" w:hAnsi="Times New Roman" w:cs="Times New Roman"/>
          <w:b/>
          <w:bCs/>
          <w:sz w:val="24"/>
          <w:lang w:val="sr-Cyrl-RS" w:eastAsia="hr-HR"/>
        </w:rPr>
        <w:t xml:space="preserve"> 715300 </w:t>
      </w:r>
      <w:r w:rsidRPr="00EA0FD7">
        <w:rPr>
          <w:rFonts w:ascii="Times New Roman" w:eastAsia="Times New Roman" w:hAnsi="Times New Roman" w:cs="Times New Roman"/>
          <w:bCs/>
          <w:sz w:val="24"/>
          <w:lang w:val="sr-Cyrl-RS" w:eastAsia="hr-HR"/>
        </w:rPr>
        <w:t xml:space="preserve">у 2023. години, као и у 2024. и 2025. години је планиран </w:t>
      </w:r>
      <w:r w:rsidRPr="00EA0FD7">
        <w:rPr>
          <w:rFonts w:ascii="Times New Roman" w:eastAsia="Times New Roman" w:hAnsi="Times New Roman" w:cs="Times New Roman"/>
          <w:sz w:val="24"/>
          <w:lang w:val="sr-Cyrl-RS" w:eastAsia="hr-HR"/>
        </w:rPr>
        <w:t>у висини од 1.000.000 КМ, што је на нивоу плана  2022.године и остварења ове врсте прихода у 2021. години.</w:t>
      </w:r>
    </w:p>
    <w:p w14:paraId="05B386C0"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Ова врста прихода чини 3,02% од планираних директних пореза у 2023. години.</w:t>
      </w:r>
    </w:p>
    <w:p w14:paraId="53451A43"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t>4. НЕПОРЕСКИ ПРИХОДИ</w:t>
      </w:r>
    </w:p>
    <w:p w14:paraId="1D0D641E" w14:textId="77777777" w:rsidR="00EA0FD7" w:rsidRPr="00EA0FD7" w:rsidRDefault="00EA0FD7" w:rsidP="00EA0FD7">
      <w:pPr>
        <w:spacing w:after="0" w:line="240" w:lineRule="auto"/>
        <w:jc w:val="both"/>
        <w:rPr>
          <w:rFonts w:ascii="Times New Roman" w:eastAsia="Times New Roman" w:hAnsi="Times New Roman" w:cs="Times New Roman"/>
          <w:i/>
          <w:sz w:val="24"/>
          <w:lang w:val="sr-Cyrl-RS" w:eastAsia="hr-HR"/>
        </w:rPr>
      </w:pPr>
    </w:p>
    <w:p w14:paraId="25C69C55"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lang w:val="sr-Cyrl-RS" w:eastAsia="hr-HR"/>
        </w:rPr>
        <w:t>Приходе Брчко дистрикта БиХ, поред индиректних и директних пореза, чине и непорески приходи.</w:t>
      </w:r>
      <w:r w:rsidRPr="00EA0FD7">
        <w:rPr>
          <w:rFonts w:ascii="Times New Roman" w:eastAsia="Times New Roman" w:hAnsi="Times New Roman" w:cs="Times New Roman"/>
          <w:sz w:val="24"/>
          <w:szCs w:val="24"/>
          <w:lang w:val="sr-Cyrl-RS" w:eastAsia="hr-HR"/>
        </w:rPr>
        <w:t xml:space="preserve"> </w:t>
      </w:r>
    </w:p>
    <w:p w14:paraId="4F681CA7"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Непорески приходи који се прикупљају на нивоу Брчко дистрикта БиХ укључују сљедеће приходе:</w:t>
      </w:r>
    </w:p>
    <w:p w14:paraId="68202036" w14:textId="1FA99CA4" w:rsidR="00EA0FD7" w:rsidRPr="00EA0FD7" w:rsidRDefault="00EA0FD7" w:rsidP="00EA0FD7">
      <w:pPr>
        <w:numPr>
          <w:ilvl w:val="0"/>
          <w:numId w:val="8"/>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приходи од финансијске и нефинансијске имовине</w:t>
      </w:r>
    </w:p>
    <w:p w14:paraId="3380A6E3" w14:textId="48EAF60D" w:rsidR="00EA0FD7" w:rsidRPr="00EA0FD7" w:rsidRDefault="00EA0FD7" w:rsidP="00EA0FD7">
      <w:pPr>
        <w:numPr>
          <w:ilvl w:val="0"/>
          <w:numId w:val="8"/>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остали приходи од имовине</w:t>
      </w:r>
    </w:p>
    <w:p w14:paraId="698F2230" w14:textId="78EE2C95" w:rsidR="00EA0FD7" w:rsidRPr="00EA0FD7" w:rsidRDefault="00EA0FD7" w:rsidP="00EA0FD7">
      <w:pPr>
        <w:numPr>
          <w:ilvl w:val="0"/>
          <w:numId w:val="8"/>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приходи од приватизације станова и пословних простора</w:t>
      </w:r>
    </w:p>
    <w:p w14:paraId="331F6F78" w14:textId="6431447E" w:rsidR="00EA0FD7" w:rsidRPr="00EA0FD7" w:rsidRDefault="00EA0FD7" w:rsidP="00EA0FD7">
      <w:pPr>
        <w:numPr>
          <w:ilvl w:val="0"/>
          <w:numId w:val="8"/>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административне таксе</w:t>
      </w:r>
    </w:p>
    <w:p w14:paraId="580414E0" w14:textId="511D730F" w:rsidR="00EA0FD7" w:rsidRPr="00EA0FD7" w:rsidRDefault="00EA0FD7" w:rsidP="00EA0FD7">
      <w:pPr>
        <w:numPr>
          <w:ilvl w:val="0"/>
          <w:numId w:val="8"/>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судске таксе и судске накнаде</w:t>
      </w:r>
    </w:p>
    <w:p w14:paraId="2FA1BDC0" w14:textId="71D3E5C1" w:rsidR="00EA0FD7" w:rsidRPr="00EA0FD7" w:rsidRDefault="00EA0FD7" w:rsidP="00EA0FD7">
      <w:pPr>
        <w:numPr>
          <w:ilvl w:val="0"/>
          <w:numId w:val="8"/>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комуналне таксе</w:t>
      </w:r>
    </w:p>
    <w:p w14:paraId="6AF94990" w14:textId="69221F1D" w:rsidR="00EA0FD7" w:rsidRPr="00EA0FD7" w:rsidRDefault="00EA0FD7" w:rsidP="00EA0FD7">
      <w:pPr>
        <w:numPr>
          <w:ilvl w:val="0"/>
          <w:numId w:val="8"/>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остале буџетске накнаде и таксе</w:t>
      </w:r>
    </w:p>
    <w:p w14:paraId="7887F8D8" w14:textId="5D107B11" w:rsidR="00EA0FD7" w:rsidRPr="00EA0FD7" w:rsidRDefault="00EA0FD7" w:rsidP="00EA0FD7">
      <w:pPr>
        <w:numPr>
          <w:ilvl w:val="0"/>
          <w:numId w:val="8"/>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посебне накнаде и таксе</w:t>
      </w:r>
    </w:p>
    <w:p w14:paraId="13626717" w14:textId="5C4E2BB7" w:rsidR="00EA0FD7" w:rsidRPr="00EA0FD7" w:rsidRDefault="00EA0FD7" w:rsidP="00EA0FD7">
      <w:pPr>
        <w:numPr>
          <w:ilvl w:val="0"/>
          <w:numId w:val="8"/>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приходи од пружања јавних услуга</w:t>
      </w:r>
    </w:p>
    <w:p w14:paraId="41199122" w14:textId="77777777" w:rsidR="00EA0FD7" w:rsidRPr="00EA0FD7" w:rsidRDefault="00EA0FD7" w:rsidP="00EA0FD7">
      <w:pPr>
        <w:numPr>
          <w:ilvl w:val="0"/>
          <w:numId w:val="8"/>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новчане казне и</w:t>
      </w:r>
    </w:p>
    <w:p w14:paraId="0CE18C89" w14:textId="77777777" w:rsidR="00EA0FD7" w:rsidRPr="00EA0FD7" w:rsidRDefault="00EA0FD7" w:rsidP="00EA0FD7">
      <w:pPr>
        <w:numPr>
          <w:ilvl w:val="0"/>
          <w:numId w:val="8"/>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остали непорески приходи. </w:t>
      </w:r>
    </w:p>
    <w:p w14:paraId="43D92CAD" w14:textId="77777777" w:rsidR="00EA0FD7" w:rsidRPr="00EA0FD7" w:rsidRDefault="00EA0FD7" w:rsidP="00EA0FD7">
      <w:pPr>
        <w:spacing w:after="0" w:line="240" w:lineRule="auto"/>
        <w:ind w:firstLine="720"/>
        <w:jc w:val="both"/>
        <w:rPr>
          <w:rFonts w:ascii="Times New Roman" w:eastAsia="Times New Roman" w:hAnsi="Times New Roman" w:cs="Times New Roman"/>
          <w:sz w:val="24"/>
          <w:lang w:val="sr-Cyrl-RS" w:eastAsia="hr-HR"/>
        </w:rPr>
      </w:pPr>
    </w:p>
    <w:p w14:paraId="7D93B891" w14:textId="77777777" w:rsidR="00EA0FD7" w:rsidRPr="00EA0FD7" w:rsidRDefault="00EA0FD7" w:rsidP="00EA0FD7">
      <w:pPr>
        <w:spacing w:after="0" w:line="240" w:lineRule="auto"/>
        <w:ind w:firstLine="720"/>
        <w:jc w:val="both"/>
        <w:rPr>
          <w:rFonts w:ascii="Times New Roman" w:eastAsia="Times New Roman" w:hAnsi="Times New Roman" w:cs="Times New Roman"/>
          <w:sz w:val="24"/>
          <w:lang w:val="sr-Cyrl-RS" w:eastAsia="hr-HR"/>
        </w:rPr>
      </w:pPr>
    </w:p>
    <w:p w14:paraId="271C9D12" w14:textId="77777777" w:rsidR="00EA0FD7" w:rsidRPr="00EA0FD7" w:rsidRDefault="00EA0FD7" w:rsidP="00EA0FD7">
      <w:pPr>
        <w:spacing w:after="0" w:line="240" w:lineRule="auto"/>
        <w:jc w:val="both"/>
        <w:rPr>
          <w:rFonts w:ascii="Times New Roman" w:eastAsia="Times New Roman" w:hAnsi="Times New Roman" w:cs="Times New Roman"/>
          <w:b/>
          <w:bCs/>
          <w:sz w:val="24"/>
          <w:lang w:val="sr-Cyrl-RS" w:eastAsia="hr-HR"/>
        </w:rPr>
      </w:pPr>
      <w:r w:rsidRPr="00EA0FD7">
        <w:rPr>
          <w:rFonts w:ascii="Times New Roman" w:eastAsia="Times New Roman" w:hAnsi="Times New Roman" w:cs="Times New Roman"/>
          <w:sz w:val="24"/>
          <w:lang w:val="sr-Cyrl-RS" w:eastAsia="hr-HR"/>
        </w:rPr>
        <w:t xml:space="preserve">У 2023. години непорески приходи су планирани у висини од </w:t>
      </w:r>
      <w:r w:rsidRPr="00EA0FD7">
        <w:rPr>
          <w:rFonts w:ascii="Times New Roman" w:eastAsia="Times New Roman" w:hAnsi="Times New Roman" w:cs="Times New Roman"/>
          <w:b/>
          <w:bCs/>
          <w:sz w:val="24"/>
          <w:lang w:val="sr-Cyrl-RS" w:eastAsia="hr-HR"/>
        </w:rPr>
        <w:t xml:space="preserve">10.961.160 </w:t>
      </w:r>
      <w:r w:rsidRPr="00EA0FD7">
        <w:rPr>
          <w:rFonts w:ascii="Times New Roman" w:eastAsia="Times New Roman" w:hAnsi="Times New Roman" w:cs="Times New Roman"/>
          <w:b/>
          <w:sz w:val="24"/>
          <w:lang w:val="sr-Cyrl-RS" w:eastAsia="hr-HR"/>
        </w:rPr>
        <w:t>КМ</w:t>
      </w:r>
      <w:r w:rsidRPr="00EA0FD7">
        <w:rPr>
          <w:rFonts w:ascii="Times New Roman" w:eastAsia="Times New Roman" w:hAnsi="Times New Roman" w:cs="Times New Roman"/>
          <w:sz w:val="24"/>
          <w:lang w:val="sr-Cyrl-RS" w:eastAsia="hr-HR"/>
        </w:rPr>
        <w:t xml:space="preserve">, што је за </w:t>
      </w:r>
      <w:r w:rsidRPr="00EA0FD7">
        <w:rPr>
          <w:rFonts w:ascii="Times New Roman" w:eastAsia="Times New Roman" w:hAnsi="Times New Roman" w:cs="Times New Roman"/>
          <w:b/>
          <w:sz w:val="24"/>
          <w:lang w:val="sr-Cyrl-RS" w:eastAsia="hr-HR"/>
        </w:rPr>
        <w:t>1.758.664 КМ</w:t>
      </w:r>
      <w:r w:rsidRPr="00EA0FD7">
        <w:rPr>
          <w:rFonts w:ascii="Times New Roman" w:eastAsia="Times New Roman" w:hAnsi="Times New Roman" w:cs="Times New Roman"/>
          <w:sz w:val="24"/>
          <w:lang w:val="sr-Cyrl-RS" w:eastAsia="hr-HR"/>
        </w:rPr>
        <w:t xml:space="preserve"> мање него у плану за 2022. годину или за 13,83%. Учешће непореских </w:t>
      </w:r>
      <w:r w:rsidRPr="00EA0FD7">
        <w:rPr>
          <w:rFonts w:ascii="Times New Roman" w:eastAsia="Times New Roman" w:hAnsi="Times New Roman" w:cs="Times New Roman"/>
          <w:sz w:val="24"/>
          <w:lang w:val="sr-Cyrl-RS" w:eastAsia="hr-HR"/>
        </w:rPr>
        <w:lastRenderedPageBreak/>
        <w:t xml:space="preserve">прихода у укупним приходима Брчко дистрикта БиХ у 2023. години је 4,03%. У 2024. години се планирају непорески приходи у висини од </w:t>
      </w:r>
      <w:r w:rsidRPr="00EA0FD7">
        <w:rPr>
          <w:rFonts w:ascii="Times New Roman" w:eastAsia="Times New Roman" w:hAnsi="Times New Roman" w:cs="Times New Roman"/>
          <w:b/>
          <w:bCs/>
          <w:sz w:val="24"/>
          <w:lang w:val="sr-Cyrl-RS" w:eastAsia="hr-HR"/>
        </w:rPr>
        <w:t xml:space="preserve">11.142.483 </w:t>
      </w:r>
      <w:r w:rsidRPr="00EA0FD7">
        <w:rPr>
          <w:rFonts w:ascii="Times New Roman" w:eastAsia="Times New Roman" w:hAnsi="Times New Roman" w:cs="Times New Roman"/>
          <w:b/>
          <w:sz w:val="24"/>
          <w:lang w:val="sr-Cyrl-RS" w:eastAsia="hr-HR"/>
        </w:rPr>
        <w:t xml:space="preserve">КМ </w:t>
      </w:r>
      <w:r w:rsidRPr="00EA0FD7">
        <w:rPr>
          <w:rFonts w:ascii="Times New Roman" w:eastAsia="Times New Roman" w:hAnsi="Times New Roman" w:cs="Times New Roman"/>
          <w:sz w:val="24"/>
          <w:lang w:val="sr-Cyrl-RS" w:eastAsia="hr-HR"/>
        </w:rPr>
        <w:t xml:space="preserve">или за 1,65% више у односу на план за 2023. годину, а у 2025. години у висини од </w:t>
      </w:r>
      <w:r w:rsidRPr="00EA0FD7">
        <w:rPr>
          <w:rFonts w:ascii="Times New Roman" w:eastAsia="Times New Roman" w:hAnsi="Times New Roman" w:cs="Times New Roman"/>
          <w:b/>
          <w:bCs/>
          <w:sz w:val="24"/>
          <w:lang w:val="sr-Cyrl-RS" w:eastAsia="hr-HR"/>
        </w:rPr>
        <w:t xml:space="preserve">11.362.463 </w:t>
      </w:r>
      <w:r w:rsidRPr="00EA0FD7">
        <w:rPr>
          <w:rFonts w:ascii="Times New Roman" w:eastAsia="Times New Roman" w:hAnsi="Times New Roman" w:cs="Times New Roman"/>
          <w:b/>
          <w:sz w:val="24"/>
          <w:lang w:val="sr-Cyrl-RS" w:eastAsia="hr-HR"/>
        </w:rPr>
        <w:t xml:space="preserve">КМ, </w:t>
      </w:r>
      <w:r w:rsidRPr="00EA0FD7">
        <w:rPr>
          <w:rFonts w:ascii="Times New Roman" w:eastAsia="Times New Roman" w:hAnsi="Times New Roman" w:cs="Times New Roman"/>
          <w:sz w:val="24"/>
          <w:lang w:val="sr-Cyrl-RS" w:eastAsia="hr-HR"/>
        </w:rPr>
        <w:t xml:space="preserve">односно за 1,97% више у односу на план 2024. године. </w:t>
      </w:r>
    </w:p>
    <w:p w14:paraId="0FC281E6" w14:textId="77777777" w:rsidR="00EA0FD7" w:rsidRPr="00EA0FD7" w:rsidRDefault="00EA0FD7" w:rsidP="00EA0FD7">
      <w:pPr>
        <w:spacing w:after="0" w:line="240" w:lineRule="auto"/>
        <w:jc w:val="both"/>
        <w:rPr>
          <w:rFonts w:ascii="Times New Roman" w:eastAsia="Times New Roman" w:hAnsi="Times New Roman" w:cs="Times New Roman"/>
          <w:color w:val="FF0000"/>
          <w:sz w:val="24"/>
          <w:lang w:val="sr-Cyrl-RS" w:eastAsia="hr-HR"/>
        </w:rPr>
      </w:pPr>
      <w:r w:rsidRPr="00EA0FD7">
        <w:rPr>
          <w:rFonts w:ascii="Times New Roman" w:eastAsia="Times New Roman" w:hAnsi="Times New Roman" w:cs="Times New Roman"/>
          <w:color w:val="FF0000"/>
          <w:sz w:val="24"/>
          <w:lang w:val="sr-Cyrl-RS" w:eastAsia="hr-HR"/>
        </w:rPr>
        <w:tab/>
      </w:r>
    </w:p>
    <w:p w14:paraId="33FE1D89" w14:textId="1C0BFBAF"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szCs w:val="24"/>
          <w:lang w:val="sr-Cyrl-RS" w:eastAsia="hr-HR"/>
        </w:rPr>
        <w:t xml:space="preserve">Табела 3.5: </w:t>
      </w:r>
      <w:r w:rsidRPr="00EA0FD7">
        <w:rPr>
          <w:rFonts w:ascii="Times New Roman" w:eastAsia="Times New Roman" w:hAnsi="Times New Roman" w:cs="Times New Roman"/>
          <w:sz w:val="24"/>
          <w:szCs w:val="24"/>
          <w:lang w:val="sr-Cyrl-RS" w:eastAsia="hr-HR"/>
        </w:rPr>
        <w:t>Структура непореских прихода за период 2022</w:t>
      </w:r>
      <w:r w:rsidR="00303EB7">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2025. године</w:t>
      </w:r>
    </w:p>
    <w:tbl>
      <w:tblPr>
        <w:tblW w:w="9934" w:type="dxa"/>
        <w:tblInd w:w="98" w:type="dxa"/>
        <w:tblLook w:val="04A0" w:firstRow="1" w:lastRow="0" w:firstColumn="1" w:lastColumn="0" w:noHBand="0" w:noVBand="1"/>
      </w:tblPr>
      <w:tblGrid>
        <w:gridCol w:w="817"/>
        <w:gridCol w:w="3240"/>
        <w:gridCol w:w="1473"/>
        <w:gridCol w:w="1473"/>
        <w:gridCol w:w="1473"/>
        <w:gridCol w:w="1474"/>
      </w:tblGrid>
      <w:tr w:rsidR="00EA0FD7" w:rsidRPr="00EA0FD7" w14:paraId="018F8DF4" w14:textId="77777777" w:rsidTr="00EA0FD7">
        <w:trPr>
          <w:trHeight w:val="263"/>
        </w:trPr>
        <w:tc>
          <w:tcPr>
            <w:tcW w:w="4040" w:type="dxa"/>
            <w:gridSpan w:val="2"/>
            <w:vMerge w:val="restart"/>
            <w:tcBorders>
              <w:top w:val="single" w:sz="8" w:space="0" w:color="auto"/>
              <w:left w:val="single" w:sz="8" w:space="0" w:color="auto"/>
              <w:bottom w:val="single" w:sz="8" w:space="0" w:color="000000"/>
              <w:right w:val="nil"/>
            </w:tcBorders>
            <w:shd w:val="clear" w:color="auto" w:fill="99CCFF"/>
            <w:noWrap/>
            <w:vAlign w:val="center"/>
            <w:hideMark/>
          </w:tcPr>
          <w:p w14:paraId="36BFE776"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Непорески приходи</w:t>
            </w:r>
          </w:p>
        </w:tc>
        <w:tc>
          <w:tcPr>
            <w:tcW w:w="5892" w:type="dxa"/>
            <w:gridSpan w:val="4"/>
            <w:tcBorders>
              <w:top w:val="single" w:sz="8" w:space="0" w:color="auto"/>
              <w:left w:val="single" w:sz="8" w:space="0" w:color="auto"/>
              <w:bottom w:val="nil"/>
              <w:right w:val="single" w:sz="8" w:space="0" w:color="000000"/>
            </w:tcBorders>
            <w:shd w:val="clear" w:color="auto" w:fill="99CCFF"/>
            <w:noWrap/>
            <w:vAlign w:val="center"/>
            <w:hideMark/>
          </w:tcPr>
          <w:p w14:paraId="7B1F79C6"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Године</w:t>
            </w:r>
          </w:p>
        </w:tc>
      </w:tr>
      <w:tr w:rsidR="00EA0FD7" w:rsidRPr="00EA0FD7" w14:paraId="03FDBF3C" w14:textId="77777777" w:rsidTr="00EA0FD7">
        <w:trPr>
          <w:trHeight w:val="263"/>
        </w:trPr>
        <w:tc>
          <w:tcPr>
            <w:tcW w:w="0" w:type="auto"/>
            <w:gridSpan w:val="2"/>
            <w:vMerge/>
            <w:tcBorders>
              <w:top w:val="single" w:sz="8" w:space="0" w:color="auto"/>
              <w:left w:val="single" w:sz="8" w:space="0" w:color="auto"/>
              <w:bottom w:val="single" w:sz="8" w:space="0" w:color="000000"/>
              <w:right w:val="nil"/>
            </w:tcBorders>
            <w:vAlign w:val="center"/>
            <w:hideMark/>
          </w:tcPr>
          <w:p w14:paraId="7B458834"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473" w:type="dxa"/>
            <w:tcBorders>
              <w:top w:val="single" w:sz="8" w:space="0" w:color="auto"/>
              <w:left w:val="single" w:sz="8" w:space="0" w:color="auto"/>
              <w:bottom w:val="single" w:sz="8" w:space="0" w:color="auto"/>
              <w:right w:val="single" w:sz="8" w:space="0" w:color="auto"/>
            </w:tcBorders>
            <w:shd w:val="clear" w:color="auto" w:fill="99CCFF"/>
            <w:noWrap/>
            <w:vAlign w:val="center"/>
            <w:hideMark/>
          </w:tcPr>
          <w:p w14:paraId="3587266F" w14:textId="12C32558"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2022</w:t>
            </w:r>
            <w:r w:rsidR="00303EB7">
              <w:rPr>
                <w:rFonts w:ascii="Arial" w:eastAsia="Times New Roman" w:hAnsi="Arial" w:cs="Arial"/>
                <w:b/>
                <w:bCs/>
                <w:sz w:val="18"/>
                <w:szCs w:val="18"/>
                <w:lang w:val="sr-Cyrl-RS"/>
              </w:rPr>
              <w:t>.</w:t>
            </w:r>
          </w:p>
        </w:tc>
        <w:tc>
          <w:tcPr>
            <w:tcW w:w="1473" w:type="dxa"/>
            <w:tcBorders>
              <w:top w:val="single" w:sz="8" w:space="0" w:color="auto"/>
              <w:left w:val="nil"/>
              <w:bottom w:val="single" w:sz="8" w:space="0" w:color="auto"/>
              <w:right w:val="single" w:sz="8" w:space="0" w:color="auto"/>
            </w:tcBorders>
            <w:shd w:val="clear" w:color="auto" w:fill="99CCFF"/>
            <w:noWrap/>
            <w:vAlign w:val="center"/>
            <w:hideMark/>
          </w:tcPr>
          <w:p w14:paraId="1CDA32CA" w14:textId="637C605B"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2023</w:t>
            </w:r>
            <w:r w:rsidR="00303EB7">
              <w:rPr>
                <w:rFonts w:ascii="Arial" w:eastAsia="Times New Roman" w:hAnsi="Arial" w:cs="Arial"/>
                <w:b/>
                <w:bCs/>
                <w:sz w:val="18"/>
                <w:szCs w:val="18"/>
                <w:lang w:val="sr-Cyrl-RS"/>
              </w:rPr>
              <w:t>.</w:t>
            </w:r>
          </w:p>
        </w:tc>
        <w:tc>
          <w:tcPr>
            <w:tcW w:w="1473" w:type="dxa"/>
            <w:tcBorders>
              <w:top w:val="single" w:sz="8" w:space="0" w:color="auto"/>
              <w:left w:val="nil"/>
              <w:bottom w:val="single" w:sz="8" w:space="0" w:color="auto"/>
              <w:right w:val="single" w:sz="8" w:space="0" w:color="auto"/>
            </w:tcBorders>
            <w:shd w:val="clear" w:color="auto" w:fill="99CCFF"/>
            <w:noWrap/>
            <w:vAlign w:val="center"/>
            <w:hideMark/>
          </w:tcPr>
          <w:p w14:paraId="79DB2747" w14:textId="35897686"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2024</w:t>
            </w:r>
            <w:r w:rsidR="00303EB7">
              <w:rPr>
                <w:rFonts w:ascii="Arial" w:eastAsia="Times New Roman" w:hAnsi="Arial" w:cs="Arial"/>
                <w:b/>
                <w:bCs/>
                <w:sz w:val="18"/>
                <w:szCs w:val="18"/>
                <w:lang w:val="sr-Cyrl-RS"/>
              </w:rPr>
              <w:t>.</w:t>
            </w:r>
          </w:p>
        </w:tc>
        <w:tc>
          <w:tcPr>
            <w:tcW w:w="1474" w:type="dxa"/>
            <w:tcBorders>
              <w:top w:val="single" w:sz="8" w:space="0" w:color="auto"/>
              <w:left w:val="nil"/>
              <w:bottom w:val="single" w:sz="8" w:space="0" w:color="auto"/>
              <w:right w:val="single" w:sz="8" w:space="0" w:color="auto"/>
            </w:tcBorders>
            <w:shd w:val="clear" w:color="auto" w:fill="99CCFF"/>
            <w:noWrap/>
            <w:vAlign w:val="center"/>
            <w:hideMark/>
          </w:tcPr>
          <w:p w14:paraId="677EBBF6" w14:textId="7594C8FE"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2025</w:t>
            </w:r>
            <w:r w:rsidR="00303EB7">
              <w:rPr>
                <w:rFonts w:ascii="Arial" w:eastAsia="Times New Roman" w:hAnsi="Arial" w:cs="Arial"/>
                <w:b/>
                <w:bCs/>
                <w:sz w:val="18"/>
                <w:szCs w:val="18"/>
                <w:lang w:val="sr-Cyrl-RS"/>
              </w:rPr>
              <w:t>.</w:t>
            </w:r>
          </w:p>
        </w:tc>
      </w:tr>
      <w:tr w:rsidR="00EA0FD7" w:rsidRPr="00EA0FD7" w14:paraId="79FCC711" w14:textId="77777777" w:rsidTr="00EA0FD7">
        <w:trPr>
          <w:trHeight w:val="599"/>
        </w:trPr>
        <w:tc>
          <w:tcPr>
            <w:tcW w:w="801" w:type="dxa"/>
            <w:tcBorders>
              <w:top w:val="nil"/>
              <w:left w:val="single" w:sz="8" w:space="0" w:color="auto"/>
              <w:bottom w:val="single" w:sz="4" w:space="0" w:color="auto"/>
              <w:right w:val="single" w:sz="8" w:space="0" w:color="auto"/>
            </w:tcBorders>
            <w:noWrap/>
            <w:vAlign w:val="bottom"/>
            <w:hideMark/>
          </w:tcPr>
          <w:p w14:paraId="389E25B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721100</w:t>
            </w:r>
          </w:p>
        </w:tc>
        <w:tc>
          <w:tcPr>
            <w:tcW w:w="3240" w:type="dxa"/>
            <w:tcBorders>
              <w:top w:val="nil"/>
              <w:left w:val="nil"/>
              <w:bottom w:val="single" w:sz="4" w:space="0" w:color="auto"/>
              <w:right w:val="nil"/>
            </w:tcBorders>
            <w:vAlign w:val="bottom"/>
            <w:hideMark/>
          </w:tcPr>
          <w:p w14:paraId="261A54F8"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Приход од финансијске и нефинансијске имовине</w:t>
            </w:r>
          </w:p>
        </w:tc>
        <w:tc>
          <w:tcPr>
            <w:tcW w:w="1473" w:type="dxa"/>
            <w:tcBorders>
              <w:top w:val="nil"/>
              <w:left w:val="single" w:sz="8" w:space="0" w:color="auto"/>
              <w:bottom w:val="single" w:sz="4" w:space="0" w:color="auto"/>
              <w:right w:val="nil"/>
            </w:tcBorders>
            <w:noWrap/>
            <w:vAlign w:val="bottom"/>
            <w:hideMark/>
          </w:tcPr>
          <w:p w14:paraId="5B3A865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950,275</w:t>
            </w:r>
          </w:p>
        </w:tc>
        <w:tc>
          <w:tcPr>
            <w:tcW w:w="1473" w:type="dxa"/>
            <w:tcBorders>
              <w:top w:val="nil"/>
              <w:left w:val="single" w:sz="8" w:space="0" w:color="auto"/>
              <w:bottom w:val="single" w:sz="4" w:space="0" w:color="auto"/>
              <w:right w:val="single" w:sz="8" w:space="0" w:color="auto"/>
            </w:tcBorders>
            <w:noWrap/>
            <w:vAlign w:val="bottom"/>
            <w:hideMark/>
          </w:tcPr>
          <w:p w14:paraId="6F41503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948,735</w:t>
            </w:r>
          </w:p>
        </w:tc>
        <w:tc>
          <w:tcPr>
            <w:tcW w:w="1473" w:type="dxa"/>
            <w:tcBorders>
              <w:top w:val="nil"/>
              <w:left w:val="nil"/>
              <w:bottom w:val="single" w:sz="4" w:space="0" w:color="auto"/>
              <w:right w:val="single" w:sz="4" w:space="0" w:color="auto"/>
            </w:tcBorders>
            <w:noWrap/>
            <w:vAlign w:val="bottom"/>
            <w:hideMark/>
          </w:tcPr>
          <w:p w14:paraId="37AF0AD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948,720</w:t>
            </w:r>
          </w:p>
        </w:tc>
        <w:tc>
          <w:tcPr>
            <w:tcW w:w="1474" w:type="dxa"/>
            <w:tcBorders>
              <w:top w:val="nil"/>
              <w:left w:val="nil"/>
              <w:bottom w:val="single" w:sz="4" w:space="0" w:color="auto"/>
              <w:right w:val="single" w:sz="8" w:space="0" w:color="auto"/>
            </w:tcBorders>
            <w:noWrap/>
            <w:vAlign w:val="bottom"/>
            <w:hideMark/>
          </w:tcPr>
          <w:p w14:paraId="513F070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948,720</w:t>
            </w:r>
          </w:p>
        </w:tc>
      </w:tr>
      <w:tr w:rsidR="00EA0FD7" w:rsidRPr="00EA0FD7" w14:paraId="4D9074A8" w14:textId="77777777" w:rsidTr="00EA0FD7">
        <w:trPr>
          <w:trHeight w:val="248"/>
        </w:trPr>
        <w:tc>
          <w:tcPr>
            <w:tcW w:w="801" w:type="dxa"/>
            <w:tcBorders>
              <w:top w:val="nil"/>
              <w:left w:val="single" w:sz="8" w:space="0" w:color="auto"/>
              <w:bottom w:val="single" w:sz="4" w:space="0" w:color="auto"/>
              <w:right w:val="single" w:sz="8" w:space="0" w:color="auto"/>
            </w:tcBorders>
            <w:noWrap/>
            <w:vAlign w:val="bottom"/>
            <w:hideMark/>
          </w:tcPr>
          <w:p w14:paraId="716DD43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721200</w:t>
            </w:r>
          </w:p>
        </w:tc>
        <w:tc>
          <w:tcPr>
            <w:tcW w:w="3240" w:type="dxa"/>
            <w:tcBorders>
              <w:top w:val="nil"/>
              <w:left w:val="nil"/>
              <w:bottom w:val="single" w:sz="4" w:space="0" w:color="auto"/>
              <w:right w:val="nil"/>
            </w:tcBorders>
            <w:noWrap/>
            <w:vAlign w:val="bottom"/>
            <w:hideMark/>
          </w:tcPr>
          <w:p w14:paraId="1D73BB6B"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Остали приходи од имовине</w:t>
            </w:r>
          </w:p>
        </w:tc>
        <w:tc>
          <w:tcPr>
            <w:tcW w:w="1473" w:type="dxa"/>
            <w:tcBorders>
              <w:top w:val="nil"/>
              <w:left w:val="single" w:sz="8" w:space="0" w:color="auto"/>
              <w:bottom w:val="single" w:sz="4" w:space="0" w:color="auto"/>
              <w:right w:val="nil"/>
            </w:tcBorders>
            <w:noWrap/>
            <w:vAlign w:val="bottom"/>
            <w:hideMark/>
          </w:tcPr>
          <w:p w14:paraId="7BE9C59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2,708,226</w:t>
            </w:r>
          </w:p>
        </w:tc>
        <w:tc>
          <w:tcPr>
            <w:tcW w:w="1473" w:type="dxa"/>
            <w:tcBorders>
              <w:top w:val="nil"/>
              <w:left w:val="single" w:sz="8" w:space="0" w:color="auto"/>
              <w:bottom w:val="single" w:sz="4" w:space="0" w:color="auto"/>
              <w:right w:val="single" w:sz="8" w:space="0" w:color="auto"/>
            </w:tcBorders>
            <w:noWrap/>
            <w:vAlign w:val="bottom"/>
            <w:hideMark/>
          </w:tcPr>
          <w:p w14:paraId="524D59B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1,382,184</w:t>
            </w:r>
          </w:p>
        </w:tc>
        <w:tc>
          <w:tcPr>
            <w:tcW w:w="1473" w:type="dxa"/>
            <w:tcBorders>
              <w:top w:val="nil"/>
              <w:left w:val="nil"/>
              <w:bottom w:val="single" w:sz="4" w:space="0" w:color="auto"/>
              <w:right w:val="single" w:sz="4" w:space="0" w:color="auto"/>
            </w:tcBorders>
            <w:noWrap/>
            <w:vAlign w:val="bottom"/>
            <w:hideMark/>
          </w:tcPr>
          <w:p w14:paraId="7C78907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1,334,812</w:t>
            </w:r>
          </w:p>
        </w:tc>
        <w:tc>
          <w:tcPr>
            <w:tcW w:w="1474" w:type="dxa"/>
            <w:tcBorders>
              <w:top w:val="nil"/>
              <w:left w:val="nil"/>
              <w:bottom w:val="single" w:sz="4" w:space="0" w:color="auto"/>
              <w:right w:val="single" w:sz="8" w:space="0" w:color="auto"/>
            </w:tcBorders>
            <w:noWrap/>
            <w:vAlign w:val="bottom"/>
            <w:hideMark/>
          </w:tcPr>
          <w:p w14:paraId="384BC34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1,313,992</w:t>
            </w:r>
          </w:p>
        </w:tc>
      </w:tr>
      <w:tr w:rsidR="00EA0FD7" w:rsidRPr="00EA0FD7" w14:paraId="4C30A91B" w14:textId="77777777" w:rsidTr="00EA0FD7">
        <w:trPr>
          <w:trHeight w:val="467"/>
        </w:trPr>
        <w:tc>
          <w:tcPr>
            <w:tcW w:w="801" w:type="dxa"/>
            <w:tcBorders>
              <w:top w:val="nil"/>
              <w:left w:val="single" w:sz="8" w:space="0" w:color="auto"/>
              <w:bottom w:val="single" w:sz="4" w:space="0" w:color="auto"/>
              <w:right w:val="single" w:sz="8" w:space="0" w:color="auto"/>
            </w:tcBorders>
            <w:noWrap/>
            <w:vAlign w:val="bottom"/>
            <w:hideMark/>
          </w:tcPr>
          <w:p w14:paraId="39D82B6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721600</w:t>
            </w:r>
          </w:p>
        </w:tc>
        <w:tc>
          <w:tcPr>
            <w:tcW w:w="3240" w:type="dxa"/>
            <w:tcBorders>
              <w:top w:val="nil"/>
              <w:left w:val="nil"/>
              <w:bottom w:val="single" w:sz="4" w:space="0" w:color="auto"/>
              <w:right w:val="nil"/>
            </w:tcBorders>
            <w:vAlign w:val="bottom"/>
            <w:hideMark/>
          </w:tcPr>
          <w:p w14:paraId="35059DC7"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Приходи од приватизације станова и пословних простора</w:t>
            </w:r>
          </w:p>
        </w:tc>
        <w:tc>
          <w:tcPr>
            <w:tcW w:w="1473" w:type="dxa"/>
            <w:tcBorders>
              <w:top w:val="nil"/>
              <w:left w:val="single" w:sz="8" w:space="0" w:color="auto"/>
              <w:bottom w:val="single" w:sz="4" w:space="0" w:color="auto"/>
              <w:right w:val="nil"/>
            </w:tcBorders>
            <w:noWrap/>
            <w:vAlign w:val="bottom"/>
            <w:hideMark/>
          </w:tcPr>
          <w:p w14:paraId="3382BE3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1,090,000</w:t>
            </w:r>
          </w:p>
        </w:tc>
        <w:tc>
          <w:tcPr>
            <w:tcW w:w="1473" w:type="dxa"/>
            <w:tcBorders>
              <w:top w:val="nil"/>
              <w:left w:val="single" w:sz="8" w:space="0" w:color="auto"/>
              <w:bottom w:val="single" w:sz="4" w:space="0" w:color="auto"/>
              <w:right w:val="single" w:sz="8" w:space="0" w:color="auto"/>
            </w:tcBorders>
            <w:noWrap/>
            <w:vAlign w:val="bottom"/>
            <w:hideMark/>
          </w:tcPr>
          <w:p w14:paraId="39C77B6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170,000</w:t>
            </w:r>
          </w:p>
        </w:tc>
        <w:tc>
          <w:tcPr>
            <w:tcW w:w="1473" w:type="dxa"/>
            <w:tcBorders>
              <w:top w:val="nil"/>
              <w:left w:val="nil"/>
              <w:bottom w:val="single" w:sz="4" w:space="0" w:color="auto"/>
              <w:right w:val="single" w:sz="4" w:space="0" w:color="auto"/>
            </w:tcBorders>
            <w:noWrap/>
            <w:vAlign w:val="bottom"/>
            <w:hideMark/>
          </w:tcPr>
          <w:p w14:paraId="34D4EB5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170,000</w:t>
            </w:r>
          </w:p>
        </w:tc>
        <w:tc>
          <w:tcPr>
            <w:tcW w:w="1474" w:type="dxa"/>
            <w:tcBorders>
              <w:top w:val="nil"/>
              <w:left w:val="nil"/>
              <w:bottom w:val="single" w:sz="4" w:space="0" w:color="auto"/>
              <w:right w:val="single" w:sz="8" w:space="0" w:color="auto"/>
            </w:tcBorders>
            <w:noWrap/>
            <w:vAlign w:val="bottom"/>
            <w:hideMark/>
          </w:tcPr>
          <w:p w14:paraId="67553DC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170,000</w:t>
            </w:r>
          </w:p>
        </w:tc>
      </w:tr>
      <w:tr w:rsidR="00EA0FD7" w:rsidRPr="00EA0FD7" w14:paraId="506044E7" w14:textId="77777777" w:rsidTr="00EA0FD7">
        <w:trPr>
          <w:trHeight w:val="248"/>
        </w:trPr>
        <w:tc>
          <w:tcPr>
            <w:tcW w:w="801" w:type="dxa"/>
            <w:tcBorders>
              <w:top w:val="nil"/>
              <w:left w:val="single" w:sz="8" w:space="0" w:color="auto"/>
              <w:bottom w:val="single" w:sz="4" w:space="0" w:color="auto"/>
              <w:right w:val="single" w:sz="8" w:space="0" w:color="auto"/>
            </w:tcBorders>
            <w:noWrap/>
            <w:vAlign w:val="bottom"/>
            <w:hideMark/>
          </w:tcPr>
          <w:p w14:paraId="01D43D2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722100</w:t>
            </w:r>
          </w:p>
        </w:tc>
        <w:tc>
          <w:tcPr>
            <w:tcW w:w="3240" w:type="dxa"/>
            <w:tcBorders>
              <w:top w:val="nil"/>
              <w:left w:val="nil"/>
              <w:bottom w:val="single" w:sz="4" w:space="0" w:color="auto"/>
              <w:right w:val="nil"/>
            </w:tcBorders>
            <w:noWrap/>
            <w:vAlign w:val="bottom"/>
            <w:hideMark/>
          </w:tcPr>
          <w:p w14:paraId="463B2B41"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Административне таксе</w:t>
            </w:r>
          </w:p>
        </w:tc>
        <w:tc>
          <w:tcPr>
            <w:tcW w:w="1473" w:type="dxa"/>
            <w:tcBorders>
              <w:top w:val="nil"/>
              <w:left w:val="single" w:sz="8" w:space="0" w:color="auto"/>
              <w:bottom w:val="single" w:sz="4" w:space="0" w:color="auto"/>
              <w:right w:val="nil"/>
            </w:tcBorders>
            <w:noWrap/>
            <w:vAlign w:val="bottom"/>
            <w:hideMark/>
          </w:tcPr>
          <w:p w14:paraId="66F742E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718,080</w:t>
            </w:r>
          </w:p>
        </w:tc>
        <w:tc>
          <w:tcPr>
            <w:tcW w:w="1473" w:type="dxa"/>
            <w:tcBorders>
              <w:top w:val="nil"/>
              <w:left w:val="single" w:sz="8" w:space="0" w:color="auto"/>
              <w:bottom w:val="single" w:sz="4" w:space="0" w:color="auto"/>
              <w:right w:val="single" w:sz="8" w:space="0" w:color="auto"/>
            </w:tcBorders>
            <w:noWrap/>
            <w:vAlign w:val="bottom"/>
            <w:hideMark/>
          </w:tcPr>
          <w:p w14:paraId="36CE135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897,890</w:t>
            </w:r>
          </w:p>
        </w:tc>
        <w:tc>
          <w:tcPr>
            <w:tcW w:w="1473" w:type="dxa"/>
            <w:tcBorders>
              <w:top w:val="nil"/>
              <w:left w:val="nil"/>
              <w:bottom w:val="single" w:sz="4" w:space="0" w:color="auto"/>
              <w:right w:val="single" w:sz="4" w:space="0" w:color="auto"/>
            </w:tcBorders>
            <w:noWrap/>
            <w:vAlign w:val="bottom"/>
            <w:hideMark/>
          </w:tcPr>
          <w:p w14:paraId="1AC9141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1,014,520</w:t>
            </w:r>
          </w:p>
        </w:tc>
        <w:tc>
          <w:tcPr>
            <w:tcW w:w="1474" w:type="dxa"/>
            <w:tcBorders>
              <w:top w:val="nil"/>
              <w:left w:val="nil"/>
              <w:bottom w:val="single" w:sz="4" w:space="0" w:color="auto"/>
              <w:right w:val="single" w:sz="8" w:space="0" w:color="auto"/>
            </w:tcBorders>
            <w:noWrap/>
            <w:vAlign w:val="bottom"/>
            <w:hideMark/>
          </w:tcPr>
          <w:p w14:paraId="2F14E9F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1,138,420</w:t>
            </w:r>
          </w:p>
        </w:tc>
      </w:tr>
      <w:tr w:rsidR="00EA0FD7" w:rsidRPr="00EA0FD7" w14:paraId="190D55E0" w14:textId="77777777" w:rsidTr="00EA0FD7">
        <w:trPr>
          <w:trHeight w:val="248"/>
        </w:trPr>
        <w:tc>
          <w:tcPr>
            <w:tcW w:w="801" w:type="dxa"/>
            <w:tcBorders>
              <w:top w:val="nil"/>
              <w:left w:val="single" w:sz="8" w:space="0" w:color="auto"/>
              <w:bottom w:val="single" w:sz="4" w:space="0" w:color="auto"/>
              <w:right w:val="single" w:sz="8" w:space="0" w:color="auto"/>
            </w:tcBorders>
            <w:noWrap/>
            <w:vAlign w:val="bottom"/>
            <w:hideMark/>
          </w:tcPr>
          <w:p w14:paraId="1840372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722200</w:t>
            </w:r>
          </w:p>
        </w:tc>
        <w:tc>
          <w:tcPr>
            <w:tcW w:w="3240" w:type="dxa"/>
            <w:tcBorders>
              <w:top w:val="nil"/>
              <w:left w:val="nil"/>
              <w:bottom w:val="single" w:sz="4" w:space="0" w:color="auto"/>
              <w:right w:val="nil"/>
            </w:tcBorders>
            <w:noWrap/>
            <w:vAlign w:val="bottom"/>
            <w:hideMark/>
          </w:tcPr>
          <w:p w14:paraId="72906F7D"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Судске таксе и судске накнаде</w:t>
            </w:r>
          </w:p>
        </w:tc>
        <w:tc>
          <w:tcPr>
            <w:tcW w:w="1473" w:type="dxa"/>
            <w:tcBorders>
              <w:top w:val="nil"/>
              <w:left w:val="single" w:sz="8" w:space="0" w:color="auto"/>
              <w:bottom w:val="single" w:sz="4" w:space="0" w:color="auto"/>
              <w:right w:val="nil"/>
            </w:tcBorders>
            <w:noWrap/>
            <w:vAlign w:val="bottom"/>
            <w:hideMark/>
          </w:tcPr>
          <w:p w14:paraId="2A12019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1,105,050</w:t>
            </w:r>
          </w:p>
        </w:tc>
        <w:tc>
          <w:tcPr>
            <w:tcW w:w="1473" w:type="dxa"/>
            <w:tcBorders>
              <w:top w:val="nil"/>
              <w:left w:val="single" w:sz="8" w:space="0" w:color="auto"/>
              <w:bottom w:val="single" w:sz="4" w:space="0" w:color="auto"/>
              <w:right w:val="single" w:sz="8" w:space="0" w:color="auto"/>
            </w:tcBorders>
            <w:noWrap/>
            <w:vAlign w:val="bottom"/>
            <w:hideMark/>
          </w:tcPr>
          <w:p w14:paraId="0FD3454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1,325,550</w:t>
            </w:r>
          </w:p>
        </w:tc>
        <w:tc>
          <w:tcPr>
            <w:tcW w:w="1473" w:type="dxa"/>
            <w:tcBorders>
              <w:top w:val="nil"/>
              <w:left w:val="nil"/>
              <w:bottom w:val="single" w:sz="4" w:space="0" w:color="auto"/>
              <w:right w:val="single" w:sz="4" w:space="0" w:color="auto"/>
            </w:tcBorders>
            <w:noWrap/>
            <w:vAlign w:val="bottom"/>
            <w:hideMark/>
          </w:tcPr>
          <w:p w14:paraId="3715D60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1,396,050</w:t>
            </w:r>
          </w:p>
        </w:tc>
        <w:tc>
          <w:tcPr>
            <w:tcW w:w="1474" w:type="dxa"/>
            <w:tcBorders>
              <w:top w:val="nil"/>
              <w:left w:val="nil"/>
              <w:bottom w:val="single" w:sz="4" w:space="0" w:color="auto"/>
              <w:right w:val="single" w:sz="8" w:space="0" w:color="auto"/>
            </w:tcBorders>
            <w:noWrap/>
            <w:vAlign w:val="bottom"/>
            <w:hideMark/>
          </w:tcPr>
          <w:p w14:paraId="5BC1134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1,456,350</w:t>
            </w:r>
          </w:p>
        </w:tc>
      </w:tr>
      <w:tr w:rsidR="00EA0FD7" w:rsidRPr="00EA0FD7" w14:paraId="0A0A3AB8" w14:textId="77777777" w:rsidTr="00EA0FD7">
        <w:trPr>
          <w:trHeight w:val="248"/>
        </w:trPr>
        <w:tc>
          <w:tcPr>
            <w:tcW w:w="801" w:type="dxa"/>
            <w:tcBorders>
              <w:top w:val="nil"/>
              <w:left w:val="single" w:sz="8" w:space="0" w:color="auto"/>
              <w:bottom w:val="single" w:sz="4" w:space="0" w:color="auto"/>
              <w:right w:val="single" w:sz="8" w:space="0" w:color="auto"/>
            </w:tcBorders>
            <w:noWrap/>
            <w:vAlign w:val="bottom"/>
            <w:hideMark/>
          </w:tcPr>
          <w:p w14:paraId="2FA4260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722300</w:t>
            </w:r>
          </w:p>
        </w:tc>
        <w:tc>
          <w:tcPr>
            <w:tcW w:w="3240" w:type="dxa"/>
            <w:tcBorders>
              <w:top w:val="nil"/>
              <w:left w:val="nil"/>
              <w:bottom w:val="single" w:sz="4" w:space="0" w:color="auto"/>
              <w:right w:val="nil"/>
            </w:tcBorders>
            <w:noWrap/>
            <w:vAlign w:val="bottom"/>
            <w:hideMark/>
          </w:tcPr>
          <w:p w14:paraId="4752AD9C"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Комуналне таксе</w:t>
            </w:r>
          </w:p>
        </w:tc>
        <w:tc>
          <w:tcPr>
            <w:tcW w:w="1473" w:type="dxa"/>
            <w:tcBorders>
              <w:top w:val="nil"/>
              <w:left w:val="single" w:sz="8" w:space="0" w:color="auto"/>
              <w:bottom w:val="single" w:sz="4" w:space="0" w:color="auto"/>
              <w:right w:val="nil"/>
            </w:tcBorders>
            <w:noWrap/>
            <w:vAlign w:val="bottom"/>
            <w:hideMark/>
          </w:tcPr>
          <w:p w14:paraId="49DB0AD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355,140</w:t>
            </w:r>
          </w:p>
        </w:tc>
        <w:tc>
          <w:tcPr>
            <w:tcW w:w="1473" w:type="dxa"/>
            <w:tcBorders>
              <w:top w:val="nil"/>
              <w:left w:val="single" w:sz="8" w:space="0" w:color="auto"/>
              <w:bottom w:val="single" w:sz="4" w:space="0" w:color="auto"/>
              <w:right w:val="single" w:sz="8" w:space="0" w:color="auto"/>
            </w:tcBorders>
            <w:noWrap/>
            <w:vAlign w:val="bottom"/>
            <w:hideMark/>
          </w:tcPr>
          <w:p w14:paraId="733AE94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400,070</w:t>
            </w:r>
          </w:p>
        </w:tc>
        <w:tc>
          <w:tcPr>
            <w:tcW w:w="1473" w:type="dxa"/>
            <w:tcBorders>
              <w:top w:val="nil"/>
              <w:left w:val="nil"/>
              <w:bottom w:val="single" w:sz="4" w:space="0" w:color="auto"/>
              <w:right w:val="single" w:sz="4" w:space="0" w:color="auto"/>
            </w:tcBorders>
            <w:noWrap/>
            <w:vAlign w:val="bottom"/>
            <w:hideMark/>
          </w:tcPr>
          <w:p w14:paraId="36139A6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400,000</w:t>
            </w:r>
          </w:p>
        </w:tc>
        <w:tc>
          <w:tcPr>
            <w:tcW w:w="1474" w:type="dxa"/>
            <w:tcBorders>
              <w:top w:val="nil"/>
              <w:left w:val="nil"/>
              <w:bottom w:val="single" w:sz="4" w:space="0" w:color="auto"/>
              <w:right w:val="single" w:sz="8" w:space="0" w:color="auto"/>
            </w:tcBorders>
            <w:noWrap/>
            <w:vAlign w:val="bottom"/>
            <w:hideMark/>
          </w:tcPr>
          <w:p w14:paraId="29179DB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400,000</w:t>
            </w:r>
          </w:p>
        </w:tc>
      </w:tr>
      <w:tr w:rsidR="00EA0FD7" w:rsidRPr="00EA0FD7" w14:paraId="046C3B48" w14:textId="77777777" w:rsidTr="00EA0FD7">
        <w:trPr>
          <w:trHeight w:val="248"/>
        </w:trPr>
        <w:tc>
          <w:tcPr>
            <w:tcW w:w="801" w:type="dxa"/>
            <w:tcBorders>
              <w:top w:val="nil"/>
              <w:left w:val="single" w:sz="8" w:space="0" w:color="auto"/>
              <w:bottom w:val="single" w:sz="4" w:space="0" w:color="auto"/>
              <w:right w:val="single" w:sz="8" w:space="0" w:color="auto"/>
            </w:tcBorders>
            <w:noWrap/>
            <w:vAlign w:val="bottom"/>
            <w:hideMark/>
          </w:tcPr>
          <w:p w14:paraId="457B520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722400</w:t>
            </w:r>
          </w:p>
        </w:tc>
        <w:tc>
          <w:tcPr>
            <w:tcW w:w="3240" w:type="dxa"/>
            <w:tcBorders>
              <w:top w:val="nil"/>
              <w:left w:val="nil"/>
              <w:bottom w:val="single" w:sz="4" w:space="0" w:color="auto"/>
              <w:right w:val="nil"/>
            </w:tcBorders>
            <w:noWrap/>
            <w:vAlign w:val="bottom"/>
            <w:hideMark/>
          </w:tcPr>
          <w:p w14:paraId="27069E53"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Остале буџетске накнаде и таксе</w:t>
            </w:r>
          </w:p>
        </w:tc>
        <w:tc>
          <w:tcPr>
            <w:tcW w:w="1473" w:type="dxa"/>
            <w:tcBorders>
              <w:top w:val="nil"/>
              <w:left w:val="single" w:sz="8" w:space="0" w:color="auto"/>
              <w:bottom w:val="single" w:sz="4" w:space="0" w:color="auto"/>
              <w:right w:val="nil"/>
            </w:tcBorders>
            <w:noWrap/>
            <w:vAlign w:val="bottom"/>
            <w:hideMark/>
          </w:tcPr>
          <w:p w14:paraId="43F4B07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1,365,850</w:t>
            </w:r>
          </w:p>
        </w:tc>
        <w:tc>
          <w:tcPr>
            <w:tcW w:w="1473" w:type="dxa"/>
            <w:tcBorders>
              <w:top w:val="nil"/>
              <w:left w:val="single" w:sz="8" w:space="0" w:color="auto"/>
              <w:bottom w:val="single" w:sz="4" w:space="0" w:color="auto"/>
              <w:right w:val="single" w:sz="8" w:space="0" w:color="auto"/>
            </w:tcBorders>
            <w:noWrap/>
            <w:vAlign w:val="bottom"/>
            <w:hideMark/>
          </w:tcPr>
          <w:p w14:paraId="1D21B42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1,030,600</w:t>
            </w:r>
          </w:p>
        </w:tc>
        <w:tc>
          <w:tcPr>
            <w:tcW w:w="1473" w:type="dxa"/>
            <w:tcBorders>
              <w:top w:val="nil"/>
              <w:left w:val="nil"/>
              <w:bottom w:val="single" w:sz="4" w:space="0" w:color="auto"/>
              <w:right w:val="single" w:sz="4" w:space="0" w:color="auto"/>
            </w:tcBorders>
            <w:noWrap/>
            <w:vAlign w:val="bottom"/>
            <w:hideMark/>
          </w:tcPr>
          <w:p w14:paraId="3109BCA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1,049,800</w:t>
            </w:r>
          </w:p>
        </w:tc>
        <w:tc>
          <w:tcPr>
            <w:tcW w:w="1474" w:type="dxa"/>
            <w:tcBorders>
              <w:top w:val="nil"/>
              <w:left w:val="nil"/>
              <w:bottom w:val="single" w:sz="4" w:space="0" w:color="auto"/>
              <w:right w:val="single" w:sz="8" w:space="0" w:color="auto"/>
            </w:tcBorders>
            <w:noWrap/>
            <w:vAlign w:val="bottom"/>
            <w:hideMark/>
          </w:tcPr>
          <w:p w14:paraId="5D96FCC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1,090,400</w:t>
            </w:r>
          </w:p>
        </w:tc>
      </w:tr>
      <w:tr w:rsidR="00EA0FD7" w:rsidRPr="00EA0FD7" w14:paraId="6FB5A4F6" w14:textId="77777777" w:rsidTr="00EA0FD7">
        <w:trPr>
          <w:trHeight w:val="248"/>
        </w:trPr>
        <w:tc>
          <w:tcPr>
            <w:tcW w:w="801" w:type="dxa"/>
            <w:tcBorders>
              <w:top w:val="nil"/>
              <w:left w:val="single" w:sz="8" w:space="0" w:color="auto"/>
              <w:bottom w:val="single" w:sz="4" w:space="0" w:color="auto"/>
              <w:right w:val="single" w:sz="8" w:space="0" w:color="auto"/>
            </w:tcBorders>
            <w:noWrap/>
            <w:vAlign w:val="bottom"/>
            <w:hideMark/>
          </w:tcPr>
          <w:p w14:paraId="472AFC9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722500</w:t>
            </w:r>
          </w:p>
        </w:tc>
        <w:tc>
          <w:tcPr>
            <w:tcW w:w="3240" w:type="dxa"/>
            <w:tcBorders>
              <w:top w:val="nil"/>
              <w:left w:val="nil"/>
              <w:bottom w:val="single" w:sz="4" w:space="0" w:color="auto"/>
              <w:right w:val="nil"/>
            </w:tcBorders>
            <w:noWrap/>
            <w:vAlign w:val="bottom"/>
            <w:hideMark/>
          </w:tcPr>
          <w:p w14:paraId="572918FA"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Посебне накнаде и таксе</w:t>
            </w:r>
          </w:p>
        </w:tc>
        <w:tc>
          <w:tcPr>
            <w:tcW w:w="1473" w:type="dxa"/>
            <w:tcBorders>
              <w:top w:val="nil"/>
              <w:left w:val="single" w:sz="8" w:space="0" w:color="auto"/>
              <w:bottom w:val="single" w:sz="4" w:space="0" w:color="auto"/>
              <w:right w:val="nil"/>
            </w:tcBorders>
            <w:noWrap/>
            <w:vAlign w:val="bottom"/>
            <w:hideMark/>
          </w:tcPr>
          <w:p w14:paraId="5EB00CC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1,740,600</w:t>
            </w:r>
          </w:p>
        </w:tc>
        <w:tc>
          <w:tcPr>
            <w:tcW w:w="1473" w:type="dxa"/>
            <w:tcBorders>
              <w:top w:val="nil"/>
              <w:left w:val="single" w:sz="8" w:space="0" w:color="auto"/>
              <w:bottom w:val="single" w:sz="4" w:space="0" w:color="auto"/>
              <w:right w:val="single" w:sz="8" w:space="0" w:color="auto"/>
            </w:tcBorders>
            <w:noWrap/>
            <w:vAlign w:val="bottom"/>
            <w:hideMark/>
          </w:tcPr>
          <w:p w14:paraId="22E725F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1,750,900</w:t>
            </w:r>
          </w:p>
        </w:tc>
        <w:tc>
          <w:tcPr>
            <w:tcW w:w="1473" w:type="dxa"/>
            <w:tcBorders>
              <w:top w:val="nil"/>
              <w:left w:val="nil"/>
              <w:bottom w:val="single" w:sz="4" w:space="0" w:color="auto"/>
              <w:right w:val="single" w:sz="4" w:space="0" w:color="auto"/>
            </w:tcBorders>
            <w:noWrap/>
            <w:vAlign w:val="bottom"/>
            <w:hideMark/>
          </w:tcPr>
          <w:p w14:paraId="18A7DE8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1,764,400</w:t>
            </w:r>
          </w:p>
        </w:tc>
        <w:tc>
          <w:tcPr>
            <w:tcW w:w="1474" w:type="dxa"/>
            <w:tcBorders>
              <w:top w:val="nil"/>
              <w:left w:val="nil"/>
              <w:bottom w:val="single" w:sz="4" w:space="0" w:color="auto"/>
              <w:right w:val="single" w:sz="8" w:space="0" w:color="auto"/>
            </w:tcBorders>
            <w:noWrap/>
            <w:vAlign w:val="bottom"/>
            <w:hideMark/>
          </w:tcPr>
          <w:p w14:paraId="7B11AA0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1,769,400</w:t>
            </w:r>
          </w:p>
        </w:tc>
      </w:tr>
      <w:tr w:rsidR="00EA0FD7" w:rsidRPr="00EA0FD7" w14:paraId="4CB20A71" w14:textId="77777777" w:rsidTr="00EA0FD7">
        <w:trPr>
          <w:trHeight w:val="248"/>
        </w:trPr>
        <w:tc>
          <w:tcPr>
            <w:tcW w:w="801" w:type="dxa"/>
            <w:tcBorders>
              <w:top w:val="nil"/>
              <w:left w:val="single" w:sz="8" w:space="0" w:color="auto"/>
              <w:bottom w:val="single" w:sz="4" w:space="0" w:color="auto"/>
              <w:right w:val="single" w:sz="8" w:space="0" w:color="auto"/>
            </w:tcBorders>
            <w:noWrap/>
            <w:vAlign w:val="bottom"/>
            <w:hideMark/>
          </w:tcPr>
          <w:p w14:paraId="2686757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722600</w:t>
            </w:r>
          </w:p>
        </w:tc>
        <w:tc>
          <w:tcPr>
            <w:tcW w:w="3240" w:type="dxa"/>
            <w:tcBorders>
              <w:top w:val="nil"/>
              <w:left w:val="nil"/>
              <w:bottom w:val="single" w:sz="4" w:space="0" w:color="auto"/>
              <w:right w:val="nil"/>
            </w:tcBorders>
            <w:noWrap/>
            <w:vAlign w:val="bottom"/>
            <w:hideMark/>
          </w:tcPr>
          <w:p w14:paraId="0F553910"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Приходи од пружања јавних услуга</w:t>
            </w:r>
          </w:p>
        </w:tc>
        <w:tc>
          <w:tcPr>
            <w:tcW w:w="1473" w:type="dxa"/>
            <w:tcBorders>
              <w:top w:val="nil"/>
              <w:left w:val="single" w:sz="8" w:space="0" w:color="auto"/>
              <w:bottom w:val="single" w:sz="4" w:space="0" w:color="auto"/>
              <w:right w:val="nil"/>
            </w:tcBorders>
            <w:noWrap/>
            <w:vAlign w:val="bottom"/>
            <w:hideMark/>
          </w:tcPr>
          <w:p w14:paraId="537AE4B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1,010,650</w:t>
            </w:r>
          </w:p>
        </w:tc>
        <w:tc>
          <w:tcPr>
            <w:tcW w:w="1473" w:type="dxa"/>
            <w:tcBorders>
              <w:top w:val="nil"/>
              <w:left w:val="single" w:sz="8" w:space="0" w:color="auto"/>
              <w:bottom w:val="single" w:sz="4" w:space="0" w:color="auto"/>
              <w:right w:val="single" w:sz="8" w:space="0" w:color="auto"/>
            </w:tcBorders>
            <w:noWrap/>
            <w:vAlign w:val="bottom"/>
            <w:hideMark/>
          </w:tcPr>
          <w:p w14:paraId="2CA437E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1,177,231</w:t>
            </w:r>
          </w:p>
        </w:tc>
        <w:tc>
          <w:tcPr>
            <w:tcW w:w="1473" w:type="dxa"/>
            <w:tcBorders>
              <w:top w:val="nil"/>
              <w:left w:val="nil"/>
              <w:bottom w:val="single" w:sz="4" w:space="0" w:color="auto"/>
              <w:right w:val="single" w:sz="4" w:space="0" w:color="auto"/>
            </w:tcBorders>
            <w:noWrap/>
            <w:vAlign w:val="bottom"/>
            <w:hideMark/>
          </w:tcPr>
          <w:p w14:paraId="3300D44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1,177,181</w:t>
            </w:r>
          </w:p>
        </w:tc>
        <w:tc>
          <w:tcPr>
            <w:tcW w:w="1474" w:type="dxa"/>
            <w:tcBorders>
              <w:top w:val="nil"/>
              <w:left w:val="nil"/>
              <w:bottom w:val="single" w:sz="4" w:space="0" w:color="auto"/>
              <w:right w:val="single" w:sz="8" w:space="0" w:color="auto"/>
            </w:tcBorders>
            <w:noWrap/>
            <w:vAlign w:val="bottom"/>
            <w:hideMark/>
          </w:tcPr>
          <w:p w14:paraId="41DCBFA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1,177,181</w:t>
            </w:r>
          </w:p>
        </w:tc>
      </w:tr>
      <w:tr w:rsidR="00EA0FD7" w:rsidRPr="00EA0FD7" w14:paraId="17B1A6EB" w14:textId="77777777" w:rsidTr="00EA0FD7">
        <w:trPr>
          <w:trHeight w:val="248"/>
        </w:trPr>
        <w:tc>
          <w:tcPr>
            <w:tcW w:w="801" w:type="dxa"/>
            <w:tcBorders>
              <w:top w:val="nil"/>
              <w:left w:val="single" w:sz="8" w:space="0" w:color="auto"/>
              <w:bottom w:val="single" w:sz="4" w:space="0" w:color="auto"/>
              <w:right w:val="single" w:sz="8" w:space="0" w:color="auto"/>
            </w:tcBorders>
            <w:noWrap/>
            <w:vAlign w:val="bottom"/>
            <w:hideMark/>
          </w:tcPr>
          <w:p w14:paraId="65476C8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722700</w:t>
            </w:r>
          </w:p>
        </w:tc>
        <w:tc>
          <w:tcPr>
            <w:tcW w:w="3240" w:type="dxa"/>
            <w:tcBorders>
              <w:top w:val="nil"/>
              <w:left w:val="nil"/>
              <w:bottom w:val="single" w:sz="4" w:space="0" w:color="auto"/>
              <w:right w:val="nil"/>
            </w:tcBorders>
            <w:noWrap/>
            <w:vAlign w:val="bottom"/>
            <w:hideMark/>
          </w:tcPr>
          <w:p w14:paraId="001BBBA9" w14:textId="7EF7A9F9"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xml:space="preserve">Непланиране уплате </w:t>
            </w:r>
            <w:r w:rsidR="00303EB7">
              <w:rPr>
                <w:rFonts w:ascii="Arial" w:eastAsia="Times New Roman" w:hAnsi="Arial" w:cs="Arial"/>
                <w:sz w:val="18"/>
                <w:szCs w:val="18"/>
                <w:lang w:val="sr-Cyrl-RS"/>
              </w:rPr>
              <w:t>–</w:t>
            </w:r>
            <w:r w:rsidRPr="00EA0FD7">
              <w:rPr>
                <w:rFonts w:ascii="Arial" w:eastAsia="Times New Roman" w:hAnsi="Arial" w:cs="Arial"/>
                <w:sz w:val="18"/>
                <w:szCs w:val="18"/>
                <w:lang w:val="sr-Cyrl-RS"/>
              </w:rPr>
              <w:t xml:space="preserve"> приходи</w:t>
            </w:r>
          </w:p>
        </w:tc>
        <w:tc>
          <w:tcPr>
            <w:tcW w:w="1473" w:type="dxa"/>
            <w:tcBorders>
              <w:top w:val="nil"/>
              <w:left w:val="single" w:sz="8" w:space="0" w:color="auto"/>
              <w:bottom w:val="single" w:sz="4" w:space="0" w:color="auto"/>
              <w:right w:val="nil"/>
            </w:tcBorders>
            <w:noWrap/>
            <w:vAlign w:val="bottom"/>
            <w:hideMark/>
          </w:tcPr>
          <w:p w14:paraId="42FAE77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88,953</w:t>
            </w:r>
          </w:p>
        </w:tc>
        <w:tc>
          <w:tcPr>
            <w:tcW w:w="1473" w:type="dxa"/>
            <w:tcBorders>
              <w:top w:val="nil"/>
              <w:left w:val="single" w:sz="8" w:space="0" w:color="auto"/>
              <w:bottom w:val="single" w:sz="4" w:space="0" w:color="auto"/>
              <w:right w:val="single" w:sz="8" w:space="0" w:color="auto"/>
            </w:tcBorders>
            <w:noWrap/>
            <w:vAlign w:val="bottom"/>
            <w:hideMark/>
          </w:tcPr>
          <w:p w14:paraId="2E8F568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63,000</w:t>
            </w:r>
          </w:p>
        </w:tc>
        <w:tc>
          <w:tcPr>
            <w:tcW w:w="1473" w:type="dxa"/>
            <w:tcBorders>
              <w:top w:val="nil"/>
              <w:left w:val="nil"/>
              <w:bottom w:val="single" w:sz="4" w:space="0" w:color="auto"/>
              <w:right w:val="single" w:sz="4" w:space="0" w:color="auto"/>
            </w:tcBorders>
            <w:noWrap/>
            <w:vAlign w:val="bottom"/>
            <w:hideMark/>
          </w:tcPr>
          <w:p w14:paraId="4BF6DF5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63,000</w:t>
            </w:r>
          </w:p>
        </w:tc>
        <w:tc>
          <w:tcPr>
            <w:tcW w:w="1474" w:type="dxa"/>
            <w:tcBorders>
              <w:top w:val="nil"/>
              <w:left w:val="nil"/>
              <w:bottom w:val="single" w:sz="4" w:space="0" w:color="auto"/>
              <w:right w:val="single" w:sz="8" w:space="0" w:color="auto"/>
            </w:tcBorders>
            <w:noWrap/>
            <w:vAlign w:val="bottom"/>
            <w:hideMark/>
          </w:tcPr>
          <w:p w14:paraId="58E3013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63,000</w:t>
            </w:r>
          </w:p>
        </w:tc>
      </w:tr>
      <w:tr w:rsidR="00EA0FD7" w:rsidRPr="00EA0FD7" w14:paraId="1AA2C1D6" w14:textId="77777777" w:rsidTr="00EA0FD7">
        <w:trPr>
          <w:trHeight w:val="263"/>
        </w:trPr>
        <w:tc>
          <w:tcPr>
            <w:tcW w:w="801" w:type="dxa"/>
            <w:tcBorders>
              <w:top w:val="nil"/>
              <w:left w:val="single" w:sz="8" w:space="0" w:color="auto"/>
              <w:bottom w:val="single" w:sz="8" w:space="0" w:color="auto"/>
              <w:right w:val="single" w:sz="8" w:space="0" w:color="auto"/>
            </w:tcBorders>
            <w:noWrap/>
            <w:vAlign w:val="bottom"/>
            <w:hideMark/>
          </w:tcPr>
          <w:p w14:paraId="155D515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723100</w:t>
            </w:r>
          </w:p>
        </w:tc>
        <w:tc>
          <w:tcPr>
            <w:tcW w:w="3240" w:type="dxa"/>
            <w:noWrap/>
            <w:vAlign w:val="bottom"/>
            <w:hideMark/>
          </w:tcPr>
          <w:p w14:paraId="3806A437"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Новчане казне</w:t>
            </w:r>
          </w:p>
        </w:tc>
        <w:tc>
          <w:tcPr>
            <w:tcW w:w="1473" w:type="dxa"/>
            <w:tcBorders>
              <w:top w:val="nil"/>
              <w:left w:val="single" w:sz="8" w:space="0" w:color="auto"/>
              <w:bottom w:val="single" w:sz="8" w:space="0" w:color="auto"/>
              <w:right w:val="nil"/>
            </w:tcBorders>
            <w:noWrap/>
            <w:vAlign w:val="bottom"/>
            <w:hideMark/>
          </w:tcPr>
          <w:p w14:paraId="71D6A67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1,587,000</w:t>
            </w:r>
          </w:p>
        </w:tc>
        <w:tc>
          <w:tcPr>
            <w:tcW w:w="1473" w:type="dxa"/>
            <w:tcBorders>
              <w:top w:val="nil"/>
              <w:left w:val="single" w:sz="8" w:space="0" w:color="auto"/>
              <w:bottom w:val="single" w:sz="8" w:space="0" w:color="auto"/>
              <w:right w:val="single" w:sz="8" w:space="0" w:color="auto"/>
            </w:tcBorders>
            <w:noWrap/>
            <w:vAlign w:val="bottom"/>
            <w:hideMark/>
          </w:tcPr>
          <w:p w14:paraId="52BE522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1,815,000</w:t>
            </w:r>
          </w:p>
        </w:tc>
        <w:tc>
          <w:tcPr>
            <w:tcW w:w="1473" w:type="dxa"/>
            <w:tcBorders>
              <w:top w:val="nil"/>
              <w:left w:val="nil"/>
              <w:bottom w:val="single" w:sz="8" w:space="0" w:color="auto"/>
              <w:right w:val="single" w:sz="4" w:space="0" w:color="auto"/>
            </w:tcBorders>
            <w:noWrap/>
            <w:vAlign w:val="bottom"/>
            <w:hideMark/>
          </w:tcPr>
          <w:p w14:paraId="6A62209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1,824,000</w:t>
            </w:r>
          </w:p>
        </w:tc>
        <w:tc>
          <w:tcPr>
            <w:tcW w:w="1474" w:type="dxa"/>
            <w:tcBorders>
              <w:top w:val="nil"/>
              <w:left w:val="nil"/>
              <w:bottom w:val="single" w:sz="8" w:space="0" w:color="auto"/>
              <w:right w:val="single" w:sz="8" w:space="0" w:color="auto"/>
            </w:tcBorders>
            <w:noWrap/>
            <w:vAlign w:val="bottom"/>
            <w:hideMark/>
          </w:tcPr>
          <w:p w14:paraId="5189482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1,835,000</w:t>
            </w:r>
          </w:p>
        </w:tc>
      </w:tr>
      <w:tr w:rsidR="00EA0FD7" w:rsidRPr="00EA0FD7" w14:paraId="611F48CD" w14:textId="77777777" w:rsidTr="00EA0FD7">
        <w:trPr>
          <w:trHeight w:val="409"/>
        </w:trPr>
        <w:tc>
          <w:tcPr>
            <w:tcW w:w="801" w:type="dxa"/>
            <w:tcBorders>
              <w:top w:val="nil"/>
              <w:left w:val="single" w:sz="8" w:space="0" w:color="auto"/>
              <w:bottom w:val="single" w:sz="8" w:space="0" w:color="auto"/>
              <w:right w:val="single" w:sz="8" w:space="0" w:color="auto"/>
            </w:tcBorders>
            <w:shd w:val="clear" w:color="auto" w:fill="99CCFF"/>
            <w:noWrap/>
            <w:vAlign w:val="bottom"/>
            <w:hideMark/>
          </w:tcPr>
          <w:p w14:paraId="70F3004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3240" w:type="dxa"/>
            <w:tcBorders>
              <w:top w:val="single" w:sz="8" w:space="0" w:color="auto"/>
              <w:left w:val="nil"/>
              <w:bottom w:val="single" w:sz="8" w:space="0" w:color="auto"/>
              <w:right w:val="nil"/>
            </w:tcBorders>
            <w:shd w:val="clear" w:color="auto" w:fill="99CCFF"/>
            <w:noWrap/>
            <w:vAlign w:val="bottom"/>
            <w:hideMark/>
          </w:tcPr>
          <w:p w14:paraId="355DFC2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УКУПНО:</w:t>
            </w:r>
          </w:p>
        </w:tc>
        <w:tc>
          <w:tcPr>
            <w:tcW w:w="1473" w:type="dxa"/>
            <w:tcBorders>
              <w:top w:val="nil"/>
              <w:left w:val="single" w:sz="8" w:space="0" w:color="auto"/>
              <w:bottom w:val="single" w:sz="8" w:space="0" w:color="auto"/>
              <w:right w:val="single" w:sz="8" w:space="0" w:color="auto"/>
            </w:tcBorders>
            <w:shd w:val="clear" w:color="auto" w:fill="99CCFF"/>
            <w:noWrap/>
            <w:vAlign w:val="bottom"/>
            <w:hideMark/>
          </w:tcPr>
          <w:p w14:paraId="719F611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12,719,824</w:t>
            </w:r>
          </w:p>
        </w:tc>
        <w:tc>
          <w:tcPr>
            <w:tcW w:w="1473" w:type="dxa"/>
            <w:tcBorders>
              <w:top w:val="nil"/>
              <w:left w:val="nil"/>
              <w:bottom w:val="single" w:sz="8" w:space="0" w:color="auto"/>
              <w:right w:val="nil"/>
            </w:tcBorders>
            <w:shd w:val="clear" w:color="auto" w:fill="99CCFF"/>
            <w:noWrap/>
            <w:vAlign w:val="bottom"/>
            <w:hideMark/>
          </w:tcPr>
          <w:p w14:paraId="0A5BE7E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10,961,160</w:t>
            </w:r>
          </w:p>
        </w:tc>
        <w:tc>
          <w:tcPr>
            <w:tcW w:w="1473" w:type="dxa"/>
            <w:tcBorders>
              <w:top w:val="nil"/>
              <w:left w:val="single" w:sz="8" w:space="0" w:color="auto"/>
              <w:bottom w:val="single" w:sz="8" w:space="0" w:color="auto"/>
              <w:right w:val="single" w:sz="8" w:space="0" w:color="auto"/>
            </w:tcBorders>
            <w:shd w:val="clear" w:color="auto" w:fill="99CCFF"/>
            <w:noWrap/>
            <w:vAlign w:val="bottom"/>
            <w:hideMark/>
          </w:tcPr>
          <w:p w14:paraId="02DB4B6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11,142,483</w:t>
            </w:r>
          </w:p>
        </w:tc>
        <w:tc>
          <w:tcPr>
            <w:tcW w:w="1474" w:type="dxa"/>
            <w:tcBorders>
              <w:top w:val="nil"/>
              <w:left w:val="nil"/>
              <w:bottom w:val="single" w:sz="8" w:space="0" w:color="auto"/>
              <w:right w:val="single" w:sz="8" w:space="0" w:color="auto"/>
            </w:tcBorders>
            <w:shd w:val="clear" w:color="auto" w:fill="99CCFF"/>
            <w:noWrap/>
            <w:vAlign w:val="bottom"/>
            <w:hideMark/>
          </w:tcPr>
          <w:p w14:paraId="31E9604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11,362,463</w:t>
            </w:r>
          </w:p>
        </w:tc>
      </w:tr>
    </w:tbl>
    <w:p w14:paraId="0838DC7C" w14:textId="77777777" w:rsidR="00EA0FD7" w:rsidRPr="00EA0FD7" w:rsidRDefault="00EA0FD7" w:rsidP="00EA0FD7">
      <w:pPr>
        <w:spacing w:after="0" w:line="240" w:lineRule="auto"/>
        <w:rPr>
          <w:rFonts w:ascii="Times New Roman" w:eastAsia="Times New Roman" w:hAnsi="Times New Roman" w:cs="Times New Roman"/>
          <w:b/>
          <w:lang w:val="sr-Cyrl-RS" w:eastAsia="hr-HR"/>
        </w:rPr>
      </w:pPr>
    </w:p>
    <w:p w14:paraId="086F25C4"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B0883D5" w14:textId="77777777" w:rsidR="00EA0FD7" w:rsidRPr="00EA0FD7" w:rsidRDefault="00EA0FD7" w:rsidP="00EA0FD7">
      <w:pPr>
        <w:spacing w:after="0" w:line="240" w:lineRule="auto"/>
        <w:jc w:val="both"/>
        <w:rPr>
          <w:rFonts w:ascii="Times New Roman" w:eastAsia="Times New Roman" w:hAnsi="Times New Roman" w:cs="Times New Roman"/>
          <w:color w:val="FF0000"/>
          <w:sz w:val="24"/>
          <w:szCs w:val="24"/>
          <w:lang w:val="sr-Cyrl-RS" w:eastAsia="hr-HR"/>
        </w:rPr>
      </w:pPr>
      <w:r w:rsidRPr="00EA0FD7">
        <w:rPr>
          <w:rFonts w:ascii="Times New Roman" w:eastAsia="Times New Roman" w:hAnsi="Times New Roman" w:cs="Times New Roman"/>
          <w:sz w:val="24"/>
          <w:szCs w:val="24"/>
          <w:lang w:val="sr-Cyrl-RS" w:eastAsia="hr-HR"/>
        </w:rPr>
        <w:t>Посматрајући укупно планиране непореске приходе у 2023. години у односу на планиране непореске приходе у 2022. години, видљив је пад од 1,76 мил. КМ.</w:t>
      </w:r>
      <w:r w:rsidRPr="00EA0FD7">
        <w:rPr>
          <w:rFonts w:ascii="Times New Roman" w:eastAsia="Times New Roman" w:hAnsi="Times New Roman" w:cs="Times New Roman"/>
          <w:color w:val="FF0000"/>
          <w:sz w:val="24"/>
          <w:szCs w:val="24"/>
          <w:lang w:val="sr-Cyrl-RS" w:eastAsia="hr-HR"/>
        </w:rPr>
        <w:t xml:space="preserve"> </w:t>
      </w:r>
    </w:p>
    <w:p w14:paraId="00B63BA1" w14:textId="77777777" w:rsidR="00EA0FD7" w:rsidRPr="00EA0FD7" w:rsidRDefault="00EA0FD7" w:rsidP="00EA0FD7">
      <w:pPr>
        <w:spacing w:after="0" w:line="240" w:lineRule="auto"/>
        <w:jc w:val="both"/>
        <w:rPr>
          <w:rFonts w:ascii="Times New Roman" w:eastAsia="Times New Roman" w:hAnsi="Times New Roman" w:cs="Times New Roman"/>
          <w:color w:val="FF0000"/>
          <w:sz w:val="24"/>
          <w:szCs w:val="24"/>
          <w:lang w:val="sr-Cyrl-RS" w:eastAsia="hr-HR"/>
        </w:rPr>
      </w:pPr>
    </w:p>
    <w:p w14:paraId="6A1A3A45"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szCs w:val="24"/>
          <w:lang w:val="sr-Cyrl-RS" w:eastAsia="hr-HR"/>
        </w:rPr>
        <w:t>До смањења планираних непореских прихода у 2023. години је дошло на</w:t>
      </w:r>
      <w:r w:rsidRPr="00EA0FD7">
        <w:rPr>
          <w:rFonts w:ascii="Times New Roman" w:eastAsia="Times New Roman" w:hAnsi="Times New Roman" w:cs="Times New Roman"/>
          <w:sz w:val="24"/>
          <w:lang w:val="sr-Cyrl-RS" w:eastAsia="hr-HR"/>
        </w:rPr>
        <w:t xml:space="preserve">: </w:t>
      </w:r>
    </w:p>
    <w:p w14:paraId="0B3A5E69" w14:textId="7E40BF79" w:rsidR="00EA0FD7" w:rsidRPr="00EA0FD7" w:rsidRDefault="00EA0FD7" w:rsidP="00EA0FD7">
      <w:pPr>
        <w:numPr>
          <w:ilvl w:val="0"/>
          <w:numId w:val="10"/>
        </w:num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осталим приходима од имовине за 1,33 мил. КМ</w:t>
      </w:r>
    </w:p>
    <w:p w14:paraId="59448BF4" w14:textId="14FE7547" w:rsidR="00EA0FD7" w:rsidRPr="00EA0FD7" w:rsidRDefault="00EA0FD7" w:rsidP="00EA0FD7">
      <w:pPr>
        <w:numPr>
          <w:ilvl w:val="0"/>
          <w:numId w:val="10"/>
        </w:num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приходима  од приватизације станова и пословних простора за 0,92 мил. КМ</w:t>
      </w:r>
    </w:p>
    <w:p w14:paraId="35B9F71E" w14:textId="00E5E310" w:rsidR="00EA0FD7" w:rsidRPr="00EA0FD7" w:rsidRDefault="00EA0FD7" w:rsidP="00EA0FD7">
      <w:pPr>
        <w:numPr>
          <w:ilvl w:val="0"/>
          <w:numId w:val="10"/>
        </w:num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приходима по основу осталих буџетских накнада и такси 0,34 мил. КМ</w:t>
      </w:r>
    </w:p>
    <w:p w14:paraId="3A4A0DD2" w14:textId="0E448E1E" w:rsidR="00EA0FD7" w:rsidRPr="00EA0FD7" w:rsidRDefault="00EA0FD7" w:rsidP="00EA0FD7">
      <w:pPr>
        <w:numPr>
          <w:ilvl w:val="0"/>
          <w:numId w:val="10"/>
        </w:num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приходи по основу непланираних уплата 0,02 мил. КМ</w:t>
      </w:r>
    </w:p>
    <w:p w14:paraId="4600F58C" w14:textId="599D6990"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szCs w:val="24"/>
          <w:lang w:val="sr-Cyrl-RS" w:eastAsia="hr-HR"/>
        </w:rPr>
        <w:t>До повећања планираних непореских прихода у 2023. години дошло</w:t>
      </w:r>
      <w:r w:rsidR="00303EB7">
        <w:rPr>
          <w:rFonts w:ascii="Times New Roman" w:eastAsia="Times New Roman" w:hAnsi="Times New Roman" w:cs="Times New Roman"/>
          <w:sz w:val="24"/>
          <w:szCs w:val="24"/>
          <w:lang w:val="sr-Cyrl-RS" w:eastAsia="hr-HR"/>
        </w:rPr>
        <w:t xml:space="preserve"> је</w:t>
      </w:r>
      <w:r w:rsidRPr="00EA0FD7">
        <w:rPr>
          <w:rFonts w:ascii="Times New Roman" w:eastAsia="Times New Roman" w:hAnsi="Times New Roman" w:cs="Times New Roman"/>
          <w:sz w:val="24"/>
          <w:szCs w:val="24"/>
          <w:lang w:val="sr-Cyrl-RS" w:eastAsia="hr-HR"/>
        </w:rPr>
        <w:t xml:space="preserve"> на</w:t>
      </w:r>
      <w:r w:rsidRPr="00EA0FD7">
        <w:rPr>
          <w:rFonts w:ascii="Times New Roman" w:eastAsia="Times New Roman" w:hAnsi="Times New Roman" w:cs="Times New Roman"/>
          <w:sz w:val="24"/>
          <w:lang w:val="sr-Cyrl-RS" w:eastAsia="hr-HR"/>
        </w:rPr>
        <w:t xml:space="preserve">: </w:t>
      </w:r>
    </w:p>
    <w:p w14:paraId="2DD8E7E8" w14:textId="06E7994D" w:rsidR="00EA0FD7" w:rsidRPr="00EA0FD7" w:rsidRDefault="00EA0FD7" w:rsidP="00EA0FD7">
      <w:pPr>
        <w:numPr>
          <w:ilvl w:val="0"/>
          <w:numId w:val="10"/>
        </w:num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приходима по основу административних такси за 0,18 мил. КМ</w:t>
      </w:r>
    </w:p>
    <w:p w14:paraId="75458645" w14:textId="7DF0C63B" w:rsidR="00EA0FD7" w:rsidRPr="00EA0FD7" w:rsidRDefault="00EA0FD7" w:rsidP="00EA0FD7">
      <w:pPr>
        <w:numPr>
          <w:ilvl w:val="0"/>
          <w:numId w:val="10"/>
        </w:num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приходима од судских такси и судских накнада за 0,22 мил. КМ</w:t>
      </w:r>
    </w:p>
    <w:p w14:paraId="073D00DA" w14:textId="18F1CC88" w:rsidR="00EA0FD7" w:rsidRPr="00EA0FD7" w:rsidRDefault="00EA0FD7" w:rsidP="00EA0FD7">
      <w:pPr>
        <w:numPr>
          <w:ilvl w:val="0"/>
          <w:numId w:val="10"/>
        </w:num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приходима од пружања јавних услуга за 0,17 мил. КМ </w:t>
      </w:r>
    </w:p>
    <w:p w14:paraId="4A56615E" w14:textId="77777777" w:rsidR="00EA0FD7" w:rsidRPr="00EA0FD7" w:rsidRDefault="00EA0FD7" w:rsidP="00EA0FD7">
      <w:pPr>
        <w:numPr>
          <w:ilvl w:val="0"/>
          <w:numId w:val="10"/>
        </w:num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приходима од новчаних казни за 0,23 мил. КМ</w:t>
      </w:r>
    </w:p>
    <w:p w14:paraId="6EE2397F" w14:textId="0F404411" w:rsidR="00EA0FD7" w:rsidRPr="00EA0FD7" w:rsidRDefault="00EA0FD7" w:rsidP="00EA0FD7">
      <w:pPr>
        <w:numPr>
          <w:ilvl w:val="0"/>
          <w:numId w:val="10"/>
        </w:num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приходи по основу комуналних такси за 0,04 мил. КМ</w:t>
      </w:r>
    </w:p>
    <w:p w14:paraId="77C4C1FB" w14:textId="2F7FFEAB" w:rsidR="00EA0FD7" w:rsidRPr="00EA0FD7" w:rsidRDefault="00EA0FD7" w:rsidP="00EA0FD7">
      <w:pPr>
        <w:numPr>
          <w:ilvl w:val="0"/>
          <w:numId w:val="10"/>
        </w:num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приходима по основу посебних накнада и такси за 0,01 мил. КМ</w:t>
      </w:r>
      <w:r w:rsidR="00303EB7">
        <w:rPr>
          <w:rFonts w:ascii="Times New Roman" w:eastAsia="Times New Roman" w:hAnsi="Times New Roman" w:cs="Times New Roman"/>
          <w:sz w:val="24"/>
          <w:lang w:val="sr-Cyrl-RS" w:eastAsia="hr-HR"/>
        </w:rPr>
        <w:t>.</w:t>
      </w:r>
    </w:p>
    <w:p w14:paraId="63AC4050" w14:textId="77777777" w:rsidR="0078010E" w:rsidRDefault="0078010E" w:rsidP="00EA0FD7">
      <w:pPr>
        <w:spacing w:after="0" w:line="240" w:lineRule="auto"/>
        <w:rPr>
          <w:rFonts w:ascii="Times New Roman" w:eastAsia="Times New Roman" w:hAnsi="Times New Roman" w:cs="Times New Roman"/>
          <w:sz w:val="24"/>
          <w:lang w:val="sr-Cyrl-RS" w:eastAsia="hr-HR"/>
        </w:rPr>
      </w:pPr>
    </w:p>
    <w:p w14:paraId="53266EAE" w14:textId="77777777" w:rsidR="0078010E" w:rsidRDefault="0078010E" w:rsidP="00EA0FD7">
      <w:pPr>
        <w:spacing w:after="0" w:line="240" w:lineRule="auto"/>
        <w:rPr>
          <w:rFonts w:ascii="Times New Roman" w:eastAsia="Times New Roman" w:hAnsi="Times New Roman" w:cs="Times New Roman"/>
          <w:b/>
          <w:sz w:val="24"/>
          <w:szCs w:val="24"/>
          <w:lang w:val="sr-Cyrl-RS" w:eastAsia="hr-HR"/>
        </w:rPr>
      </w:pPr>
    </w:p>
    <w:p w14:paraId="7B920692" w14:textId="77777777" w:rsidR="0078010E" w:rsidRDefault="0078010E" w:rsidP="00EA0FD7">
      <w:pPr>
        <w:spacing w:after="0" w:line="240" w:lineRule="auto"/>
        <w:rPr>
          <w:rFonts w:ascii="Times New Roman" w:eastAsia="Times New Roman" w:hAnsi="Times New Roman" w:cs="Times New Roman"/>
          <w:b/>
          <w:sz w:val="24"/>
          <w:szCs w:val="24"/>
          <w:lang w:val="sr-Cyrl-RS" w:eastAsia="hr-HR"/>
        </w:rPr>
      </w:pPr>
    </w:p>
    <w:p w14:paraId="707943A6" w14:textId="77777777" w:rsidR="0078010E" w:rsidRDefault="0078010E" w:rsidP="00EA0FD7">
      <w:pPr>
        <w:spacing w:after="0" w:line="240" w:lineRule="auto"/>
        <w:rPr>
          <w:rFonts w:ascii="Times New Roman" w:eastAsia="Times New Roman" w:hAnsi="Times New Roman" w:cs="Times New Roman"/>
          <w:b/>
          <w:sz w:val="24"/>
          <w:szCs w:val="24"/>
          <w:lang w:val="sr-Cyrl-RS" w:eastAsia="hr-HR"/>
        </w:rPr>
      </w:pPr>
    </w:p>
    <w:p w14:paraId="654E9BE8" w14:textId="77777777" w:rsidR="0078010E" w:rsidRDefault="0078010E" w:rsidP="00EA0FD7">
      <w:pPr>
        <w:spacing w:after="0" w:line="240" w:lineRule="auto"/>
        <w:rPr>
          <w:rFonts w:ascii="Times New Roman" w:eastAsia="Times New Roman" w:hAnsi="Times New Roman" w:cs="Times New Roman"/>
          <w:b/>
          <w:sz w:val="24"/>
          <w:szCs w:val="24"/>
          <w:lang w:val="sr-Cyrl-RS" w:eastAsia="hr-HR"/>
        </w:rPr>
      </w:pPr>
    </w:p>
    <w:p w14:paraId="4770F37B" w14:textId="77777777" w:rsidR="0078010E" w:rsidRDefault="0078010E" w:rsidP="00EA0FD7">
      <w:pPr>
        <w:spacing w:after="0" w:line="240" w:lineRule="auto"/>
        <w:rPr>
          <w:rFonts w:ascii="Times New Roman" w:eastAsia="Times New Roman" w:hAnsi="Times New Roman" w:cs="Times New Roman"/>
          <w:b/>
          <w:sz w:val="24"/>
          <w:szCs w:val="24"/>
          <w:lang w:val="sr-Cyrl-RS" w:eastAsia="hr-HR"/>
        </w:rPr>
      </w:pPr>
    </w:p>
    <w:p w14:paraId="644F01D0" w14:textId="77777777" w:rsidR="0078010E" w:rsidRDefault="0078010E" w:rsidP="00EA0FD7">
      <w:pPr>
        <w:spacing w:after="0" w:line="240" w:lineRule="auto"/>
        <w:rPr>
          <w:rFonts w:ascii="Times New Roman" w:eastAsia="Times New Roman" w:hAnsi="Times New Roman" w:cs="Times New Roman"/>
          <w:b/>
          <w:sz w:val="24"/>
          <w:szCs w:val="24"/>
          <w:lang w:val="sr-Cyrl-RS" w:eastAsia="hr-HR"/>
        </w:rPr>
      </w:pPr>
    </w:p>
    <w:p w14:paraId="5A20BE1F" w14:textId="77777777" w:rsidR="0078010E" w:rsidRDefault="0078010E" w:rsidP="00EA0FD7">
      <w:pPr>
        <w:spacing w:after="0" w:line="240" w:lineRule="auto"/>
        <w:rPr>
          <w:rFonts w:ascii="Times New Roman" w:eastAsia="Times New Roman" w:hAnsi="Times New Roman" w:cs="Times New Roman"/>
          <w:b/>
          <w:sz w:val="24"/>
          <w:szCs w:val="24"/>
          <w:lang w:val="sr-Cyrl-RS" w:eastAsia="hr-HR"/>
        </w:rPr>
      </w:pPr>
    </w:p>
    <w:p w14:paraId="3AD3CD08" w14:textId="77777777" w:rsidR="0078010E" w:rsidRDefault="0078010E" w:rsidP="00EA0FD7">
      <w:pPr>
        <w:spacing w:after="0" w:line="240" w:lineRule="auto"/>
        <w:rPr>
          <w:rFonts w:ascii="Times New Roman" w:eastAsia="Times New Roman" w:hAnsi="Times New Roman" w:cs="Times New Roman"/>
          <w:b/>
          <w:sz w:val="24"/>
          <w:szCs w:val="24"/>
          <w:lang w:val="sr-Cyrl-RS" w:eastAsia="hr-HR"/>
        </w:rPr>
      </w:pPr>
    </w:p>
    <w:p w14:paraId="07183D68" w14:textId="77777777" w:rsidR="0078010E" w:rsidRDefault="0078010E" w:rsidP="00EA0FD7">
      <w:pPr>
        <w:spacing w:after="0" w:line="240" w:lineRule="auto"/>
        <w:rPr>
          <w:rFonts w:ascii="Times New Roman" w:eastAsia="Times New Roman" w:hAnsi="Times New Roman" w:cs="Times New Roman"/>
          <w:b/>
          <w:sz w:val="24"/>
          <w:szCs w:val="24"/>
          <w:lang w:val="sr-Cyrl-RS" w:eastAsia="hr-HR"/>
        </w:rPr>
      </w:pPr>
    </w:p>
    <w:p w14:paraId="65E67F4E" w14:textId="77777777" w:rsidR="0078010E" w:rsidRDefault="0078010E" w:rsidP="00EA0FD7">
      <w:pPr>
        <w:spacing w:after="0" w:line="240" w:lineRule="auto"/>
        <w:rPr>
          <w:rFonts w:ascii="Times New Roman" w:eastAsia="Times New Roman" w:hAnsi="Times New Roman" w:cs="Times New Roman"/>
          <w:b/>
          <w:sz w:val="24"/>
          <w:szCs w:val="24"/>
          <w:lang w:val="sr-Cyrl-RS" w:eastAsia="hr-HR"/>
        </w:rPr>
      </w:pPr>
    </w:p>
    <w:p w14:paraId="3E6A9CA2" w14:textId="0C564D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lastRenderedPageBreak/>
        <w:t xml:space="preserve"> Графикон 3.24: </w:t>
      </w:r>
      <w:r w:rsidRPr="00EA0FD7">
        <w:rPr>
          <w:rFonts w:ascii="Times New Roman" w:eastAsia="Times New Roman" w:hAnsi="Times New Roman" w:cs="Times New Roman"/>
          <w:sz w:val="24"/>
          <w:szCs w:val="24"/>
          <w:lang w:val="sr-Cyrl-RS" w:eastAsia="hr-HR"/>
        </w:rPr>
        <w:t>Структура непореских прихода за 2023. годину и њихово % учешће</w:t>
      </w:r>
    </w:p>
    <w:p w14:paraId="1B07C6B3"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75A37572" wp14:editId="1ADD8948">
            <wp:extent cx="5765165" cy="2885440"/>
            <wp:effectExtent l="0" t="0" r="6985"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5165" cy="2885440"/>
                    </a:xfrm>
                    <a:prstGeom prst="rect">
                      <a:avLst/>
                    </a:prstGeom>
                    <a:noFill/>
                    <a:ln>
                      <a:noFill/>
                    </a:ln>
                  </pic:spPr>
                </pic:pic>
              </a:graphicData>
            </a:graphic>
          </wp:inline>
        </w:drawing>
      </w:r>
    </w:p>
    <w:p w14:paraId="145E7E52"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p>
    <w:p w14:paraId="0820D999" w14:textId="77777777" w:rsidR="00EA0FD7" w:rsidRPr="00EA0FD7" w:rsidRDefault="00EA0FD7" w:rsidP="00EA0FD7">
      <w:pPr>
        <w:spacing w:after="0" w:line="240" w:lineRule="auto"/>
        <w:jc w:val="center"/>
        <w:rPr>
          <w:rFonts w:ascii="Times New Roman" w:eastAsia="Times New Roman" w:hAnsi="Times New Roman" w:cs="Times New Roman"/>
          <w:sz w:val="24"/>
          <w:szCs w:val="24"/>
          <w:lang w:val="sr-Cyrl-RS" w:eastAsia="hr-HR"/>
        </w:rPr>
      </w:pPr>
    </w:p>
    <w:p w14:paraId="6F4872D5"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szCs w:val="24"/>
          <w:lang w:val="sr-Cyrl-RS" w:eastAsia="hr-HR"/>
        </w:rPr>
        <w:t>Приходи од финансијске и нефинансијске имовине – 721100</w:t>
      </w:r>
      <w:r w:rsidRPr="00EA0FD7">
        <w:rPr>
          <w:rFonts w:ascii="Times New Roman" w:eastAsia="Times New Roman" w:hAnsi="Times New Roman" w:cs="Times New Roman"/>
          <w:sz w:val="24"/>
          <w:szCs w:val="24"/>
          <w:lang w:val="sr-Cyrl-RS" w:eastAsia="hr-HR"/>
        </w:rPr>
        <w:t xml:space="preserve"> у 2023. години су планирани у висини од 948.735 КМ, што је незнатно мање у односу на план за 2022. годину. Учешће ових прихода у укупним непореским приходима за 2023. годину је 8,66%. </w:t>
      </w:r>
    </w:p>
    <w:p w14:paraId="496A54AF" w14:textId="457E83AB"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Већина ових прихода у укупном износу од 945.000 КМ планира се наплатити путем Канцеларије за управљ</w:t>
      </w:r>
      <w:r w:rsidR="00303EB7">
        <w:rPr>
          <w:rFonts w:ascii="Times New Roman" w:eastAsia="Times New Roman" w:hAnsi="Times New Roman" w:cs="Times New Roman"/>
          <w:sz w:val="24"/>
          <w:szCs w:val="24"/>
          <w:lang w:val="sr-Cyrl-RS" w:eastAsia="hr-HR"/>
        </w:rPr>
        <w:t>а</w:t>
      </w:r>
      <w:r w:rsidRPr="00EA0FD7">
        <w:rPr>
          <w:rFonts w:ascii="Times New Roman" w:eastAsia="Times New Roman" w:hAnsi="Times New Roman" w:cs="Times New Roman"/>
          <w:sz w:val="24"/>
          <w:szCs w:val="24"/>
          <w:lang w:val="sr-Cyrl-RS" w:eastAsia="hr-HR"/>
        </w:rPr>
        <w:t xml:space="preserve">ње јавном имовином (приходи од изнајмљивања пословних простора 720.000КМ, приходи од коришћења градског грађевинског земљишта 100.000 КМ, приходи од коришћења јавних површина за љетне баште 90.000 КМ, приходи од давања права на експлоатацију природних ресурса 10.000 КМ и приходи од изнајмљивања остале материјалне имовине 25.000 КМ). Канцеларија за управљање јавном имовином је у 2023. години планирала ове приходе у нивоу плана за 2022. годину односно на нивоу остварење из 2021. године. </w:t>
      </w:r>
    </w:p>
    <w:p w14:paraId="0F3F886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Учешће прихода других одјељења у овој групи прихода је незнатно и износи свега 3.735 КМ. Ова врста прихода је и у 2024. и 2025. години планирана на истом нивоу. </w:t>
      </w:r>
    </w:p>
    <w:p w14:paraId="1361A90C"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49EF6F8"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szCs w:val="24"/>
          <w:lang w:val="sr-Cyrl-RS" w:eastAsia="hr-HR"/>
        </w:rPr>
        <w:t xml:space="preserve">Остали приходи од имовине – 721200 </w:t>
      </w:r>
      <w:r w:rsidRPr="00EA0FD7">
        <w:rPr>
          <w:rFonts w:ascii="Times New Roman" w:eastAsia="Times New Roman" w:hAnsi="Times New Roman" w:cs="Times New Roman"/>
          <w:sz w:val="24"/>
          <w:szCs w:val="24"/>
          <w:lang w:val="sr-Cyrl-RS" w:eastAsia="hr-HR"/>
        </w:rPr>
        <w:t xml:space="preserve">за 2023. годину су планирани у  висини  од 1.382.184 КМ и у мањем су износу у односу на план за 2022. годину </w:t>
      </w:r>
      <w:r w:rsidRPr="00EA0FD7">
        <w:rPr>
          <w:rFonts w:ascii="Times New Roman" w:eastAsia="Times New Roman" w:hAnsi="Times New Roman" w:cs="Times New Roman"/>
          <w:sz w:val="24"/>
          <w:lang w:val="sr-Cyrl-RS" w:eastAsia="hr-HR"/>
        </w:rPr>
        <w:t>за 1.326.042 КМ</w:t>
      </w:r>
      <w:r w:rsidRPr="00EA0FD7">
        <w:rPr>
          <w:rFonts w:ascii="Times New Roman" w:eastAsia="Times New Roman" w:hAnsi="Times New Roman" w:cs="Times New Roman"/>
          <w:sz w:val="24"/>
          <w:szCs w:val="24"/>
          <w:lang w:val="sr-Cyrl-RS" w:eastAsia="hr-HR"/>
        </w:rPr>
        <w:t>. У 2024. години и 2025. години ова врста прихода је планирана у износима од 1.334.812 КМ и 1.313.992 КМ.</w:t>
      </w:r>
    </w:p>
    <w:p w14:paraId="0175581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DC25071" w14:textId="0A3D442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2023. години најзначајније учешће у овој групи прихода има Канцеларија за управљање јавном имовином у износу од 1.025.000 КМ.</w:t>
      </w:r>
      <w:r w:rsidRPr="00EA0FD7">
        <w:rPr>
          <w:rFonts w:ascii="Times New Roman" w:eastAsia="Times New Roman" w:hAnsi="Times New Roman" w:cs="Times New Roman"/>
          <w:color w:val="FF0000"/>
          <w:sz w:val="24"/>
          <w:szCs w:val="24"/>
          <w:lang w:val="sr-Cyrl-RS" w:eastAsia="hr-HR"/>
        </w:rPr>
        <w:t xml:space="preserve"> </w:t>
      </w:r>
      <w:r w:rsidRPr="00EA0FD7">
        <w:rPr>
          <w:rFonts w:ascii="Times New Roman" w:eastAsia="Times New Roman" w:hAnsi="Times New Roman" w:cs="Times New Roman"/>
          <w:sz w:val="24"/>
          <w:szCs w:val="24"/>
          <w:lang w:val="sr-Cyrl-RS" w:eastAsia="hr-HR"/>
        </w:rPr>
        <w:t>У овај износ  планираних средстава спада прије свега</w:t>
      </w:r>
      <w:r w:rsidR="00303EB7">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 xml:space="preserve">Приход од продаје земљишта у власништву Дистрикта који је у 2023. години планиран у износу 600.000 КМ, што је 980.404 КМ мање у односу на остварење у 2021. години. Процјена ове врсте прихода је урађена на основу поднесених захтјева за куповином која би се требала остварити у 2023. години. Остали приходи  од земљишне ренте и изнајмљивања пољопривредног земљишта су у 2023. години планирани у износу од 300.000 КМ. Приликом процјене ове врсте прихода полазило се од Уговора којима су дата пољопривредна земљишта  у закуп као и на основу плана прихода за 2022. годину. Затим, Приходи од давања у закуп пијаца су у 2023. години </w:t>
      </w:r>
      <w:r w:rsidRPr="00EA0FD7">
        <w:rPr>
          <w:rFonts w:ascii="Times New Roman" w:eastAsia="Times New Roman" w:hAnsi="Times New Roman" w:cs="Times New Roman"/>
          <w:sz w:val="24"/>
          <w:szCs w:val="24"/>
          <w:lang w:val="sr-Cyrl-RS" w:eastAsia="hr-HR"/>
        </w:rPr>
        <w:lastRenderedPageBreak/>
        <w:t>планирани у износу од  70.000 КМ што је за око 31.161 КМ више у односу на остварење ове врсте прихода у 2021. години,  јер се очекује пораст броја склопљених уговора.</w:t>
      </w:r>
    </w:p>
    <w:p w14:paraId="7294B4D9"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Канцеларија за управљање јавном имовином је такође планирала остале приходе од продаје имовине у износу од 50.000 КМ, јер се очекује продаја одређених станова у власништву Канцеларије. </w:t>
      </w:r>
    </w:p>
    <w:p w14:paraId="4DEADE35"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Приходи од продаје покретне имовине су планирани у износу од 5.000 КМ.</w:t>
      </w:r>
      <w:r w:rsidRPr="00EA0FD7">
        <w:rPr>
          <w:rFonts w:ascii="Times New Roman" w:eastAsia="Times New Roman" w:hAnsi="Times New Roman" w:cs="Times New Roman"/>
          <w:color w:val="FF0000"/>
          <w:sz w:val="24"/>
          <w:szCs w:val="24"/>
          <w:lang w:val="sr-Cyrl-RS" w:eastAsia="hr-HR"/>
        </w:rPr>
        <w:t xml:space="preserve"> </w:t>
      </w:r>
    </w:p>
    <w:p w14:paraId="465B72B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D4DB48C" w14:textId="5185D6F4" w:rsidR="00EA0FD7" w:rsidRPr="00EA0FD7" w:rsidRDefault="00EA0FD7" w:rsidP="00EA0FD7">
      <w:pPr>
        <w:spacing w:after="0" w:line="240" w:lineRule="auto"/>
        <w:jc w:val="both"/>
        <w:rPr>
          <w:rFonts w:ascii="Times New Roman" w:eastAsia="Times New Roman" w:hAnsi="Times New Roman" w:cs="Times New Roman"/>
          <w:color w:val="FF0000"/>
          <w:sz w:val="24"/>
          <w:szCs w:val="24"/>
          <w:lang w:val="sr-Cyrl-RS" w:eastAsia="hr-HR"/>
        </w:rPr>
      </w:pPr>
      <w:r w:rsidRPr="00EA0FD7">
        <w:rPr>
          <w:rFonts w:ascii="Times New Roman" w:eastAsia="Times New Roman" w:hAnsi="Times New Roman" w:cs="Times New Roman"/>
          <w:sz w:val="24"/>
          <w:szCs w:val="24"/>
          <w:lang w:val="sr-Cyrl-RS" w:eastAsia="hr-HR"/>
        </w:rPr>
        <w:t xml:space="preserve">Значајан удио у Осталим приходима од имовине имају и  приходи од камата на депозите у банци који су планирани у износу од 350.000 КМ у 2023. години, односно 300.000 КМ и 250.000 КМ у 2024. односно 2025. години. Приходи од камата  потичу од активности Дирекције за финансије, који се односе на инвестирање </w:t>
      </w:r>
      <w:r w:rsidR="00303EB7">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орочавање расположивих новчаних средстава са Јединственог рачуна Трезора Брчко дистрикта БиХ, а која за одређени временски период нису потребна за извршење (плаћања) планираних буџетских обавеза, а све у складу са Законом о Трезору Брчко дистрикта БиХ и Законом о буџету Брчко дистрикта БиХ. Износ расположивих новчаних средстава за који се проводи поступак инвестирања </w:t>
      </w:r>
      <w:r w:rsidR="00303EB7">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орочавања у пословним банкама на основу објављеног Јавног позива, потиче највећим дијелом из нереализованог капиталног буџета текуће као и капиталног буџета претходних година. Уз претпоставку да се износ расположивих средстава  из године у годину смањује усљед реализације капиталних пројеката који су планирани у капиталним буџетима, из године у годину се смањује и износ расположивих новчаних средстава за који се може провести поступак орочавања. Из тих разлога, као и чињенице да пословне банке нуде значајно ниже каматне стопе на орочена средства, планирани износи прихода од камата на орочене депозите на годишњим нивоима имају тенденцију опадања.</w:t>
      </w:r>
      <w:r w:rsidRPr="00EA0FD7">
        <w:rPr>
          <w:rFonts w:ascii="Times New Roman" w:eastAsia="Times New Roman" w:hAnsi="Times New Roman" w:cs="Times New Roman"/>
          <w:color w:val="FF0000"/>
          <w:sz w:val="24"/>
          <w:szCs w:val="24"/>
          <w:lang w:val="sr-Cyrl-RS" w:eastAsia="hr-HR"/>
        </w:rPr>
        <w:t xml:space="preserve"> </w:t>
      </w:r>
    </w:p>
    <w:p w14:paraId="69142A4F"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45A81588" w14:textId="16942B7B"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Одјељење за просторно планирање и имовинскоправне послове у 2023. години планира приходе од продаје права грађења у поступку легализације бесправно изграђених грађевина у износу од 2.800 КМ, а у 2024. и 2025. години 1.100 КМ и 950 КМ. С обзиром да је процес легализације бесправно изграђених грађевина највећим дијелом завршен, планира се мањи обим активности, тј. окончање преосталих поступака, што ће резултирати  и мањим приходима у наредном периоду. </w:t>
      </w:r>
    </w:p>
    <w:p w14:paraId="5C4ECD68"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562B082A" w14:textId="43ADF26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Најниже учешће у овој групи прихода заузимају Остали приходи од финансијске и нематеријалне имовине које планира Одјељење за здравство и остале услуге, а по основу ратних потраживања од Регистра </w:t>
      </w:r>
      <w:r w:rsidR="00303EB7">
        <w:rPr>
          <w:rFonts w:ascii="Times New Roman" w:eastAsia="Times New Roman" w:hAnsi="Times New Roman" w:cs="Times New Roman"/>
          <w:sz w:val="24"/>
          <w:lang w:val="sr-Cyrl-RS" w:eastAsia="hr-HR"/>
        </w:rPr>
        <w:t>хартија од вриједности</w:t>
      </w:r>
      <w:r w:rsidRPr="00EA0FD7">
        <w:rPr>
          <w:rFonts w:ascii="Times New Roman" w:eastAsia="Times New Roman" w:hAnsi="Times New Roman" w:cs="Times New Roman"/>
          <w:sz w:val="24"/>
          <w:lang w:val="sr-Cyrl-RS" w:eastAsia="hr-HR"/>
        </w:rPr>
        <w:t xml:space="preserve"> у Федерацији БиХ у износу од 4.384 КМ, 8.712 КМ и 38.042 КМ у 2023, 2024. и 2025. години.</w:t>
      </w:r>
    </w:p>
    <w:p w14:paraId="4BE516FD" w14:textId="43004D34"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Остали приходи од имовине чине 12,61% од укупних непореских прихода у 2023. години</w:t>
      </w:r>
      <w:r w:rsidR="00303EB7">
        <w:rPr>
          <w:rFonts w:ascii="Times New Roman" w:eastAsia="Times New Roman" w:hAnsi="Times New Roman" w:cs="Times New Roman"/>
          <w:sz w:val="24"/>
          <w:szCs w:val="24"/>
          <w:lang w:val="sr-Cyrl-RS" w:eastAsia="hr-HR"/>
        </w:rPr>
        <w:t>.</w:t>
      </w:r>
    </w:p>
    <w:p w14:paraId="2EAFB8AF" w14:textId="77777777" w:rsidR="00EA0FD7" w:rsidRPr="00EA0FD7" w:rsidRDefault="00EA0FD7" w:rsidP="00EA0FD7">
      <w:pPr>
        <w:spacing w:after="0" w:line="240" w:lineRule="auto"/>
        <w:jc w:val="both"/>
        <w:rPr>
          <w:rFonts w:ascii="Times New Roman" w:eastAsia="Times New Roman" w:hAnsi="Times New Roman" w:cs="Times New Roman"/>
          <w:color w:val="FF0000"/>
          <w:sz w:val="24"/>
          <w:szCs w:val="24"/>
          <w:lang w:val="sr-Cyrl-RS" w:eastAsia="hr-HR"/>
        </w:rPr>
      </w:pPr>
    </w:p>
    <w:p w14:paraId="264CE412" w14:textId="7D9E93B0"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szCs w:val="24"/>
          <w:lang w:val="sr-Cyrl-RS" w:eastAsia="hr-HR"/>
        </w:rPr>
        <w:t>Приходи од приватизације станова и пословних простора – 721600</w:t>
      </w:r>
      <w:r w:rsidRPr="00EA0FD7">
        <w:rPr>
          <w:rFonts w:ascii="Times New Roman" w:eastAsia="Times New Roman" w:hAnsi="Times New Roman" w:cs="Times New Roman"/>
          <w:sz w:val="24"/>
          <w:szCs w:val="24"/>
          <w:lang w:val="sr-Cyrl-RS" w:eastAsia="hr-HR"/>
        </w:rPr>
        <w:t xml:space="preserve"> у 2023, 2024. и 2025. години су планирани у износу од по 170.000 КМ.</w:t>
      </w:r>
      <w:r w:rsidRPr="00EA0FD7">
        <w:rPr>
          <w:rFonts w:ascii="Times New Roman" w:eastAsia="Times New Roman" w:hAnsi="Times New Roman" w:cs="Times New Roman"/>
          <w:color w:val="FF0000"/>
          <w:sz w:val="24"/>
          <w:szCs w:val="24"/>
          <w:lang w:val="sr-Cyrl-RS" w:eastAsia="hr-HR"/>
        </w:rPr>
        <w:t xml:space="preserve"> </w:t>
      </w:r>
      <w:r w:rsidRPr="00EA0FD7">
        <w:rPr>
          <w:rFonts w:ascii="Times New Roman" w:eastAsia="Times New Roman" w:hAnsi="Times New Roman" w:cs="Times New Roman"/>
          <w:sz w:val="24"/>
          <w:szCs w:val="24"/>
          <w:lang w:val="sr-Cyrl-RS" w:eastAsia="hr-HR"/>
        </w:rPr>
        <w:t>Сви приходи из ове групе се остварују путем Канцеларије за управљање јавном имовином и планирани су у мањем износу у односу на план 2022. године (за 920.000 КМ).</w:t>
      </w:r>
    </w:p>
    <w:p w14:paraId="6ED65FDA" w14:textId="7F234962"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Приходи од приватизације станова (фонд становања и фонд одржавања) су планирани на основу остварених прихода за 2021. годину,</w:t>
      </w:r>
      <w:r w:rsidR="00303EB7">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док су приходи од продаје пословних простора планирани на основу иницијатива за продају пословних простора.</w:t>
      </w:r>
    </w:p>
    <w:p w14:paraId="31281BD1"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 У 2023. години Приходи од приватизације станова и пословних простора у непореским приходима учествују са 1,55%.</w:t>
      </w:r>
    </w:p>
    <w:p w14:paraId="6ABFF0DF" w14:textId="77777777" w:rsidR="00EA0FD7" w:rsidRPr="00EA0FD7" w:rsidRDefault="00EA0FD7" w:rsidP="00EA0FD7">
      <w:pPr>
        <w:spacing w:after="0" w:line="240" w:lineRule="auto"/>
        <w:ind w:firstLine="720"/>
        <w:jc w:val="both"/>
        <w:rPr>
          <w:rFonts w:ascii="Times New Roman" w:eastAsia="Times New Roman" w:hAnsi="Times New Roman" w:cs="Times New Roman"/>
          <w:b/>
          <w:color w:val="FF0000"/>
          <w:sz w:val="24"/>
          <w:lang w:val="sr-Cyrl-RS" w:eastAsia="hr-HR"/>
        </w:rPr>
      </w:pPr>
    </w:p>
    <w:p w14:paraId="608893F2" w14:textId="1616909D" w:rsidR="00EA0FD7" w:rsidRPr="00EA0FD7" w:rsidRDefault="00EA0FD7" w:rsidP="00EA0FD7">
      <w:pPr>
        <w:spacing w:after="0" w:line="240" w:lineRule="auto"/>
        <w:jc w:val="both"/>
        <w:rPr>
          <w:rFonts w:ascii="Times New Roman" w:eastAsia="Times New Roman" w:hAnsi="Times New Roman" w:cs="Times New Roman"/>
          <w:color w:val="FF0000"/>
          <w:sz w:val="24"/>
          <w:lang w:val="sr-Cyrl-RS" w:eastAsia="hr-HR"/>
        </w:rPr>
      </w:pPr>
      <w:r w:rsidRPr="00EA0FD7">
        <w:rPr>
          <w:rFonts w:ascii="Times New Roman" w:eastAsia="Times New Roman" w:hAnsi="Times New Roman" w:cs="Times New Roman"/>
          <w:b/>
          <w:sz w:val="24"/>
          <w:lang w:val="sr-Cyrl-RS" w:eastAsia="hr-HR"/>
        </w:rPr>
        <w:t>Административне таксе – 722100</w:t>
      </w:r>
      <w:r w:rsidRPr="00EA0FD7">
        <w:rPr>
          <w:rFonts w:ascii="Times New Roman" w:eastAsia="Times New Roman" w:hAnsi="Times New Roman" w:cs="Times New Roman"/>
          <w:bCs/>
          <w:sz w:val="24"/>
          <w:lang w:val="sr-Cyrl-RS" w:eastAsia="hr-HR"/>
        </w:rPr>
        <w:t xml:space="preserve"> у 2023. години су планиране у износу од </w:t>
      </w:r>
      <w:r w:rsidRPr="00EA0FD7">
        <w:rPr>
          <w:rFonts w:ascii="Times New Roman" w:eastAsia="Times New Roman" w:hAnsi="Times New Roman" w:cs="Times New Roman"/>
          <w:sz w:val="24"/>
          <w:szCs w:val="18"/>
          <w:lang w:val="sr-Cyrl-RS" w:eastAsia="hr-HR"/>
        </w:rPr>
        <w:t xml:space="preserve">897.890 </w:t>
      </w:r>
      <w:r w:rsidRPr="00EA0FD7">
        <w:rPr>
          <w:rFonts w:ascii="Times New Roman" w:eastAsia="Times New Roman" w:hAnsi="Times New Roman" w:cs="Times New Roman"/>
          <w:bCs/>
          <w:sz w:val="24"/>
          <w:lang w:val="sr-Cyrl-RS" w:eastAsia="hr-HR"/>
        </w:rPr>
        <w:t xml:space="preserve">КМ. </w:t>
      </w:r>
      <w:r w:rsidRPr="00EA0FD7">
        <w:rPr>
          <w:rFonts w:ascii="Times New Roman" w:eastAsia="Times New Roman" w:hAnsi="Times New Roman" w:cs="Times New Roman"/>
          <w:sz w:val="24"/>
          <w:lang w:val="sr-Cyrl-RS" w:eastAsia="hr-HR"/>
        </w:rPr>
        <w:t xml:space="preserve">Најзначајније учешће у плану за 2023. годину у овој групи прихода имају приходи које остварује Одјељење за јавни регистар у износу од 323.700 КМ, у 2024. години 344.500 </w:t>
      </w:r>
      <w:r w:rsidRPr="00EA0FD7">
        <w:rPr>
          <w:rFonts w:ascii="Times New Roman" w:eastAsia="Times New Roman" w:hAnsi="Times New Roman" w:cs="Times New Roman"/>
          <w:sz w:val="24"/>
          <w:lang w:val="sr-Cyrl-RS" w:eastAsia="hr-HR"/>
        </w:rPr>
        <w:lastRenderedPageBreak/>
        <w:t xml:space="preserve">КМ и у 2025. години 354.500 КМ. Дирекција за финансије Брчко дистрикта, у чијој је надлежности штампање, пуштање у оптицај и дистрибуција таксених марака, планира приходе по овом основу у износу од 480.000 КМ у 2023 години а 576.000 КМ и 690.000 КМ, у 2024. и 2025. години. Затим, Одјељење за јавну </w:t>
      </w:r>
      <w:r w:rsidR="00303EB7">
        <w:rPr>
          <w:rFonts w:ascii="Times New Roman" w:eastAsia="Times New Roman" w:hAnsi="Times New Roman" w:cs="Times New Roman"/>
          <w:sz w:val="24"/>
          <w:lang w:val="sr-Cyrl-RS" w:eastAsia="hr-HR"/>
        </w:rPr>
        <w:t>безбједност</w:t>
      </w:r>
      <w:r w:rsidRPr="00EA0FD7">
        <w:rPr>
          <w:rFonts w:ascii="Times New Roman" w:eastAsia="Times New Roman" w:hAnsi="Times New Roman" w:cs="Times New Roman"/>
          <w:sz w:val="24"/>
          <w:lang w:val="sr-Cyrl-RS" w:eastAsia="hr-HR"/>
        </w:rPr>
        <w:t xml:space="preserve"> у износу од 63.000 КМ по годинама. Одјељење за просторно планирање и имовинскоправне послове у истом периоду планира приходе у износу од 1.740 КМ, 1.270 КМ и 1.170 КМ. Одјељење  за пољопривреду, шумарство и водопривреду планира приходе у износу од 6.500 КМ, Одјељење за привредни развој, спорт и културу у износу од 11.000 КМ, Полиција Брчко дистрикта БиХ у овој групи остварује приходе у износу од 7.840 КМ, затим, Одјељење за јавне послове у износу од 1.240 КМ, Одјељење за образовање у износу од 1.100 КМ и остала одјељења у износу од по 1.770 КМ.</w:t>
      </w:r>
      <w:r w:rsidRPr="00EA0FD7">
        <w:rPr>
          <w:rFonts w:ascii="Times New Roman" w:eastAsia="Times New Roman" w:hAnsi="Times New Roman" w:cs="Times New Roman"/>
          <w:color w:val="FF0000"/>
          <w:sz w:val="24"/>
          <w:lang w:val="sr-Cyrl-RS" w:eastAsia="hr-HR"/>
        </w:rPr>
        <w:t xml:space="preserve"> </w:t>
      </w:r>
    </w:p>
    <w:p w14:paraId="72A08B32" w14:textId="77777777" w:rsidR="00EA0FD7" w:rsidRPr="00EA0FD7" w:rsidRDefault="00EA0FD7" w:rsidP="00EA0FD7">
      <w:pPr>
        <w:spacing w:after="0" w:line="240" w:lineRule="auto"/>
        <w:jc w:val="both"/>
        <w:rPr>
          <w:rFonts w:ascii="Times New Roman" w:eastAsia="Times New Roman" w:hAnsi="Times New Roman" w:cs="Times New Roman"/>
          <w:color w:val="FF0000"/>
          <w:sz w:val="24"/>
          <w:lang w:val="sr-Cyrl-RS" w:eastAsia="hr-HR"/>
        </w:rPr>
      </w:pPr>
      <w:r w:rsidRPr="00EA0FD7">
        <w:rPr>
          <w:rFonts w:ascii="Times New Roman" w:eastAsia="Times New Roman" w:hAnsi="Times New Roman" w:cs="Times New Roman"/>
          <w:sz w:val="24"/>
          <w:lang w:val="sr-Cyrl-RS" w:eastAsia="hr-HR"/>
        </w:rPr>
        <w:t>Административне таксе чине 8,19% од укупних непореских прихода у 2023. години, а у 2024. години и 2025. години 9,1%, односно 10,02%.</w:t>
      </w:r>
    </w:p>
    <w:p w14:paraId="1408E6AB" w14:textId="77777777" w:rsidR="00EA0FD7" w:rsidRPr="00EA0FD7" w:rsidRDefault="00EA0FD7" w:rsidP="00EA0FD7">
      <w:pPr>
        <w:spacing w:after="0" w:line="240" w:lineRule="auto"/>
        <w:jc w:val="both"/>
        <w:rPr>
          <w:rFonts w:ascii="Times New Roman" w:eastAsia="Times New Roman" w:hAnsi="Times New Roman" w:cs="Times New Roman"/>
          <w:color w:val="FF0000"/>
          <w:sz w:val="24"/>
          <w:lang w:val="sr-Cyrl-RS" w:eastAsia="hr-HR"/>
        </w:rPr>
      </w:pPr>
      <w:r w:rsidRPr="00EA0FD7">
        <w:rPr>
          <w:rFonts w:ascii="Times New Roman" w:eastAsia="Times New Roman" w:hAnsi="Times New Roman" w:cs="Times New Roman"/>
          <w:color w:val="FF0000"/>
          <w:sz w:val="24"/>
          <w:lang w:val="sr-Cyrl-RS" w:eastAsia="hr-HR"/>
        </w:rPr>
        <w:tab/>
      </w:r>
    </w:p>
    <w:p w14:paraId="3485D802"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b/>
          <w:sz w:val="24"/>
          <w:lang w:val="sr-Cyrl-RS" w:eastAsia="hr-HR"/>
        </w:rPr>
        <w:t xml:space="preserve">Судске таксе и судске накнаде – 722200 </w:t>
      </w:r>
      <w:r w:rsidRPr="00EA0FD7">
        <w:rPr>
          <w:rFonts w:ascii="Times New Roman" w:eastAsia="Times New Roman" w:hAnsi="Times New Roman" w:cs="Times New Roman"/>
          <w:sz w:val="24"/>
          <w:lang w:val="sr-Cyrl-RS" w:eastAsia="hr-HR"/>
        </w:rPr>
        <w:t xml:space="preserve"> су у 2023. години планиране у износу од 1.325.550 КМ, што је за 220.500 КМ више у односу на план за 2022. годину. У 2024. и 2025. години судске таксе и судске накнаде су планиране у висини од 1.396.050 КМ, односно 1.456.350 КМ. Ову врсту прихода прикупља Правосуђе Дистрикта и то у највећој мјери Основни суд, гдје се приликом планирања судских такси и судских накнада полазило од извршења ове врсте прихода у 2021. години. </w:t>
      </w:r>
    </w:p>
    <w:p w14:paraId="0DBC8CD0"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У наредном трогодишњем периоду се очекује повећање броја запримљених и окончаних предмета у којима ће Брчко дистрикт БиХ имати статус тужиоца или тражиоца извршења, што би требало резултирати незнатним повећањем нивоа  остварених прихода које остварује Правобранилаштво Дистрикта по основу накнада за трошкове поступка. </w:t>
      </w:r>
    </w:p>
    <w:p w14:paraId="1572B100"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У наредном периоду се не очекује усвајање Закона  или израда појединих Законских прописа који би могли значајније утицати на расположивост прихода Правосудне комисије, Основног суда и Правобранилаштва.  </w:t>
      </w:r>
    </w:p>
    <w:p w14:paraId="6BFD11A2" w14:textId="4AB57530"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У овој групи прихода се планирају и приходи од евидентирања уписа чињеница, промјене података и издавање извода из Регистра тестамената и других насљедно</w:t>
      </w:r>
      <w:r w:rsidR="00303EB7">
        <w:rPr>
          <w:rFonts w:ascii="Times New Roman" w:eastAsia="Times New Roman" w:hAnsi="Times New Roman" w:cs="Times New Roman"/>
          <w:sz w:val="24"/>
          <w:lang w:val="sr-Cyrl-RS" w:eastAsia="hr-HR"/>
        </w:rPr>
        <w:t>-</w:t>
      </w:r>
      <w:r w:rsidRPr="00EA0FD7">
        <w:rPr>
          <w:rFonts w:ascii="Times New Roman" w:eastAsia="Times New Roman" w:hAnsi="Times New Roman" w:cs="Times New Roman"/>
          <w:sz w:val="24"/>
          <w:lang w:val="sr-Cyrl-RS" w:eastAsia="hr-HR"/>
        </w:rPr>
        <w:t>правних послова</w:t>
      </w:r>
      <w:r w:rsidR="00303EB7">
        <w:rPr>
          <w:rFonts w:ascii="Times New Roman" w:eastAsia="Times New Roman" w:hAnsi="Times New Roman" w:cs="Times New Roman"/>
          <w:sz w:val="24"/>
          <w:lang w:val="sr-Cyrl-RS" w:eastAsia="hr-HR"/>
        </w:rPr>
        <w:t>,</w:t>
      </w:r>
      <w:r w:rsidRPr="00EA0FD7">
        <w:rPr>
          <w:rFonts w:ascii="Times New Roman" w:eastAsia="Times New Roman" w:hAnsi="Times New Roman" w:cs="Times New Roman"/>
          <w:sz w:val="24"/>
          <w:lang w:val="sr-Cyrl-RS" w:eastAsia="hr-HR"/>
        </w:rPr>
        <w:t xml:space="preserve"> а по основу одредби из Закона о насљеђивању Брчко дистрикта БиХ. </w:t>
      </w:r>
    </w:p>
    <w:p w14:paraId="669A5C60" w14:textId="2E5D99C4"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Судске таксе и судске накнаде чине 12,09%, 12,53% и 12,82% од укупних непореских прихода у 2023, 2024. и 2025. години.</w:t>
      </w:r>
    </w:p>
    <w:p w14:paraId="4AD6B7B3" w14:textId="77777777" w:rsidR="00EA0FD7" w:rsidRPr="00EA0FD7" w:rsidRDefault="00EA0FD7" w:rsidP="00EA0FD7">
      <w:pPr>
        <w:spacing w:after="0" w:line="240" w:lineRule="auto"/>
        <w:jc w:val="both"/>
        <w:rPr>
          <w:rFonts w:ascii="Times New Roman" w:eastAsia="Times New Roman" w:hAnsi="Times New Roman" w:cs="Times New Roman"/>
          <w:b/>
          <w:color w:val="FF0000"/>
          <w:sz w:val="24"/>
          <w:lang w:val="sr-Cyrl-RS" w:eastAsia="hr-HR"/>
        </w:rPr>
      </w:pPr>
    </w:p>
    <w:p w14:paraId="2A522C4A" w14:textId="77777777" w:rsidR="00EA0FD7" w:rsidRPr="00EA0FD7" w:rsidRDefault="00EA0FD7" w:rsidP="00EA0FD7">
      <w:pPr>
        <w:spacing w:after="0" w:line="240" w:lineRule="auto"/>
        <w:jc w:val="both"/>
        <w:rPr>
          <w:rFonts w:ascii="Times New Roman" w:eastAsia="Times New Roman" w:hAnsi="Times New Roman" w:cs="Times New Roman"/>
          <w:bCs/>
          <w:sz w:val="24"/>
          <w:lang w:val="sr-Cyrl-RS" w:eastAsia="hr-HR"/>
        </w:rPr>
      </w:pPr>
      <w:r w:rsidRPr="00EA0FD7">
        <w:rPr>
          <w:rFonts w:ascii="Times New Roman" w:eastAsia="Times New Roman" w:hAnsi="Times New Roman" w:cs="Times New Roman"/>
          <w:b/>
          <w:sz w:val="24"/>
          <w:lang w:val="sr-Cyrl-RS" w:eastAsia="hr-HR"/>
        </w:rPr>
        <w:t xml:space="preserve">Комуналне таксе – 722300 </w:t>
      </w:r>
      <w:r w:rsidRPr="00EA0FD7">
        <w:rPr>
          <w:rFonts w:ascii="Times New Roman" w:eastAsia="Times New Roman" w:hAnsi="Times New Roman" w:cs="Times New Roman"/>
          <w:bCs/>
          <w:sz w:val="24"/>
          <w:lang w:val="sr-Cyrl-RS" w:eastAsia="hr-HR"/>
        </w:rPr>
        <w:t xml:space="preserve">су у 2023. години планиране у висини од 400.070,00 КМ. Већину прихода из ове групе или 400.000 КМ чине комуналне таксе за истицање фирми, које утврђује и наплаћује Пореска управа Брчко дистрикта БиХ. Ова врста прихода, по основу Закона о подстицају привредног развоја, подлијеже ослобађању плаћања обавезе. Приход по основу комуналних такси за истицање фирми за наредни трогодишњи период је планиран у износу вишем за 45.000 КМ у односу на план за  2022. годину. </w:t>
      </w:r>
    </w:p>
    <w:p w14:paraId="2D79D9B1" w14:textId="57E0BA2F" w:rsidR="00EA0FD7" w:rsidRPr="00EA0FD7" w:rsidRDefault="00EA0FD7" w:rsidP="00EA0FD7">
      <w:pPr>
        <w:spacing w:after="0" w:line="240" w:lineRule="auto"/>
        <w:jc w:val="both"/>
        <w:rPr>
          <w:rFonts w:ascii="Times New Roman" w:eastAsia="Times New Roman" w:hAnsi="Times New Roman" w:cs="Times New Roman"/>
          <w:bCs/>
          <w:sz w:val="24"/>
          <w:lang w:val="sr-Cyrl-RS" w:eastAsia="hr-HR"/>
        </w:rPr>
      </w:pPr>
      <w:r w:rsidRPr="00EA0FD7">
        <w:rPr>
          <w:rFonts w:ascii="Times New Roman" w:eastAsia="Times New Roman" w:hAnsi="Times New Roman" w:cs="Times New Roman"/>
          <w:bCs/>
          <w:sz w:val="24"/>
          <w:lang w:val="sr-Cyrl-RS" w:eastAsia="hr-HR"/>
        </w:rPr>
        <w:t xml:space="preserve">Одјељење за просторно планирање и имовинскоправне послове је у овој групи прихода планирало незнатан износ од 70 КМ у 2023. години, док у 2024. и 2025. години нису планирана средства за ову врсту прихода. </w:t>
      </w:r>
    </w:p>
    <w:p w14:paraId="36A127BB" w14:textId="77777777" w:rsidR="00EA0FD7" w:rsidRPr="00EA0FD7" w:rsidRDefault="00EA0FD7" w:rsidP="00EA0FD7">
      <w:pPr>
        <w:spacing w:after="0" w:line="240" w:lineRule="auto"/>
        <w:jc w:val="both"/>
        <w:rPr>
          <w:rFonts w:ascii="Times New Roman" w:eastAsia="Times New Roman" w:hAnsi="Times New Roman" w:cs="Times New Roman"/>
          <w:bCs/>
          <w:sz w:val="24"/>
          <w:lang w:val="sr-Cyrl-RS" w:eastAsia="hr-HR"/>
        </w:rPr>
      </w:pPr>
      <w:r w:rsidRPr="00EA0FD7">
        <w:rPr>
          <w:rFonts w:ascii="Times New Roman" w:eastAsia="Times New Roman" w:hAnsi="Times New Roman" w:cs="Times New Roman"/>
          <w:bCs/>
          <w:sz w:val="24"/>
          <w:lang w:val="sr-Cyrl-RS" w:eastAsia="hr-HR"/>
        </w:rPr>
        <w:t xml:space="preserve">Комуналне </w:t>
      </w:r>
      <w:r w:rsidRPr="00EA0FD7">
        <w:rPr>
          <w:rFonts w:ascii="Times New Roman" w:eastAsia="Times New Roman" w:hAnsi="Times New Roman" w:cs="Times New Roman"/>
          <w:sz w:val="24"/>
          <w:szCs w:val="24"/>
          <w:lang w:val="sr-Cyrl-RS" w:eastAsia="hr-HR"/>
        </w:rPr>
        <w:t xml:space="preserve"> таксе чине 3,65% непореских прихода у 2023. години.</w:t>
      </w:r>
    </w:p>
    <w:p w14:paraId="5F7DEEE6" w14:textId="77777777" w:rsidR="00EA0FD7" w:rsidRPr="00EA0FD7" w:rsidRDefault="00EA0FD7" w:rsidP="00EA0FD7">
      <w:pPr>
        <w:spacing w:after="0" w:line="240" w:lineRule="auto"/>
        <w:jc w:val="both"/>
        <w:rPr>
          <w:rFonts w:ascii="Times New Roman" w:eastAsia="Times New Roman" w:hAnsi="Times New Roman" w:cs="Times New Roman"/>
          <w:b/>
          <w:sz w:val="24"/>
          <w:lang w:val="sr-Cyrl-RS" w:eastAsia="hr-HR"/>
        </w:rPr>
      </w:pPr>
      <w:r w:rsidRPr="00EA0FD7">
        <w:rPr>
          <w:rFonts w:ascii="Times New Roman" w:eastAsia="Times New Roman" w:hAnsi="Times New Roman" w:cs="Times New Roman"/>
          <w:b/>
          <w:sz w:val="24"/>
          <w:lang w:val="sr-Cyrl-RS" w:eastAsia="hr-HR"/>
        </w:rPr>
        <w:t xml:space="preserve">           </w:t>
      </w:r>
    </w:p>
    <w:p w14:paraId="7D42CFB5"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b/>
          <w:sz w:val="24"/>
          <w:lang w:val="sr-Cyrl-RS" w:eastAsia="hr-HR"/>
        </w:rPr>
        <w:t xml:space="preserve">Остале буџетске накнаде и таксе - 722400 </w:t>
      </w:r>
      <w:r w:rsidRPr="00EA0FD7">
        <w:rPr>
          <w:rFonts w:ascii="Times New Roman" w:eastAsia="Times New Roman" w:hAnsi="Times New Roman" w:cs="Times New Roman"/>
          <w:sz w:val="24"/>
          <w:lang w:val="sr-Cyrl-RS" w:eastAsia="hr-HR"/>
        </w:rPr>
        <w:t>у 2023. години</w:t>
      </w:r>
      <w:r w:rsidRPr="00EA0FD7">
        <w:rPr>
          <w:rFonts w:ascii="Times New Roman" w:eastAsia="Times New Roman" w:hAnsi="Times New Roman" w:cs="Times New Roman"/>
          <w:b/>
          <w:sz w:val="24"/>
          <w:lang w:val="sr-Cyrl-RS" w:eastAsia="hr-HR"/>
        </w:rPr>
        <w:t xml:space="preserve"> </w:t>
      </w:r>
      <w:r w:rsidRPr="00EA0FD7">
        <w:rPr>
          <w:rFonts w:ascii="Times New Roman" w:eastAsia="Times New Roman" w:hAnsi="Times New Roman" w:cs="Times New Roman"/>
          <w:sz w:val="24"/>
          <w:lang w:val="sr-Cyrl-RS" w:eastAsia="hr-HR"/>
        </w:rPr>
        <w:t xml:space="preserve">планиране су у висини од 1.030.600 КМ, у 2024. години у висини од 1.049.800 КМ и у 2025. години у висини од 1.090.400 КМ. </w:t>
      </w:r>
    </w:p>
    <w:p w14:paraId="07275103"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Учешће у плану за 2023. годину у овој групи прихода имају приходи које остварује: </w:t>
      </w:r>
    </w:p>
    <w:p w14:paraId="0A5B961E"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Одјељење за јавни регистар 809.500 КМ</w:t>
      </w:r>
    </w:p>
    <w:p w14:paraId="769AAEF3"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Одјељење за јавну сигурност 133.500 КМ</w:t>
      </w:r>
    </w:p>
    <w:p w14:paraId="27368702"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 Канцеларија за управљање јавном имовином 5.000 КМ </w:t>
      </w:r>
    </w:p>
    <w:p w14:paraId="71E60C66"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lastRenderedPageBreak/>
        <w:t xml:space="preserve">- Полиција дистрикта 80.200 КМ </w:t>
      </w:r>
    </w:p>
    <w:p w14:paraId="2176997F"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 Одјељење за просторно планирање и имовинско- правне послове  2.400 КМ </w:t>
      </w:r>
    </w:p>
    <w:p w14:paraId="5DEB5B1A"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Остале буџетске накнаде чине 9,40% укупних непореских прихода.</w:t>
      </w:r>
    </w:p>
    <w:p w14:paraId="2912D69A"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52BFA9D6"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szCs w:val="24"/>
          <w:lang w:val="sr-Cyrl-RS" w:eastAsia="hr-HR"/>
        </w:rPr>
        <w:t xml:space="preserve">Посебне накнаде и таксе – 722500 </w:t>
      </w:r>
      <w:r w:rsidRPr="00EA0FD7">
        <w:rPr>
          <w:rFonts w:ascii="Times New Roman" w:eastAsia="Times New Roman" w:hAnsi="Times New Roman" w:cs="Times New Roman"/>
          <w:sz w:val="24"/>
          <w:szCs w:val="24"/>
          <w:lang w:val="sr-Cyrl-RS" w:eastAsia="hr-HR"/>
        </w:rPr>
        <w:t xml:space="preserve">су планиране у 2023. години у износу од </w:t>
      </w:r>
      <w:r w:rsidRPr="00EA0FD7">
        <w:rPr>
          <w:rFonts w:ascii="Times New Roman" w:eastAsia="Times New Roman" w:hAnsi="Times New Roman" w:cs="Times New Roman"/>
          <w:sz w:val="24"/>
          <w:lang w:val="sr-Cyrl-RS" w:eastAsia="hr-HR"/>
        </w:rPr>
        <w:t xml:space="preserve">1.750.900 </w:t>
      </w:r>
      <w:r w:rsidRPr="00EA0FD7">
        <w:rPr>
          <w:rFonts w:ascii="Times New Roman" w:eastAsia="Times New Roman" w:hAnsi="Times New Roman" w:cs="Times New Roman"/>
          <w:sz w:val="24"/>
          <w:szCs w:val="24"/>
          <w:lang w:val="sr-Cyrl-RS" w:eastAsia="hr-HR"/>
        </w:rPr>
        <w:t>КМ, што представља 15,97% од укупно планираних непореских прихода.</w:t>
      </w:r>
    </w:p>
    <w:p w14:paraId="1DE3530E" w14:textId="1B9BD416"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Већину прихода из ове групе чине приходи који се остварују по основу активности Одјељења за пољопривреду, шумарство и водопривреду  у износу од 903.000 КМ, а односе се на накнаде за кориш</w:t>
      </w:r>
      <w:r w:rsidR="00303EB7">
        <w:rPr>
          <w:rFonts w:ascii="Times New Roman" w:eastAsia="Times New Roman" w:hAnsi="Times New Roman" w:cs="Times New Roman"/>
          <w:sz w:val="24"/>
          <w:szCs w:val="24"/>
          <w:lang w:val="sr-Cyrl-RS" w:eastAsia="hr-HR"/>
        </w:rPr>
        <w:t>ћ</w:t>
      </w:r>
      <w:r w:rsidRPr="00EA0FD7">
        <w:rPr>
          <w:rFonts w:ascii="Times New Roman" w:eastAsia="Times New Roman" w:hAnsi="Times New Roman" w:cs="Times New Roman"/>
          <w:sz w:val="24"/>
          <w:szCs w:val="24"/>
          <w:lang w:val="sr-Cyrl-RS" w:eastAsia="hr-HR"/>
        </w:rPr>
        <w:t>ење опште</w:t>
      </w:r>
      <w:r w:rsidR="00303EB7">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szCs w:val="24"/>
          <w:lang w:val="sr-Cyrl-RS" w:eastAsia="hr-HR"/>
        </w:rPr>
        <w:t xml:space="preserve">корисних функција шума (420.000 КМ), накнаде за извршене ветеринарско – санитарне прегледе у земљи (380.000 КМ), посебне водопривредне накнаде за извађени материјал из водотока (100.000 КМ) и накнаде за обављање привредног и рекреативно спортског риболова (3.000 КМ). </w:t>
      </w:r>
    </w:p>
    <w:p w14:paraId="34F61189"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5F0B7941" w14:textId="447D982B"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Значајно учешће у овој групи прихода имају приходи који се остварују путем Одјељења за јавни регистар </w:t>
      </w:r>
      <w:r w:rsidR="00303EB7">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Пододјељење за лична документа и износе 380.000 КМ (Посебна водопривредна накнада за регистрацију моторних возила) и путем Дирекције за финансије у износу од 208.300 КМ. Овој групи прихода припада и приход од накнаде за полагање испита за рад у органима управе (95.000 КМ), а коју остварује Секретаријат Владе Брчко дистрикта БиХ. Сљедећи у овој групи прихода су приходи које планира Одјељење за образовање у износу од 83.600 КМ и то по основу накнаде за полагање ванредних испита у средњим школама: (Економској, Техничкој и Пољопривредној), по основу полагања испита за рад у органима управе (Педагошка институција) и по основу накнада за обрасце које издају органи и институције Дистрикта. Комисија за </w:t>
      </w:r>
      <w:r w:rsidR="00303EB7">
        <w:rPr>
          <w:rFonts w:ascii="Times New Roman" w:eastAsia="Times New Roman" w:hAnsi="Times New Roman" w:cs="Times New Roman"/>
          <w:sz w:val="24"/>
          <w:szCs w:val="24"/>
          <w:lang w:val="sr-Cyrl-RS" w:eastAsia="hr-HR"/>
        </w:rPr>
        <w:t>хартије</w:t>
      </w:r>
      <w:r w:rsidRPr="00EA0FD7">
        <w:rPr>
          <w:rFonts w:ascii="Times New Roman" w:eastAsia="Times New Roman" w:hAnsi="Times New Roman" w:cs="Times New Roman"/>
          <w:sz w:val="24"/>
          <w:szCs w:val="24"/>
          <w:lang w:val="sr-Cyrl-RS" w:eastAsia="hr-HR"/>
        </w:rPr>
        <w:t xml:space="preserve"> од вриједности је планирала у овој групи приходе у износу од 25.000 КМ који се односе на приходе од обрачунате накнаде за услуге регистра емитената и накнаде за услуге централног регистра Комисије за </w:t>
      </w:r>
      <w:r w:rsidR="00303EB7">
        <w:rPr>
          <w:rFonts w:ascii="Times New Roman" w:eastAsia="Times New Roman" w:hAnsi="Times New Roman" w:cs="Times New Roman"/>
          <w:sz w:val="24"/>
          <w:szCs w:val="24"/>
          <w:lang w:val="sr-Cyrl-RS" w:eastAsia="hr-HR"/>
        </w:rPr>
        <w:t>хартије</w:t>
      </w:r>
      <w:r w:rsidRPr="00EA0FD7">
        <w:rPr>
          <w:rFonts w:ascii="Times New Roman" w:eastAsia="Times New Roman" w:hAnsi="Times New Roman" w:cs="Times New Roman"/>
          <w:sz w:val="24"/>
          <w:szCs w:val="24"/>
          <w:lang w:val="sr-Cyrl-RS" w:eastAsia="hr-HR"/>
        </w:rPr>
        <w:t xml:space="preserve"> од вриједности. </w:t>
      </w:r>
    </w:p>
    <w:p w14:paraId="56378D3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C30CE85" w14:textId="56C7200F"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Одјељење за привредни развој, спорт и културу планира по основу боравишних такси наплатити 12.000 КМ. Одјељење за јавну </w:t>
      </w:r>
      <w:r w:rsidR="00303EB7">
        <w:rPr>
          <w:rFonts w:ascii="Times New Roman" w:eastAsia="Times New Roman" w:hAnsi="Times New Roman" w:cs="Times New Roman"/>
          <w:sz w:val="24"/>
          <w:szCs w:val="24"/>
          <w:lang w:val="sr-Cyrl-RS" w:eastAsia="hr-HR"/>
        </w:rPr>
        <w:t>безбједност</w:t>
      </w:r>
      <w:r w:rsidRPr="00EA0FD7">
        <w:rPr>
          <w:rFonts w:ascii="Times New Roman" w:eastAsia="Times New Roman" w:hAnsi="Times New Roman" w:cs="Times New Roman"/>
          <w:sz w:val="24"/>
          <w:szCs w:val="24"/>
          <w:lang w:val="sr-Cyrl-RS" w:eastAsia="hr-HR"/>
        </w:rPr>
        <w:t xml:space="preserve"> планира остварити приходе у износу од 30.000 КМ по основу накнада за полагање стручног испита за професионалног и индустријског ватрогасца и руководиоца акције гашења пожара у професионалном и индустријском ватрогаству.</w:t>
      </w:r>
      <w:r w:rsidR="00303EB7">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lang w:val="sr-Cyrl-RS" w:eastAsia="hr-HR"/>
        </w:rPr>
        <w:t>Учешће Полиције у плану ове групе прихода за 2023. годину је 6.000 КМ и то по основу н</w:t>
      </w:r>
      <w:r w:rsidRPr="00EA0FD7">
        <w:rPr>
          <w:rFonts w:ascii="Times New Roman" w:eastAsia="Times New Roman" w:hAnsi="Times New Roman" w:cs="Times New Roman"/>
          <w:sz w:val="24"/>
          <w:szCs w:val="24"/>
          <w:lang w:val="sr-Cyrl-RS" w:eastAsia="hr-HR"/>
        </w:rPr>
        <w:t xml:space="preserve">акнаде за полагање испита о оспособљености за правилно руковање, одржавање  и ношење оружја, док Одјељење за јавне послове планира у 2023. години остварити приходе у висини од 6.000 КМ по основу </w:t>
      </w:r>
      <w:r w:rsidRPr="00EA0FD7">
        <w:rPr>
          <w:rFonts w:ascii="Times New Roman" w:eastAsia="Times New Roman" w:hAnsi="Times New Roman" w:cs="Times New Roman"/>
          <w:sz w:val="24"/>
          <w:lang w:val="sr-Cyrl-RS" w:eastAsia="hr-HR"/>
        </w:rPr>
        <w:t>образаца које издају капетаније, те накнада за баждарење и прегледе чамаца. Одјељење за здравство планира у 2023. години остварити ову врсту прихода у незнатном износу од 2.000 КМ.</w:t>
      </w:r>
    </w:p>
    <w:p w14:paraId="676F9ADB"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F94BBE5" w14:textId="7CF54EAE" w:rsidR="00EA0FD7" w:rsidRPr="00EA0FD7" w:rsidRDefault="00EA0FD7" w:rsidP="00EA0FD7">
      <w:pPr>
        <w:tabs>
          <w:tab w:val="left" w:pos="0"/>
        </w:tabs>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lang w:val="sr-Cyrl-RS" w:eastAsia="hr-HR"/>
        </w:rPr>
        <w:t xml:space="preserve">Приходи од пружања јавних услуга </w:t>
      </w:r>
      <w:r w:rsidR="00303EB7">
        <w:rPr>
          <w:rFonts w:ascii="Times New Roman" w:eastAsia="Times New Roman" w:hAnsi="Times New Roman" w:cs="Times New Roman"/>
          <w:b/>
          <w:sz w:val="24"/>
          <w:lang w:val="sr-Cyrl-RS" w:eastAsia="hr-HR"/>
        </w:rPr>
        <w:t>–</w:t>
      </w:r>
      <w:r w:rsidRPr="00EA0FD7">
        <w:rPr>
          <w:rFonts w:ascii="Times New Roman" w:eastAsia="Times New Roman" w:hAnsi="Times New Roman" w:cs="Times New Roman"/>
          <w:b/>
          <w:sz w:val="24"/>
          <w:lang w:val="sr-Cyrl-RS" w:eastAsia="hr-HR"/>
        </w:rPr>
        <w:t xml:space="preserve"> 722600</w:t>
      </w:r>
      <w:r w:rsidRPr="00EA0FD7">
        <w:rPr>
          <w:rFonts w:ascii="Times New Roman" w:eastAsia="Times New Roman" w:hAnsi="Times New Roman" w:cs="Times New Roman"/>
          <w:sz w:val="24"/>
          <w:lang w:val="sr-Cyrl-RS" w:eastAsia="hr-HR"/>
        </w:rPr>
        <w:t xml:space="preserve"> у 2023. години су планирани у износу од 1.177.231 КМ. </w:t>
      </w:r>
      <w:r w:rsidRPr="00EA0FD7">
        <w:rPr>
          <w:rFonts w:ascii="Times New Roman" w:eastAsia="Times New Roman" w:hAnsi="Times New Roman" w:cs="Times New Roman"/>
          <w:sz w:val="24"/>
          <w:szCs w:val="24"/>
          <w:lang w:val="sr-Cyrl-RS" w:eastAsia="hr-HR"/>
        </w:rPr>
        <w:t>Први по величини су приходи које остварује Одјељење за образовање у износу од 780.000 КМ</w:t>
      </w:r>
      <w:r w:rsidR="00303EB7">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а обухватају приходе од  полагања возачких испита (230.000КМ) и приходе од кориш</w:t>
      </w:r>
      <w:r w:rsidR="00303EB7">
        <w:rPr>
          <w:rFonts w:ascii="Times New Roman" w:eastAsia="Times New Roman" w:hAnsi="Times New Roman" w:cs="Times New Roman"/>
          <w:sz w:val="24"/>
          <w:szCs w:val="24"/>
          <w:lang w:val="sr-Cyrl-RS" w:eastAsia="hr-HR"/>
        </w:rPr>
        <w:t>ћ</w:t>
      </w:r>
      <w:r w:rsidRPr="00EA0FD7">
        <w:rPr>
          <w:rFonts w:ascii="Times New Roman" w:eastAsia="Times New Roman" w:hAnsi="Times New Roman" w:cs="Times New Roman"/>
          <w:sz w:val="24"/>
          <w:szCs w:val="24"/>
          <w:lang w:val="sr-Cyrl-RS" w:eastAsia="hr-HR"/>
        </w:rPr>
        <w:t xml:space="preserve">ења услуга обданишта (550.000 КМ). Одјељење за здравство планира наплатити по основу услуга јавног здравства (микробиолошка  и физичко хемијска анализа воде, микробиолошка анализа хране, узимање брисева на хигијенску исправност и друге услуге) износ од 140.000 КМ, као и по основу издавања увјерења о пословној способности износ од 600 КМ. </w:t>
      </w:r>
    </w:p>
    <w:p w14:paraId="47F90F17" w14:textId="77777777" w:rsidR="00EA0FD7" w:rsidRPr="00EA0FD7" w:rsidRDefault="00EA0FD7" w:rsidP="00EA0FD7">
      <w:pPr>
        <w:tabs>
          <w:tab w:val="left" w:pos="0"/>
        </w:tabs>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szCs w:val="24"/>
          <w:lang w:val="sr-Cyrl-RS" w:eastAsia="hr-HR"/>
        </w:rPr>
        <w:t xml:space="preserve">Одјељење за пољопривреду, шумарство и водопривреду планира наплатити 122.500 КМ прихода по основу продаје дрвета од физичких лица као и од средстава за просту и проширену репродукцију приватних и шума у власништву Брчко дистрикта БиХ, по основу прихода за полагање риболовачког испита и услуга лабораторијског испитивања плодности земљишта. Стручна служба Скупштине Брчко дистрикта планира наплатити </w:t>
      </w:r>
      <w:r w:rsidRPr="00EA0FD7">
        <w:rPr>
          <w:rFonts w:ascii="Times New Roman" w:eastAsia="Times New Roman" w:hAnsi="Times New Roman" w:cs="Times New Roman"/>
          <w:sz w:val="24"/>
          <w:szCs w:val="24"/>
          <w:lang w:val="sr-Cyrl-RS" w:eastAsia="hr-HR"/>
        </w:rPr>
        <w:lastRenderedPageBreak/>
        <w:t xml:space="preserve">52.731 КМ по основу претплате на Службени гласник Брчко дистрикта БиХ и оглашавања у Службеном гласнику Брчко дистрикта БиХ. Одјељење за јавне послове је планирало 33.100 КМ, а по основу издавања лиценци за превоз лица и ствари и извршених техничких прегледа возила. </w:t>
      </w:r>
    </w:p>
    <w:p w14:paraId="38C4C976" w14:textId="69D85B66"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Одјељење за привредни развој, спорт и културу планира остварити приходе у висини 22.000 КМ по основу библиотекарске чланарине и улазница за позоришне представе. Канцеларија за управљање јавном имовином, а по основу станарине, планира наплатити приходе у висини од 25.000 КМ. Одјељење за просторно планирање и имовинскоправне послове планира приходе од наплаћених камата у износу од 100 КМ. Основни суд, Одјељење за стручне и административне послове и Канцеларија градоначелника планирају наплатити приходе по основу услуга фотокопирања у износу од 1.200 КМ. </w:t>
      </w:r>
    </w:p>
    <w:p w14:paraId="7071811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lang w:val="sr-Cyrl-RS" w:eastAsia="hr-HR"/>
        </w:rPr>
        <w:t>Приходи од пружања јавних услуга у 2023. години учествују са 10,74% у укупно планираним непореским приходима.</w:t>
      </w:r>
    </w:p>
    <w:p w14:paraId="4D734027"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5970F381" w14:textId="172EB23D"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szCs w:val="24"/>
          <w:lang w:val="sr-Cyrl-RS" w:eastAsia="hr-HR"/>
        </w:rPr>
        <w:t xml:space="preserve">Непланиране уплате </w:t>
      </w:r>
      <w:r w:rsidR="00303EB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
          <w:sz w:val="24"/>
          <w:szCs w:val="24"/>
          <w:lang w:val="sr-Cyrl-RS" w:eastAsia="hr-HR"/>
        </w:rPr>
        <w:t xml:space="preserve"> приходи – 722700 </w:t>
      </w:r>
      <w:r w:rsidRPr="00EA0FD7">
        <w:rPr>
          <w:rFonts w:ascii="Times New Roman" w:eastAsia="Times New Roman" w:hAnsi="Times New Roman" w:cs="Times New Roman"/>
          <w:sz w:val="24"/>
          <w:szCs w:val="24"/>
          <w:lang w:val="sr-Cyrl-RS" w:eastAsia="hr-HR"/>
        </w:rPr>
        <w:t>у 2023. години</w:t>
      </w:r>
      <w:r w:rsidRPr="00EA0FD7">
        <w:rPr>
          <w:rFonts w:ascii="Times New Roman" w:eastAsia="Times New Roman" w:hAnsi="Times New Roman" w:cs="Times New Roman"/>
          <w:b/>
          <w:sz w:val="24"/>
          <w:szCs w:val="24"/>
          <w:lang w:val="sr-Cyrl-RS" w:eastAsia="hr-HR"/>
        </w:rPr>
        <w:t xml:space="preserve"> </w:t>
      </w:r>
      <w:r w:rsidRPr="00EA0FD7">
        <w:rPr>
          <w:rFonts w:ascii="Times New Roman" w:eastAsia="Times New Roman" w:hAnsi="Times New Roman" w:cs="Times New Roman"/>
          <w:sz w:val="24"/>
          <w:szCs w:val="24"/>
          <w:lang w:val="sr-Cyrl-RS" w:eastAsia="hr-HR"/>
        </w:rPr>
        <w:t xml:space="preserve">планиране су у износу од 63.000 КМ и представљају примљене намјенске донације непланиране у буџету, које се остварују путем Одјељења за расељена лица, избјеглице и стамбена питања, а на име стамбеног збрињавања Рома у висини од 60.000 КМ и Одјељења за пољопривреду, шумарство и водопривреду у износу од 3.000 КМ. </w:t>
      </w:r>
    </w:p>
    <w:p w14:paraId="5D3A85CF"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Непланиране уплате у укупним непореским приходима за 2023. годину чине 0,57% од укупних непореских прихода.</w:t>
      </w:r>
    </w:p>
    <w:p w14:paraId="292C5042" w14:textId="77777777" w:rsidR="00EA0FD7" w:rsidRPr="00EA0FD7" w:rsidRDefault="00EA0FD7" w:rsidP="00EA0FD7">
      <w:pPr>
        <w:spacing w:after="0" w:line="240" w:lineRule="auto"/>
        <w:ind w:firstLine="720"/>
        <w:jc w:val="both"/>
        <w:rPr>
          <w:rFonts w:ascii="Times New Roman" w:eastAsia="Times New Roman" w:hAnsi="Times New Roman" w:cs="Times New Roman"/>
          <w:color w:val="FF0000"/>
          <w:sz w:val="24"/>
          <w:szCs w:val="24"/>
          <w:lang w:val="sr-Cyrl-RS" w:eastAsia="hr-HR"/>
        </w:rPr>
      </w:pPr>
    </w:p>
    <w:p w14:paraId="240FC9B2" w14:textId="77777777" w:rsidR="00EA0FD7" w:rsidRPr="00EA0FD7" w:rsidRDefault="00EA0FD7" w:rsidP="00EA0FD7">
      <w:pPr>
        <w:spacing w:after="0" w:line="240" w:lineRule="auto"/>
        <w:ind w:firstLine="720"/>
        <w:jc w:val="both"/>
        <w:rPr>
          <w:rFonts w:ascii="Times New Roman" w:eastAsia="Times New Roman" w:hAnsi="Times New Roman" w:cs="Times New Roman"/>
          <w:color w:val="FF0000"/>
          <w:sz w:val="24"/>
          <w:szCs w:val="24"/>
          <w:lang w:val="sr-Cyrl-RS" w:eastAsia="hr-HR"/>
        </w:rPr>
      </w:pPr>
    </w:p>
    <w:p w14:paraId="0CB983B7" w14:textId="2BC538A2" w:rsidR="00EA0FD7" w:rsidRPr="00EA0FD7" w:rsidRDefault="00EA0FD7" w:rsidP="00EA0FD7">
      <w:pPr>
        <w:tabs>
          <w:tab w:val="left" w:pos="5580"/>
        </w:tabs>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szCs w:val="24"/>
          <w:lang w:val="sr-Cyrl-RS" w:eastAsia="hr-HR"/>
        </w:rPr>
        <w:t xml:space="preserve">Новчане казне – 723100 </w:t>
      </w:r>
      <w:r w:rsidRPr="00EA0FD7">
        <w:rPr>
          <w:rFonts w:ascii="Times New Roman" w:eastAsia="Times New Roman" w:hAnsi="Times New Roman" w:cs="Times New Roman"/>
          <w:sz w:val="24"/>
          <w:szCs w:val="24"/>
          <w:lang w:val="sr-Cyrl-RS" w:eastAsia="hr-HR"/>
        </w:rPr>
        <w:t>у 2023. години планиране су у износу од 1.815.000</w:t>
      </w:r>
      <w:r w:rsidRPr="00EA0FD7">
        <w:rPr>
          <w:rFonts w:ascii="Times New Roman" w:eastAsia="Times New Roman" w:hAnsi="Times New Roman" w:cs="Times New Roman"/>
          <w:sz w:val="24"/>
          <w:lang w:val="sr-Cyrl-RS" w:eastAsia="hr-HR"/>
        </w:rPr>
        <w:t xml:space="preserve"> </w:t>
      </w:r>
      <w:r w:rsidRPr="00EA0FD7">
        <w:rPr>
          <w:rFonts w:ascii="Times New Roman" w:eastAsia="Times New Roman" w:hAnsi="Times New Roman" w:cs="Times New Roman"/>
          <w:sz w:val="24"/>
          <w:szCs w:val="24"/>
          <w:lang w:val="sr-Cyrl-RS" w:eastAsia="hr-HR"/>
        </w:rPr>
        <w:t>КМ и чине 16,56% укупних непореских прихода. Већину прихода од новчаних казни чине приходи које планира остварити Полиција Брчко дистрикта БиХ својом активношћу</w:t>
      </w:r>
      <w:r w:rsidR="00303EB7">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а односе се на приходе од новчаних казни за прекршаје које су евидентиране у регистру новчаних казни трошкови прекршајног поступка. У 2023, 2024. и 2025. години Полиција Дистрикта планира ову врсту прихода у износу од 1.200.000 КМ што је за 150.000 КМ више у односу на план за 2022. годину.</w:t>
      </w:r>
    </w:p>
    <w:p w14:paraId="43FEB2FC" w14:textId="481A63A3" w:rsidR="00EA0FD7" w:rsidRPr="00EA0FD7" w:rsidRDefault="00EA0FD7" w:rsidP="00EA0FD7">
      <w:pPr>
        <w:tabs>
          <w:tab w:val="left" w:pos="5580"/>
        </w:tabs>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Други по величини из ове групе прихода су приходи од новчаних казни за прекршаје, кривична дјела и трошкове поступка, а које остварује Основни суд и који су у 2023. години планирани у износу од  430.000 КМ што је за 80.000 КМ више  у односу на  план за 2022. годину.</w:t>
      </w:r>
    </w:p>
    <w:p w14:paraId="1D254D88" w14:textId="6493A796" w:rsidR="00EA0FD7" w:rsidRPr="00EA0FD7" w:rsidRDefault="00EA0FD7" w:rsidP="00EA0FD7">
      <w:pPr>
        <w:tabs>
          <w:tab w:val="left" w:pos="5580"/>
        </w:tabs>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У 2023. години Канцеларија градоначелника </w:t>
      </w:r>
      <w:r w:rsidR="00303EB7">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 xml:space="preserve"> Инспекторат планира наплатити новчане казне у износу од 50.000 КМ, Дирекција за финансије  планира износ од 130.000 КМ, а Комисија за одлучивање о сукобу интереса износ од 5.000 КМ. </w:t>
      </w:r>
    </w:p>
    <w:p w14:paraId="3B1C2808" w14:textId="77777777" w:rsidR="00EA0FD7" w:rsidRPr="00EA0FD7" w:rsidRDefault="00EA0FD7" w:rsidP="00EA0FD7">
      <w:pPr>
        <w:tabs>
          <w:tab w:val="center" w:pos="4885"/>
        </w:tabs>
        <w:spacing w:after="0" w:line="240" w:lineRule="auto"/>
        <w:jc w:val="both"/>
        <w:rPr>
          <w:rFonts w:ascii="Times New Roman" w:eastAsia="Times New Roman" w:hAnsi="Times New Roman" w:cs="Times New Roman"/>
          <w:b/>
          <w:sz w:val="24"/>
          <w:szCs w:val="24"/>
          <w:lang w:val="sr-Cyrl-RS" w:eastAsia="hr-HR"/>
        </w:rPr>
      </w:pPr>
    </w:p>
    <w:p w14:paraId="42389BA4" w14:textId="77777777" w:rsidR="00EA0FD7" w:rsidRPr="00EA0FD7" w:rsidRDefault="00EA0FD7" w:rsidP="00EA0FD7">
      <w:pPr>
        <w:tabs>
          <w:tab w:val="center" w:pos="4885"/>
        </w:tabs>
        <w:spacing w:after="0" w:line="240" w:lineRule="auto"/>
        <w:jc w:val="both"/>
        <w:rPr>
          <w:rFonts w:ascii="Times New Roman" w:eastAsia="Times New Roman" w:hAnsi="Times New Roman" w:cs="Times New Roman"/>
          <w:b/>
          <w:sz w:val="24"/>
          <w:szCs w:val="24"/>
          <w:lang w:val="sr-Cyrl-RS" w:eastAsia="hr-HR"/>
        </w:rPr>
      </w:pPr>
    </w:p>
    <w:p w14:paraId="10B7A92A" w14:textId="73940FED" w:rsidR="00EA0FD7" w:rsidRPr="00EA0FD7" w:rsidRDefault="00EA0FD7" w:rsidP="00EA0FD7">
      <w:pPr>
        <w:tabs>
          <w:tab w:val="center" w:pos="4885"/>
        </w:tabs>
        <w:spacing w:after="0" w:line="240" w:lineRule="auto"/>
        <w:jc w:val="both"/>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t>ТЕКУЋЕ ДОНАЦИЈЕ И ТРАНСФЕРИ ЗА ПЕРИОД 2023</w:t>
      </w:r>
      <w:r w:rsidR="00303EB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
          <w:sz w:val="24"/>
          <w:szCs w:val="24"/>
          <w:lang w:val="sr-Cyrl-RS" w:eastAsia="hr-HR"/>
        </w:rPr>
        <w:t>2025. ГОДИНЕ</w:t>
      </w:r>
      <w:r w:rsidRPr="00EA0FD7">
        <w:rPr>
          <w:rFonts w:ascii="Times New Roman" w:eastAsia="Times New Roman" w:hAnsi="Times New Roman" w:cs="Times New Roman"/>
          <w:b/>
          <w:sz w:val="24"/>
          <w:szCs w:val="24"/>
          <w:lang w:val="sr-Cyrl-RS" w:eastAsia="hr-HR"/>
        </w:rPr>
        <w:tab/>
      </w:r>
    </w:p>
    <w:p w14:paraId="70E167C7"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2572DFD" w14:textId="1233DD74"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Укупно планиране донације и трансфери у 2023, 2024. и 2025. години износе 10.500</w:t>
      </w:r>
      <w:r w:rsidRPr="00EA0FD7">
        <w:rPr>
          <w:rFonts w:ascii="Times New Roman" w:eastAsia="Times New Roman" w:hAnsi="Times New Roman" w:cs="Times New Roman"/>
          <w:bCs/>
          <w:sz w:val="24"/>
          <w:lang w:val="sr-Cyrl-RS" w:eastAsia="hr-HR"/>
        </w:rPr>
        <w:t xml:space="preserve"> </w:t>
      </w:r>
      <w:r w:rsidRPr="00EA0FD7">
        <w:rPr>
          <w:rFonts w:ascii="Times New Roman" w:eastAsia="Times New Roman" w:hAnsi="Times New Roman" w:cs="Times New Roman"/>
          <w:sz w:val="24"/>
          <w:szCs w:val="24"/>
          <w:lang w:val="sr-Cyrl-RS" w:eastAsia="hr-HR"/>
        </w:rPr>
        <w:t xml:space="preserve">КМ. Одјељење за јавне послове планира донацију од мјесних заједница (програм суфинансирања пројеката) у износу од 10.000 КМ у 2023, 2024. и 2025. години. Одјељење за пољопривреду, шумарство и водопривреду планира донацију из иностранства у износу од 500 КМ у свим годинама.  </w:t>
      </w:r>
    </w:p>
    <w:p w14:paraId="358BFD94" w14:textId="77777777" w:rsidR="00EA0FD7" w:rsidRPr="00EA0FD7" w:rsidRDefault="00EA0FD7" w:rsidP="00EA0FD7">
      <w:pPr>
        <w:tabs>
          <w:tab w:val="left" w:pos="4180"/>
        </w:tabs>
        <w:spacing w:after="0" w:line="240" w:lineRule="auto"/>
        <w:jc w:val="both"/>
        <w:rPr>
          <w:rFonts w:ascii="Times New Roman" w:eastAsia="Times New Roman" w:hAnsi="Times New Roman" w:cs="Times New Roman"/>
          <w:b/>
          <w:sz w:val="24"/>
          <w:szCs w:val="24"/>
          <w:lang w:val="sr-Cyrl-RS" w:eastAsia="hr-HR"/>
        </w:rPr>
      </w:pPr>
    </w:p>
    <w:p w14:paraId="568BF938" w14:textId="77777777" w:rsidR="00EA0FD7" w:rsidRPr="00EA0FD7" w:rsidRDefault="00EA0FD7" w:rsidP="00EA0FD7">
      <w:pPr>
        <w:tabs>
          <w:tab w:val="left" w:pos="4180"/>
        </w:tabs>
        <w:spacing w:after="0" w:line="240" w:lineRule="auto"/>
        <w:jc w:val="both"/>
        <w:rPr>
          <w:rFonts w:ascii="Times New Roman" w:eastAsia="Times New Roman" w:hAnsi="Times New Roman" w:cs="Times New Roman"/>
          <w:b/>
          <w:sz w:val="24"/>
          <w:szCs w:val="24"/>
          <w:lang w:val="sr-Cyrl-RS" w:eastAsia="hr-HR"/>
        </w:rPr>
      </w:pPr>
    </w:p>
    <w:p w14:paraId="0BD0C87D" w14:textId="77777777" w:rsidR="0078010E" w:rsidRDefault="0078010E" w:rsidP="00EA0FD7">
      <w:pPr>
        <w:tabs>
          <w:tab w:val="left" w:pos="4180"/>
        </w:tabs>
        <w:spacing w:after="0" w:line="240" w:lineRule="auto"/>
        <w:jc w:val="both"/>
        <w:rPr>
          <w:rFonts w:ascii="Times New Roman" w:eastAsia="Times New Roman" w:hAnsi="Times New Roman" w:cs="Times New Roman"/>
          <w:b/>
          <w:sz w:val="24"/>
          <w:szCs w:val="24"/>
          <w:lang w:val="sr-Cyrl-RS" w:eastAsia="hr-HR"/>
        </w:rPr>
      </w:pPr>
    </w:p>
    <w:p w14:paraId="44B91AA9" w14:textId="77777777" w:rsidR="0078010E" w:rsidRDefault="0078010E" w:rsidP="00EA0FD7">
      <w:pPr>
        <w:tabs>
          <w:tab w:val="left" w:pos="4180"/>
        </w:tabs>
        <w:spacing w:after="0" w:line="240" w:lineRule="auto"/>
        <w:jc w:val="both"/>
        <w:rPr>
          <w:rFonts w:ascii="Times New Roman" w:eastAsia="Times New Roman" w:hAnsi="Times New Roman" w:cs="Times New Roman"/>
          <w:b/>
          <w:sz w:val="24"/>
          <w:szCs w:val="24"/>
          <w:lang w:val="sr-Cyrl-RS" w:eastAsia="hr-HR"/>
        </w:rPr>
      </w:pPr>
    </w:p>
    <w:p w14:paraId="2529BDFB" w14:textId="77777777" w:rsidR="0078010E" w:rsidRDefault="0078010E" w:rsidP="00EA0FD7">
      <w:pPr>
        <w:tabs>
          <w:tab w:val="left" w:pos="4180"/>
        </w:tabs>
        <w:spacing w:after="0" w:line="240" w:lineRule="auto"/>
        <w:jc w:val="both"/>
        <w:rPr>
          <w:rFonts w:ascii="Times New Roman" w:eastAsia="Times New Roman" w:hAnsi="Times New Roman" w:cs="Times New Roman"/>
          <w:b/>
          <w:sz w:val="24"/>
          <w:szCs w:val="24"/>
          <w:lang w:val="sr-Cyrl-RS" w:eastAsia="hr-HR"/>
        </w:rPr>
      </w:pPr>
    </w:p>
    <w:p w14:paraId="52E4CD1B" w14:textId="0C409892" w:rsidR="00EA0FD7" w:rsidRPr="00EA0FD7" w:rsidRDefault="00EA0FD7" w:rsidP="00EA0FD7">
      <w:pPr>
        <w:tabs>
          <w:tab w:val="left" w:pos="4180"/>
        </w:tabs>
        <w:spacing w:after="0" w:line="240" w:lineRule="auto"/>
        <w:jc w:val="both"/>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lastRenderedPageBreak/>
        <w:t>УКУПНО РАСПОЛОЖИВИ ПРИХОДИ</w:t>
      </w:r>
      <w:r w:rsidR="00303EB7">
        <w:rPr>
          <w:rFonts w:ascii="Times New Roman" w:eastAsia="Times New Roman" w:hAnsi="Times New Roman" w:cs="Times New Roman"/>
          <w:b/>
          <w:sz w:val="24"/>
          <w:szCs w:val="24"/>
          <w:lang w:val="sr-Cyrl-RS" w:eastAsia="hr-HR"/>
        </w:rPr>
        <w:t xml:space="preserve"> </w:t>
      </w:r>
      <w:r w:rsidRPr="00EA0FD7">
        <w:rPr>
          <w:rFonts w:ascii="Times New Roman" w:eastAsia="Times New Roman" w:hAnsi="Times New Roman" w:cs="Times New Roman"/>
          <w:b/>
          <w:sz w:val="24"/>
          <w:szCs w:val="24"/>
          <w:lang w:val="sr-Cyrl-RS" w:eastAsia="hr-HR"/>
        </w:rPr>
        <w:t>ЗА ПЕРИОД 2023</w:t>
      </w:r>
      <w:r w:rsidR="00303EB7">
        <w:rPr>
          <w:rFonts w:ascii="Times New Roman" w:eastAsia="Times New Roman" w:hAnsi="Times New Roman" w:cs="Times New Roman"/>
          <w:b/>
          <w:sz w:val="24"/>
          <w:szCs w:val="24"/>
          <w:lang w:val="sr-Cyrl-RS" w:eastAsia="hr-HR"/>
        </w:rPr>
        <w:t>–</w:t>
      </w:r>
      <w:r w:rsidRPr="00EA0FD7">
        <w:rPr>
          <w:rFonts w:ascii="Times New Roman" w:eastAsia="Times New Roman" w:hAnsi="Times New Roman" w:cs="Times New Roman"/>
          <w:b/>
          <w:sz w:val="24"/>
          <w:szCs w:val="24"/>
          <w:lang w:val="sr-Cyrl-RS" w:eastAsia="hr-HR"/>
        </w:rPr>
        <w:t>2025. ГОДИНЕ</w:t>
      </w:r>
    </w:p>
    <w:p w14:paraId="2E9D7700" w14:textId="77777777" w:rsidR="00EA0FD7" w:rsidRPr="00EA0FD7" w:rsidRDefault="00EA0FD7" w:rsidP="00EA0FD7">
      <w:pPr>
        <w:tabs>
          <w:tab w:val="left" w:pos="3780"/>
        </w:tabs>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ab/>
      </w:r>
    </w:p>
    <w:p w14:paraId="69EB0DF2" w14:textId="77777777" w:rsidR="00EA0FD7" w:rsidRPr="00EA0FD7" w:rsidRDefault="00EA0FD7" w:rsidP="00EA0FD7">
      <w:pPr>
        <w:spacing w:after="0" w:line="240" w:lineRule="auto"/>
        <w:jc w:val="both"/>
        <w:rPr>
          <w:rFonts w:ascii="Times New Roman" w:eastAsia="Times New Roman" w:hAnsi="Times New Roman" w:cs="Times New Roman"/>
          <w:color w:val="FF0000"/>
          <w:sz w:val="24"/>
          <w:szCs w:val="24"/>
          <w:lang w:val="sr-Cyrl-RS" w:eastAsia="hr-HR"/>
        </w:rPr>
      </w:pPr>
      <w:r w:rsidRPr="00EA0FD7">
        <w:rPr>
          <w:rFonts w:ascii="Times New Roman" w:eastAsia="Times New Roman" w:hAnsi="Times New Roman" w:cs="Times New Roman"/>
          <w:sz w:val="24"/>
          <w:lang w:val="sr-Cyrl-RS" w:eastAsia="hr-HR"/>
        </w:rPr>
        <w:t xml:space="preserve">Очекивани укупни приходи на располагању Брчко дистрикта БиХ износе </w:t>
      </w:r>
      <w:r w:rsidRPr="00EA0FD7">
        <w:rPr>
          <w:rFonts w:ascii="Times New Roman" w:eastAsia="Times New Roman" w:hAnsi="Times New Roman" w:cs="Times New Roman"/>
          <w:b/>
          <w:sz w:val="24"/>
          <w:lang w:val="sr-Cyrl-RS" w:eastAsia="hr-HR"/>
        </w:rPr>
        <w:t>271.663.660</w:t>
      </w:r>
      <w:r w:rsidRPr="00EA0FD7">
        <w:rPr>
          <w:rFonts w:ascii="Times New Roman" w:eastAsia="Times New Roman" w:hAnsi="Times New Roman" w:cs="Times New Roman"/>
          <w:b/>
          <w:bCs/>
          <w:sz w:val="24"/>
          <w:lang w:val="sr-Cyrl-RS" w:eastAsia="hr-HR"/>
        </w:rPr>
        <w:t xml:space="preserve"> </w:t>
      </w:r>
      <w:r w:rsidRPr="00EA0FD7">
        <w:rPr>
          <w:rFonts w:ascii="Times New Roman" w:eastAsia="Times New Roman" w:hAnsi="Times New Roman" w:cs="Times New Roman"/>
          <w:sz w:val="24"/>
          <w:lang w:val="sr-Cyrl-RS" w:eastAsia="hr-HR"/>
        </w:rPr>
        <w:t xml:space="preserve">КМ у 2023. години, што у поређењу са планом 2022. године у износу од </w:t>
      </w:r>
      <w:r w:rsidRPr="00EA0FD7">
        <w:rPr>
          <w:rFonts w:ascii="Times New Roman" w:eastAsia="Times New Roman" w:hAnsi="Times New Roman" w:cs="Times New Roman"/>
          <w:b/>
          <w:bCs/>
          <w:sz w:val="24"/>
          <w:lang w:val="sr-Cyrl-RS" w:eastAsia="hr-HR"/>
        </w:rPr>
        <w:t>232.765.030</w:t>
      </w:r>
      <w:r w:rsidRPr="00EA0FD7">
        <w:rPr>
          <w:rFonts w:ascii="Times New Roman" w:eastAsia="Times New Roman" w:hAnsi="Times New Roman" w:cs="Times New Roman"/>
          <w:b/>
          <w:bCs/>
          <w:sz w:val="17"/>
          <w:szCs w:val="17"/>
          <w:lang w:val="sr-Cyrl-RS" w:eastAsia="hr-HR"/>
        </w:rPr>
        <w:t xml:space="preserve"> </w:t>
      </w:r>
      <w:r w:rsidRPr="00EA0FD7">
        <w:rPr>
          <w:rFonts w:ascii="Times New Roman" w:eastAsia="Times New Roman" w:hAnsi="Times New Roman" w:cs="Times New Roman"/>
          <w:sz w:val="24"/>
          <w:lang w:val="sr-Cyrl-RS" w:eastAsia="hr-HR"/>
        </w:rPr>
        <w:t xml:space="preserve">КМ представља повећање у висини </w:t>
      </w:r>
      <w:r w:rsidRPr="00EA0FD7">
        <w:rPr>
          <w:rFonts w:ascii="Times New Roman" w:eastAsia="Times New Roman" w:hAnsi="Times New Roman" w:cs="Times New Roman"/>
          <w:b/>
          <w:sz w:val="24"/>
          <w:lang w:val="sr-Cyrl-RS" w:eastAsia="hr-HR"/>
        </w:rPr>
        <w:t>38.898.630 КМ</w:t>
      </w:r>
      <w:r w:rsidRPr="00EA0FD7">
        <w:rPr>
          <w:rFonts w:ascii="Times New Roman" w:eastAsia="Times New Roman" w:hAnsi="Times New Roman" w:cs="Times New Roman"/>
          <w:sz w:val="24"/>
          <w:lang w:val="sr-Cyrl-RS" w:eastAsia="hr-HR"/>
        </w:rPr>
        <w:t xml:space="preserve"> или 16,71%. Планирани укупни приходи у 2024. години износе </w:t>
      </w:r>
      <w:r w:rsidRPr="00EA0FD7">
        <w:rPr>
          <w:rFonts w:ascii="Times New Roman" w:eastAsia="Times New Roman" w:hAnsi="Times New Roman" w:cs="Times New Roman"/>
          <w:b/>
          <w:bCs/>
          <w:sz w:val="24"/>
          <w:lang w:val="sr-Cyrl-RS" w:eastAsia="hr-HR"/>
        </w:rPr>
        <w:t>279.394.983</w:t>
      </w:r>
      <w:r w:rsidRPr="00EA0FD7">
        <w:rPr>
          <w:rFonts w:ascii="Times New Roman" w:eastAsia="Times New Roman" w:hAnsi="Times New Roman" w:cs="Times New Roman"/>
          <w:sz w:val="24"/>
          <w:lang w:val="sr-Cyrl-RS" w:eastAsia="hr-HR"/>
        </w:rPr>
        <w:t xml:space="preserve"> КМ, што представља увећање у односу на 2023. годину за 2,85%, док се у 2025. години планирају приходи у износу од </w:t>
      </w:r>
      <w:r w:rsidRPr="00EA0FD7">
        <w:rPr>
          <w:rFonts w:ascii="Times New Roman" w:eastAsia="Times New Roman" w:hAnsi="Times New Roman" w:cs="Times New Roman"/>
          <w:b/>
          <w:bCs/>
          <w:sz w:val="24"/>
          <w:lang w:val="sr-Cyrl-RS" w:eastAsia="hr-HR"/>
        </w:rPr>
        <w:t xml:space="preserve">287.694.963 </w:t>
      </w:r>
      <w:r w:rsidRPr="00EA0FD7">
        <w:rPr>
          <w:rFonts w:ascii="Times New Roman" w:eastAsia="Times New Roman" w:hAnsi="Times New Roman" w:cs="Times New Roman"/>
          <w:sz w:val="24"/>
          <w:lang w:val="sr-Cyrl-RS" w:eastAsia="hr-HR"/>
        </w:rPr>
        <w:t>КМ, што је за 2,97% више у односу на план 2024. године.</w:t>
      </w:r>
      <w:r w:rsidRPr="00EA0FD7">
        <w:rPr>
          <w:rFonts w:ascii="Times New Roman" w:eastAsia="Times New Roman" w:hAnsi="Times New Roman" w:cs="Times New Roman"/>
          <w:color w:val="FF0000"/>
          <w:sz w:val="24"/>
          <w:szCs w:val="24"/>
          <w:lang w:val="sr-Cyrl-RS" w:eastAsia="hr-HR"/>
        </w:rPr>
        <w:t xml:space="preserve"> </w:t>
      </w:r>
    </w:p>
    <w:p w14:paraId="7982D9AC" w14:textId="77777777" w:rsidR="00EA0FD7" w:rsidRPr="00EA0FD7" w:rsidRDefault="00EA0FD7" w:rsidP="00EA0FD7">
      <w:pPr>
        <w:spacing w:after="0" w:line="240" w:lineRule="auto"/>
        <w:rPr>
          <w:rFonts w:ascii="Times New Roman" w:eastAsia="Times New Roman" w:hAnsi="Times New Roman" w:cs="Times New Roman"/>
          <w:b/>
          <w:bCs/>
          <w:lang w:val="sr-Cyrl-RS" w:eastAsia="hr-HR"/>
        </w:rPr>
      </w:pPr>
    </w:p>
    <w:p w14:paraId="2BE596BE" w14:textId="77777777" w:rsidR="00EA0FD7" w:rsidRPr="00EA0FD7" w:rsidRDefault="00EA0FD7" w:rsidP="00EA0FD7">
      <w:pPr>
        <w:spacing w:after="0" w:line="240" w:lineRule="auto"/>
        <w:rPr>
          <w:rFonts w:ascii="Times New Roman" w:eastAsia="Times New Roman" w:hAnsi="Times New Roman" w:cs="Times New Roman"/>
          <w:b/>
          <w:bCs/>
          <w:lang w:val="sr-Cyrl-RS" w:eastAsia="hr-HR"/>
        </w:rPr>
      </w:pPr>
    </w:p>
    <w:p w14:paraId="21D4C939" w14:textId="77777777" w:rsidR="00EA0FD7" w:rsidRPr="00EA0FD7" w:rsidRDefault="00EA0FD7" w:rsidP="00EA0FD7">
      <w:pPr>
        <w:spacing w:after="0" w:line="240" w:lineRule="auto"/>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
          <w:bCs/>
          <w:sz w:val="24"/>
          <w:szCs w:val="24"/>
          <w:lang w:val="sr-Cyrl-RS" w:eastAsia="hr-HR"/>
        </w:rPr>
        <w:t xml:space="preserve">Табела 3.6: </w:t>
      </w:r>
      <w:r w:rsidRPr="00EA0FD7">
        <w:rPr>
          <w:rFonts w:ascii="Times New Roman" w:eastAsia="Times New Roman" w:hAnsi="Times New Roman" w:cs="Times New Roman"/>
          <w:bCs/>
          <w:sz w:val="24"/>
          <w:szCs w:val="24"/>
          <w:lang w:val="sr-Cyrl-RS" w:eastAsia="hr-HR"/>
        </w:rPr>
        <w:t xml:space="preserve">Пројекција укупних прихода и финансирања буџета Брчко дистрикта БиХ </w:t>
      </w:r>
    </w:p>
    <w:p w14:paraId="7B384D25" w14:textId="53FEE51F" w:rsidR="00EA0FD7" w:rsidRPr="00EA0FD7" w:rsidRDefault="00EA0FD7" w:rsidP="00EA0FD7">
      <w:pPr>
        <w:spacing w:after="0" w:line="240" w:lineRule="auto"/>
        <w:jc w:val="center"/>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Cs/>
          <w:sz w:val="24"/>
          <w:szCs w:val="24"/>
          <w:lang w:val="sr-Cyrl-RS" w:eastAsia="hr-HR"/>
        </w:rPr>
        <w:t>у периоду 2023</w:t>
      </w:r>
      <w:r w:rsidR="00303EB7">
        <w:rPr>
          <w:rFonts w:ascii="Times New Roman" w:eastAsia="Times New Roman" w:hAnsi="Times New Roman" w:cs="Times New Roman"/>
          <w:bCs/>
          <w:sz w:val="24"/>
          <w:szCs w:val="24"/>
          <w:lang w:val="sr-Cyrl-RS" w:eastAsia="hr-HR"/>
        </w:rPr>
        <w:t>–</w:t>
      </w:r>
      <w:r w:rsidRPr="00EA0FD7">
        <w:rPr>
          <w:rFonts w:ascii="Times New Roman" w:eastAsia="Times New Roman" w:hAnsi="Times New Roman" w:cs="Times New Roman"/>
          <w:bCs/>
          <w:sz w:val="24"/>
          <w:szCs w:val="24"/>
          <w:lang w:val="sr-Cyrl-RS" w:eastAsia="hr-HR"/>
        </w:rPr>
        <w:t>2025. године</w:t>
      </w:r>
    </w:p>
    <w:tbl>
      <w:tblPr>
        <w:tblW w:w="9749" w:type="dxa"/>
        <w:tblInd w:w="98" w:type="dxa"/>
        <w:tblLook w:val="04A0" w:firstRow="1" w:lastRow="0" w:firstColumn="1" w:lastColumn="0" w:noHBand="0" w:noVBand="1"/>
      </w:tblPr>
      <w:tblGrid>
        <w:gridCol w:w="1790"/>
        <w:gridCol w:w="1755"/>
        <w:gridCol w:w="1630"/>
        <w:gridCol w:w="1522"/>
        <w:gridCol w:w="1522"/>
        <w:gridCol w:w="1530"/>
      </w:tblGrid>
      <w:tr w:rsidR="00EA0FD7" w:rsidRPr="00EA0FD7" w14:paraId="7B2D7E17" w14:textId="77777777" w:rsidTr="00EA0FD7">
        <w:trPr>
          <w:trHeight w:val="343"/>
        </w:trPr>
        <w:tc>
          <w:tcPr>
            <w:tcW w:w="1790" w:type="dxa"/>
            <w:vMerge w:val="restart"/>
            <w:tcBorders>
              <w:top w:val="single" w:sz="8" w:space="0" w:color="auto"/>
              <w:left w:val="single" w:sz="8" w:space="0" w:color="auto"/>
              <w:bottom w:val="single" w:sz="8" w:space="0" w:color="000000"/>
              <w:right w:val="single" w:sz="4" w:space="0" w:color="auto"/>
            </w:tcBorders>
            <w:shd w:val="clear" w:color="auto" w:fill="99CCFF"/>
            <w:vAlign w:val="bottom"/>
            <w:hideMark/>
          </w:tcPr>
          <w:p w14:paraId="39F4828C"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Врста</w:t>
            </w:r>
            <w:r w:rsidRPr="00EA0FD7">
              <w:rPr>
                <w:rFonts w:ascii="Arial" w:eastAsia="Times New Roman" w:hAnsi="Arial" w:cs="Arial"/>
                <w:b/>
                <w:bCs/>
                <w:sz w:val="18"/>
                <w:szCs w:val="18"/>
                <w:lang w:val="sr-Cyrl-RS"/>
              </w:rPr>
              <w:br/>
              <w:t xml:space="preserve"> прихода</w:t>
            </w:r>
          </w:p>
        </w:tc>
        <w:tc>
          <w:tcPr>
            <w:tcW w:w="1755" w:type="dxa"/>
            <w:tcBorders>
              <w:top w:val="single" w:sz="8" w:space="0" w:color="auto"/>
              <w:left w:val="nil"/>
              <w:bottom w:val="single" w:sz="4" w:space="0" w:color="auto"/>
              <w:right w:val="single" w:sz="4" w:space="0" w:color="auto"/>
            </w:tcBorders>
            <w:shd w:val="clear" w:color="auto" w:fill="99CCFF"/>
            <w:noWrap/>
            <w:vAlign w:val="bottom"/>
            <w:hideMark/>
          </w:tcPr>
          <w:p w14:paraId="7441034E"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Извршење</w:t>
            </w:r>
          </w:p>
        </w:tc>
        <w:tc>
          <w:tcPr>
            <w:tcW w:w="1630" w:type="dxa"/>
            <w:tcBorders>
              <w:top w:val="single" w:sz="8" w:space="0" w:color="auto"/>
              <w:left w:val="nil"/>
              <w:bottom w:val="single" w:sz="4" w:space="0" w:color="auto"/>
              <w:right w:val="single" w:sz="4" w:space="0" w:color="auto"/>
            </w:tcBorders>
            <w:shd w:val="clear" w:color="auto" w:fill="99CCFF"/>
            <w:noWrap/>
            <w:vAlign w:val="bottom"/>
            <w:hideMark/>
          </w:tcPr>
          <w:p w14:paraId="7D28CE5A"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План</w:t>
            </w:r>
          </w:p>
        </w:tc>
        <w:tc>
          <w:tcPr>
            <w:tcW w:w="4574" w:type="dxa"/>
            <w:gridSpan w:val="3"/>
            <w:tcBorders>
              <w:top w:val="single" w:sz="8" w:space="0" w:color="auto"/>
              <w:left w:val="nil"/>
              <w:bottom w:val="single" w:sz="4" w:space="0" w:color="auto"/>
              <w:right w:val="single" w:sz="8" w:space="0" w:color="000000"/>
            </w:tcBorders>
            <w:shd w:val="clear" w:color="auto" w:fill="99CCFF"/>
            <w:noWrap/>
            <w:vAlign w:val="bottom"/>
            <w:hideMark/>
          </w:tcPr>
          <w:p w14:paraId="21815F30"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Процјена</w:t>
            </w:r>
          </w:p>
        </w:tc>
      </w:tr>
      <w:tr w:rsidR="00EA0FD7" w:rsidRPr="00EA0FD7" w14:paraId="41A760A7" w14:textId="77777777" w:rsidTr="00EA0FD7">
        <w:trPr>
          <w:trHeight w:val="372"/>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1B4B2767"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755" w:type="dxa"/>
            <w:tcBorders>
              <w:top w:val="nil"/>
              <w:left w:val="nil"/>
              <w:bottom w:val="single" w:sz="8" w:space="0" w:color="auto"/>
              <w:right w:val="single" w:sz="4" w:space="0" w:color="auto"/>
            </w:tcBorders>
            <w:shd w:val="clear" w:color="auto" w:fill="99CCFF"/>
            <w:noWrap/>
            <w:vAlign w:val="bottom"/>
            <w:hideMark/>
          </w:tcPr>
          <w:p w14:paraId="2D335563" w14:textId="74A8AA1B"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2021</w:t>
            </w:r>
            <w:r w:rsidR="00303EB7">
              <w:rPr>
                <w:rFonts w:ascii="Arial" w:eastAsia="Times New Roman" w:hAnsi="Arial" w:cs="Arial"/>
                <w:b/>
                <w:bCs/>
                <w:sz w:val="18"/>
                <w:szCs w:val="18"/>
                <w:lang w:val="sr-Cyrl-RS"/>
              </w:rPr>
              <w:t>.</w:t>
            </w:r>
          </w:p>
        </w:tc>
        <w:tc>
          <w:tcPr>
            <w:tcW w:w="1630" w:type="dxa"/>
            <w:tcBorders>
              <w:top w:val="nil"/>
              <w:left w:val="nil"/>
              <w:bottom w:val="single" w:sz="8" w:space="0" w:color="auto"/>
              <w:right w:val="single" w:sz="4" w:space="0" w:color="auto"/>
            </w:tcBorders>
            <w:shd w:val="clear" w:color="auto" w:fill="99CCFF"/>
            <w:noWrap/>
            <w:vAlign w:val="bottom"/>
            <w:hideMark/>
          </w:tcPr>
          <w:p w14:paraId="255F8EEF" w14:textId="0592B178"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2022</w:t>
            </w:r>
            <w:r w:rsidR="00303EB7">
              <w:rPr>
                <w:rFonts w:ascii="Arial" w:eastAsia="Times New Roman" w:hAnsi="Arial" w:cs="Arial"/>
                <w:b/>
                <w:bCs/>
                <w:sz w:val="18"/>
                <w:szCs w:val="18"/>
                <w:lang w:val="sr-Cyrl-RS"/>
              </w:rPr>
              <w:t>.</w:t>
            </w:r>
          </w:p>
        </w:tc>
        <w:tc>
          <w:tcPr>
            <w:tcW w:w="1522" w:type="dxa"/>
            <w:tcBorders>
              <w:top w:val="nil"/>
              <w:left w:val="nil"/>
              <w:bottom w:val="single" w:sz="8" w:space="0" w:color="auto"/>
              <w:right w:val="single" w:sz="4" w:space="0" w:color="auto"/>
            </w:tcBorders>
            <w:shd w:val="clear" w:color="auto" w:fill="99CCFF"/>
            <w:noWrap/>
            <w:vAlign w:val="bottom"/>
            <w:hideMark/>
          </w:tcPr>
          <w:p w14:paraId="5DFB23BD" w14:textId="67AEEC2F"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2023</w:t>
            </w:r>
            <w:r w:rsidR="00303EB7">
              <w:rPr>
                <w:rFonts w:ascii="Arial" w:eastAsia="Times New Roman" w:hAnsi="Arial" w:cs="Arial"/>
                <w:b/>
                <w:bCs/>
                <w:sz w:val="18"/>
                <w:szCs w:val="18"/>
                <w:lang w:val="sr-Cyrl-RS"/>
              </w:rPr>
              <w:t>.</w:t>
            </w:r>
          </w:p>
        </w:tc>
        <w:tc>
          <w:tcPr>
            <w:tcW w:w="1522" w:type="dxa"/>
            <w:tcBorders>
              <w:top w:val="nil"/>
              <w:left w:val="nil"/>
              <w:bottom w:val="single" w:sz="8" w:space="0" w:color="auto"/>
              <w:right w:val="single" w:sz="4" w:space="0" w:color="auto"/>
            </w:tcBorders>
            <w:shd w:val="clear" w:color="auto" w:fill="99CCFF"/>
            <w:noWrap/>
            <w:vAlign w:val="bottom"/>
            <w:hideMark/>
          </w:tcPr>
          <w:p w14:paraId="0696FD5A" w14:textId="3CA7ABA1"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2024</w:t>
            </w:r>
            <w:r w:rsidR="00303EB7">
              <w:rPr>
                <w:rFonts w:ascii="Arial" w:eastAsia="Times New Roman" w:hAnsi="Arial" w:cs="Arial"/>
                <w:b/>
                <w:bCs/>
                <w:sz w:val="18"/>
                <w:szCs w:val="18"/>
                <w:lang w:val="sr-Cyrl-RS"/>
              </w:rPr>
              <w:t>.</w:t>
            </w:r>
          </w:p>
        </w:tc>
        <w:tc>
          <w:tcPr>
            <w:tcW w:w="1530" w:type="dxa"/>
            <w:tcBorders>
              <w:top w:val="nil"/>
              <w:left w:val="nil"/>
              <w:bottom w:val="single" w:sz="8" w:space="0" w:color="auto"/>
              <w:right w:val="single" w:sz="8" w:space="0" w:color="auto"/>
            </w:tcBorders>
            <w:shd w:val="clear" w:color="auto" w:fill="99CCFF"/>
            <w:noWrap/>
            <w:vAlign w:val="bottom"/>
            <w:hideMark/>
          </w:tcPr>
          <w:p w14:paraId="69822A8D" w14:textId="07701031"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2025</w:t>
            </w:r>
            <w:r w:rsidR="00303EB7">
              <w:rPr>
                <w:rFonts w:ascii="Arial" w:eastAsia="Times New Roman" w:hAnsi="Arial" w:cs="Arial"/>
                <w:b/>
                <w:bCs/>
                <w:sz w:val="18"/>
                <w:szCs w:val="18"/>
                <w:lang w:val="sr-Cyrl-RS"/>
              </w:rPr>
              <w:t>.</w:t>
            </w:r>
          </w:p>
        </w:tc>
      </w:tr>
      <w:tr w:rsidR="00EA0FD7" w:rsidRPr="00EA0FD7" w14:paraId="1325ADD9" w14:textId="77777777" w:rsidTr="00EA0FD7">
        <w:trPr>
          <w:trHeight w:val="399"/>
        </w:trPr>
        <w:tc>
          <w:tcPr>
            <w:tcW w:w="1790" w:type="dxa"/>
            <w:tcBorders>
              <w:top w:val="nil"/>
              <w:left w:val="single" w:sz="8" w:space="0" w:color="auto"/>
              <w:bottom w:val="single" w:sz="8" w:space="0" w:color="auto"/>
              <w:right w:val="single" w:sz="4" w:space="0" w:color="auto"/>
            </w:tcBorders>
            <w:shd w:val="clear" w:color="auto" w:fill="FFFF99"/>
            <w:noWrap/>
            <w:vAlign w:val="bottom"/>
            <w:hideMark/>
          </w:tcPr>
          <w:p w14:paraId="4D33C30E" w14:textId="6BA8FD2A" w:rsidR="00EA0FD7" w:rsidRPr="00EA0FD7" w:rsidRDefault="00303EB7" w:rsidP="00EA0FD7">
            <w:pPr>
              <w:spacing w:after="0" w:line="240" w:lineRule="auto"/>
              <w:rPr>
                <w:rFonts w:ascii="Arial" w:eastAsia="Times New Roman" w:hAnsi="Arial" w:cs="Arial"/>
                <w:b/>
                <w:bCs/>
                <w:i/>
                <w:iCs/>
                <w:sz w:val="18"/>
                <w:szCs w:val="18"/>
                <w:lang w:val="sr-Cyrl-RS"/>
              </w:rPr>
            </w:pPr>
            <w:r>
              <w:rPr>
                <w:rFonts w:ascii="Arial" w:eastAsia="Times New Roman" w:hAnsi="Arial" w:cs="Arial"/>
                <w:b/>
                <w:bCs/>
                <w:i/>
                <w:iCs/>
                <w:sz w:val="18"/>
                <w:szCs w:val="18"/>
              </w:rPr>
              <w:t>I</w:t>
            </w:r>
            <w:r w:rsidR="00EA0FD7" w:rsidRPr="00EA0FD7">
              <w:rPr>
                <w:rFonts w:ascii="Arial" w:eastAsia="Times New Roman" w:hAnsi="Arial" w:cs="Arial"/>
                <w:b/>
                <w:bCs/>
                <w:i/>
                <w:iCs/>
                <w:sz w:val="18"/>
                <w:szCs w:val="18"/>
                <w:lang w:val="sr-Cyrl-RS"/>
              </w:rPr>
              <w:t xml:space="preserve"> Порески приходи</w:t>
            </w:r>
          </w:p>
        </w:tc>
        <w:tc>
          <w:tcPr>
            <w:tcW w:w="1755" w:type="dxa"/>
            <w:tcBorders>
              <w:top w:val="nil"/>
              <w:left w:val="nil"/>
              <w:bottom w:val="single" w:sz="8" w:space="0" w:color="auto"/>
              <w:right w:val="single" w:sz="4" w:space="0" w:color="auto"/>
            </w:tcBorders>
            <w:shd w:val="clear" w:color="auto" w:fill="FFFF99"/>
            <w:noWrap/>
            <w:vAlign w:val="bottom"/>
            <w:hideMark/>
          </w:tcPr>
          <w:p w14:paraId="55CEC880"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224,196,279</w:t>
            </w:r>
          </w:p>
        </w:tc>
        <w:tc>
          <w:tcPr>
            <w:tcW w:w="1630" w:type="dxa"/>
            <w:tcBorders>
              <w:top w:val="nil"/>
              <w:left w:val="nil"/>
              <w:bottom w:val="single" w:sz="8" w:space="0" w:color="auto"/>
              <w:right w:val="single" w:sz="4" w:space="0" w:color="auto"/>
            </w:tcBorders>
            <w:shd w:val="clear" w:color="auto" w:fill="FFFF99"/>
            <w:noWrap/>
            <w:vAlign w:val="bottom"/>
            <w:hideMark/>
          </w:tcPr>
          <w:p w14:paraId="78EEBD39"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219,900,000</w:t>
            </w:r>
          </w:p>
        </w:tc>
        <w:tc>
          <w:tcPr>
            <w:tcW w:w="1522" w:type="dxa"/>
            <w:tcBorders>
              <w:top w:val="nil"/>
              <w:left w:val="nil"/>
              <w:bottom w:val="single" w:sz="8" w:space="0" w:color="auto"/>
              <w:right w:val="single" w:sz="4" w:space="0" w:color="auto"/>
            </w:tcBorders>
            <w:shd w:val="clear" w:color="auto" w:fill="FFFF99"/>
            <w:noWrap/>
            <w:vAlign w:val="bottom"/>
            <w:hideMark/>
          </w:tcPr>
          <w:p w14:paraId="79DE3508"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260,692,000</w:t>
            </w:r>
          </w:p>
        </w:tc>
        <w:tc>
          <w:tcPr>
            <w:tcW w:w="1522" w:type="dxa"/>
            <w:tcBorders>
              <w:top w:val="nil"/>
              <w:left w:val="nil"/>
              <w:bottom w:val="single" w:sz="8" w:space="0" w:color="auto"/>
              <w:right w:val="single" w:sz="4" w:space="0" w:color="auto"/>
            </w:tcBorders>
            <w:shd w:val="clear" w:color="auto" w:fill="FFFF99"/>
            <w:noWrap/>
            <w:vAlign w:val="bottom"/>
            <w:hideMark/>
          </w:tcPr>
          <w:p w14:paraId="5CA56186"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268,242,000</w:t>
            </w:r>
          </w:p>
        </w:tc>
        <w:tc>
          <w:tcPr>
            <w:tcW w:w="1530" w:type="dxa"/>
            <w:tcBorders>
              <w:top w:val="nil"/>
              <w:left w:val="nil"/>
              <w:bottom w:val="single" w:sz="8" w:space="0" w:color="auto"/>
              <w:right w:val="single" w:sz="8" w:space="0" w:color="auto"/>
            </w:tcBorders>
            <w:shd w:val="clear" w:color="auto" w:fill="FFFF99"/>
            <w:noWrap/>
            <w:vAlign w:val="bottom"/>
            <w:hideMark/>
          </w:tcPr>
          <w:p w14:paraId="4F9B47FE"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276,322,000</w:t>
            </w:r>
          </w:p>
        </w:tc>
      </w:tr>
      <w:tr w:rsidR="00EA0FD7" w:rsidRPr="00EA0FD7" w14:paraId="517B763E" w14:textId="77777777" w:rsidTr="00EA0FD7">
        <w:trPr>
          <w:trHeight w:val="551"/>
        </w:trPr>
        <w:tc>
          <w:tcPr>
            <w:tcW w:w="1790" w:type="dxa"/>
            <w:tcBorders>
              <w:top w:val="nil"/>
              <w:left w:val="single" w:sz="8" w:space="0" w:color="auto"/>
              <w:bottom w:val="single" w:sz="4" w:space="0" w:color="auto"/>
              <w:right w:val="single" w:sz="4" w:space="0" w:color="auto"/>
            </w:tcBorders>
            <w:vAlign w:val="bottom"/>
            <w:hideMark/>
          </w:tcPr>
          <w:p w14:paraId="278B17C1"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Приходи од индиректног опорезивања</w:t>
            </w:r>
          </w:p>
        </w:tc>
        <w:tc>
          <w:tcPr>
            <w:tcW w:w="1755" w:type="dxa"/>
            <w:tcBorders>
              <w:top w:val="nil"/>
              <w:left w:val="nil"/>
              <w:bottom w:val="single" w:sz="4" w:space="0" w:color="auto"/>
              <w:right w:val="single" w:sz="4" w:space="0" w:color="auto"/>
            </w:tcBorders>
            <w:noWrap/>
            <w:vAlign w:val="bottom"/>
            <w:hideMark/>
          </w:tcPr>
          <w:p w14:paraId="1E1B0A4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196,865,227</w:t>
            </w:r>
          </w:p>
        </w:tc>
        <w:tc>
          <w:tcPr>
            <w:tcW w:w="1630" w:type="dxa"/>
            <w:tcBorders>
              <w:top w:val="nil"/>
              <w:left w:val="nil"/>
              <w:bottom w:val="single" w:sz="4" w:space="0" w:color="auto"/>
              <w:right w:val="single" w:sz="4" w:space="0" w:color="auto"/>
            </w:tcBorders>
            <w:noWrap/>
            <w:vAlign w:val="bottom"/>
            <w:hideMark/>
          </w:tcPr>
          <w:p w14:paraId="0E65098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186,900,000</w:t>
            </w:r>
          </w:p>
        </w:tc>
        <w:tc>
          <w:tcPr>
            <w:tcW w:w="1522" w:type="dxa"/>
            <w:tcBorders>
              <w:top w:val="nil"/>
              <w:left w:val="nil"/>
              <w:bottom w:val="single" w:sz="4" w:space="0" w:color="auto"/>
              <w:right w:val="single" w:sz="4" w:space="0" w:color="auto"/>
            </w:tcBorders>
            <w:noWrap/>
            <w:vAlign w:val="bottom"/>
            <w:hideMark/>
          </w:tcPr>
          <w:p w14:paraId="552A3B9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227,560,000</w:t>
            </w:r>
          </w:p>
        </w:tc>
        <w:tc>
          <w:tcPr>
            <w:tcW w:w="1522" w:type="dxa"/>
            <w:tcBorders>
              <w:top w:val="nil"/>
              <w:left w:val="nil"/>
              <w:bottom w:val="single" w:sz="4" w:space="0" w:color="auto"/>
              <w:right w:val="single" w:sz="4" w:space="0" w:color="auto"/>
            </w:tcBorders>
            <w:noWrap/>
            <w:vAlign w:val="bottom"/>
            <w:hideMark/>
          </w:tcPr>
          <w:p w14:paraId="503C92E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235,110,000</w:t>
            </w:r>
          </w:p>
        </w:tc>
        <w:tc>
          <w:tcPr>
            <w:tcW w:w="1530" w:type="dxa"/>
            <w:tcBorders>
              <w:top w:val="nil"/>
              <w:left w:val="nil"/>
              <w:bottom w:val="single" w:sz="4" w:space="0" w:color="auto"/>
              <w:right w:val="single" w:sz="8" w:space="0" w:color="auto"/>
            </w:tcBorders>
            <w:noWrap/>
            <w:vAlign w:val="bottom"/>
            <w:hideMark/>
          </w:tcPr>
          <w:p w14:paraId="3EDD791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243,190,000</w:t>
            </w:r>
          </w:p>
        </w:tc>
      </w:tr>
      <w:tr w:rsidR="00EA0FD7" w:rsidRPr="00EA0FD7" w14:paraId="32CBA775" w14:textId="77777777" w:rsidTr="00EA0FD7">
        <w:trPr>
          <w:trHeight w:val="566"/>
        </w:trPr>
        <w:tc>
          <w:tcPr>
            <w:tcW w:w="1790" w:type="dxa"/>
            <w:tcBorders>
              <w:top w:val="nil"/>
              <w:left w:val="single" w:sz="8" w:space="0" w:color="auto"/>
              <w:bottom w:val="nil"/>
              <w:right w:val="single" w:sz="4" w:space="0" w:color="auto"/>
            </w:tcBorders>
            <w:vAlign w:val="bottom"/>
            <w:hideMark/>
          </w:tcPr>
          <w:p w14:paraId="08741147"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Приходи од</w:t>
            </w:r>
            <w:r w:rsidRPr="00EA0FD7">
              <w:rPr>
                <w:rFonts w:ascii="Arial" w:eastAsia="Times New Roman" w:hAnsi="Arial" w:cs="Arial"/>
                <w:sz w:val="18"/>
                <w:szCs w:val="18"/>
                <w:lang w:val="sr-Cyrl-RS"/>
              </w:rPr>
              <w:br/>
              <w:t>директног опорезивања</w:t>
            </w:r>
          </w:p>
        </w:tc>
        <w:tc>
          <w:tcPr>
            <w:tcW w:w="1755" w:type="dxa"/>
            <w:tcBorders>
              <w:top w:val="nil"/>
              <w:left w:val="nil"/>
              <w:bottom w:val="nil"/>
              <w:right w:val="single" w:sz="4" w:space="0" w:color="auto"/>
            </w:tcBorders>
            <w:noWrap/>
            <w:vAlign w:val="bottom"/>
            <w:hideMark/>
          </w:tcPr>
          <w:p w14:paraId="67C781B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27,331,052</w:t>
            </w:r>
          </w:p>
        </w:tc>
        <w:tc>
          <w:tcPr>
            <w:tcW w:w="1630" w:type="dxa"/>
            <w:tcBorders>
              <w:top w:val="nil"/>
              <w:left w:val="nil"/>
              <w:bottom w:val="nil"/>
              <w:right w:val="single" w:sz="4" w:space="0" w:color="auto"/>
            </w:tcBorders>
            <w:noWrap/>
            <w:vAlign w:val="bottom"/>
            <w:hideMark/>
          </w:tcPr>
          <w:p w14:paraId="6BC8612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33,000,000</w:t>
            </w:r>
          </w:p>
        </w:tc>
        <w:tc>
          <w:tcPr>
            <w:tcW w:w="1522" w:type="dxa"/>
            <w:tcBorders>
              <w:top w:val="nil"/>
              <w:left w:val="nil"/>
              <w:bottom w:val="nil"/>
              <w:right w:val="single" w:sz="4" w:space="0" w:color="auto"/>
            </w:tcBorders>
            <w:noWrap/>
            <w:vAlign w:val="bottom"/>
            <w:hideMark/>
          </w:tcPr>
          <w:p w14:paraId="014347C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33,132,000</w:t>
            </w:r>
          </w:p>
        </w:tc>
        <w:tc>
          <w:tcPr>
            <w:tcW w:w="1522" w:type="dxa"/>
            <w:tcBorders>
              <w:top w:val="nil"/>
              <w:left w:val="nil"/>
              <w:bottom w:val="nil"/>
              <w:right w:val="single" w:sz="4" w:space="0" w:color="auto"/>
            </w:tcBorders>
            <w:noWrap/>
            <w:vAlign w:val="bottom"/>
            <w:hideMark/>
          </w:tcPr>
          <w:p w14:paraId="0D25122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33,132,000</w:t>
            </w:r>
          </w:p>
        </w:tc>
        <w:tc>
          <w:tcPr>
            <w:tcW w:w="1530" w:type="dxa"/>
            <w:tcBorders>
              <w:top w:val="nil"/>
              <w:left w:val="nil"/>
              <w:bottom w:val="nil"/>
              <w:right w:val="single" w:sz="8" w:space="0" w:color="auto"/>
            </w:tcBorders>
            <w:noWrap/>
            <w:vAlign w:val="bottom"/>
            <w:hideMark/>
          </w:tcPr>
          <w:p w14:paraId="6235535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33,132,000</w:t>
            </w:r>
          </w:p>
        </w:tc>
      </w:tr>
      <w:tr w:rsidR="00EA0FD7" w:rsidRPr="00EA0FD7" w14:paraId="102B8F33" w14:textId="77777777" w:rsidTr="00EA0FD7">
        <w:trPr>
          <w:trHeight w:val="298"/>
        </w:trPr>
        <w:tc>
          <w:tcPr>
            <w:tcW w:w="1790" w:type="dxa"/>
            <w:tcBorders>
              <w:top w:val="single" w:sz="8" w:space="0" w:color="auto"/>
              <w:left w:val="single" w:sz="8" w:space="0" w:color="auto"/>
              <w:bottom w:val="single" w:sz="8" w:space="0" w:color="auto"/>
              <w:right w:val="single" w:sz="4" w:space="0" w:color="auto"/>
            </w:tcBorders>
            <w:shd w:val="clear" w:color="auto" w:fill="FFFF99"/>
            <w:noWrap/>
            <w:vAlign w:val="bottom"/>
            <w:hideMark/>
          </w:tcPr>
          <w:p w14:paraId="49E40A1F" w14:textId="0B627EF3" w:rsidR="00EA0FD7" w:rsidRPr="00EA0FD7" w:rsidRDefault="00303EB7" w:rsidP="00EA0FD7">
            <w:pPr>
              <w:spacing w:after="0" w:line="240" w:lineRule="auto"/>
              <w:rPr>
                <w:rFonts w:ascii="Arial" w:eastAsia="Times New Roman" w:hAnsi="Arial" w:cs="Arial"/>
                <w:b/>
                <w:bCs/>
                <w:i/>
                <w:iCs/>
                <w:sz w:val="18"/>
                <w:szCs w:val="18"/>
                <w:lang w:val="sr-Cyrl-RS"/>
              </w:rPr>
            </w:pPr>
            <w:r>
              <w:rPr>
                <w:rFonts w:ascii="Arial" w:eastAsia="Times New Roman" w:hAnsi="Arial" w:cs="Arial"/>
                <w:b/>
                <w:bCs/>
                <w:i/>
                <w:iCs/>
                <w:sz w:val="18"/>
                <w:szCs w:val="18"/>
              </w:rPr>
              <w:t>II</w:t>
            </w:r>
            <w:r w:rsidR="00EA0FD7" w:rsidRPr="00EA0FD7">
              <w:rPr>
                <w:rFonts w:ascii="Arial" w:eastAsia="Times New Roman" w:hAnsi="Arial" w:cs="Arial"/>
                <w:b/>
                <w:bCs/>
                <w:i/>
                <w:iCs/>
                <w:sz w:val="18"/>
                <w:szCs w:val="18"/>
                <w:lang w:val="sr-Cyrl-RS"/>
              </w:rPr>
              <w:t xml:space="preserve"> Непорески приходи</w:t>
            </w:r>
          </w:p>
        </w:tc>
        <w:tc>
          <w:tcPr>
            <w:tcW w:w="1755" w:type="dxa"/>
            <w:tcBorders>
              <w:top w:val="single" w:sz="8" w:space="0" w:color="auto"/>
              <w:left w:val="nil"/>
              <w:bottom w:val="single" w:sz="8" w:space="0" w:color="auto"/>
              <w:right w:val="single" w:sz="4" w:space="0" w:color="auto"/>
            </w:tcBorders>
            <w:shd w:val="clear" w:color="auto" w:fill="FFFF99"/>
            <w:noWrap/>
            <w:vAlign w:val="bottom"/>
            <w:hideMark/>
          </w:tcPr>
          <w:p w14:paraId="4C652033"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11,736,722</w:t>
            </w:r>
          </w:p>
        </w:tc>
        <w:tc>
          <w:tcPr>
            <w:tcW w:w="1630" w:type="dxa"/>
            <w:tcBorders>
              <w:top w:val="single" w:sz="8" w:space="0" w:color="auto"/>
              <w:left w:val="nil"/>
              <w:bottom w:val="single" w:sz="8" w:space="0" w:color="auto"/>
              <w:right w:val="single" w:sz="4" w:space="0" w:color="auto"/>
            </w:tcBorders>
            <w:shd w:val="clear" w:color="auto" w:fill="FFFF99"/>
            <w:noWrap/>
            <w:vAlign w:val="bottom"/>
            <w:hideMark/>
          </w:tcPr>
          <w:p w14:paraId="5E9135AB"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12,719,824</w:t>
            </w:r>
          </w:p>
        </w:tc>
        <w:tc>
          <w:tcPr>
            <w:tcW w:w="1522" w:type="dxa"/>
            <w:tcBorders>
              <w:top w:val="single" w:sz="8" w:space="0" w:color="auto"/>
              <w:left w:val="nil"/>
              <w:bottom w:val="single" w:sz="8" w:space="0" w:color="auto"/>
              <w:right w:val="single" w:sz="4" w:space="0" w:color="auto"/>
            </w:tcBorders>
            <w:shd w:val="clear" w:color="auto" w:fill="FFFF99"/>
            <w:noWrap/>
            <w:vAlign w:val="bottom"/>
            <w:hideMark/>
          </w:tcPr>
          <w:p w14:paraId="03C4C59B"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10,961,160</w:t>
            </w:r>
          </w:p>
        </w:tc>
        <w:tc>
          <w:tcPr>
            <w:tcW w:w="1522" w:type="dxa"/>
            <w:tcBorders>
              <w:top w:val="single" w:sz="8" w:space="0" w:color="auto"/>
              <w:left w:val="nil"/>
              <w:bottom w:val="single" w:sz="8" w:space="0" w:color="auto"/>
              <w:right w:val="single" w:sz="4" w:space="0" w:color="auto"/>
            </w:tcBorders>
            <w:shd w:val="clear" w:color="auto" w:fill="FFFF99"/>
            <w:noWrap/>
            <w:vAlign w:val="bottom"/>
            <w:hideMark/>
          </w:tcPr>
          <w:p w14:paraId="2EDD6EAD"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11,142,483</w:t>
            </w:r>
          </w:p>
        </w:tc>
        <w:tc>
          <w:tcPr>
            <w:tcW w:w="1530" w:type="dxa"/>
            <w:tcBorders>
              <w:top w:val="single" w:sz="8" w:space="0" w:color="auto"/>
              <w:left w:val="nil"/>
              <w:bottom w:val="single" w:sz="8" w:space="0" w:color="auto"/>
              <w:right w:val="single" w:sz="8" w:space="0" w:color="auto"/>
            </w:tcBorders>
            <w:shd w:val="clear" w:color="auto" w:fill="FFFF99"/>
            <w:noWrap/>
            <w:vAlign w:val="bottom"/>
            <w:hideMark/>
          </w:tcPr>
          <w:p w14:paraId="7FEBB27E"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11,362,463</w:t>
            </w:r>
          </w:p>
        </w:tc>
      </w:tr>
      <w:tr w:rsidR="00EA0FD7" w:rsidRPr="00EA0FD7" w14:paraId="43C209A8" w14:textId="77777777" w:rsidTr="00EA0FD7">
        <w:trPr>
          <w:trHeight w:val="566"/>
        </w:trPr>
        <w:tc>
          <w:tcPr>
            <w:tcW w:w="1790" w:type="dxa"/>
            <w:tcBorders>
              <w:top w:val="nil"/>
              <w:left w:val="single" w:sz="8" w:space="0" w:color="auto"/>
              <w:bottom w:val="single" w:sz="8" w:space="0" w:color="auto"/>
              <w:right w:val="single" w:sz="4" w:space="0" w:color="auto"/>
            </w:tcBorders>
            <w:shd w:val="clear" w:color="auto" w:fill="FFFF99"/>
            <w:vAlign w:val="bottom"/>
            <w:hideMark/>
          </w:tcPr>
          <w:p w14:paraId="72216214" w14:textId="553C23D4" w:rsidR="00EA0FD7" w:rsidRPr="00EA0FD7" w:rsidRDefault="00303EB7" w:rsidP="00EA0FD7">
            <w:pPr>
              <w:spacing w:after="0" w:line="240" w:lineRule="auto"/>
              <w:rPr>
                <w:rFonts w:ascii="Arial" w:eastAsia="Times New Roman" w:hAnsi="Arial" w:cs="Arial"/>
                <w:b/>
                <w:bCs/>
                <w:i/>
                <w:iCs/>
                <w:sz w:val="18"/>
                <w:szCs w:val="18"/>
                <w:lang w:val="sr-Cyrl-RS"/>
              </w:rPr>
            </w:pPr>
            <w:r>
              <w:rPr>
                <w:rFonts w:ascii="Arial" w:eastAsia="Times New Roman" w:hAnsi="Arial" w:cs="Arial"/>
                <w:b/>
                <w:bCs/>
                <w:i/>
                <w:iCs/>
                <w:sz w:val="18"/>
                <w:szCs w:val="18"/>
              </w:rPr>
              <w:t>III</w:t>
            </w:r>
            <w:r w:rsidR="00EA0FD7" w:rsidRPr="00EA0FD7">
              <w:rPr>
                <w:rFonts w:ascii="Arial" w:eastAsia="Times New Roman" w:hAnsi="Arial" w:cs="Arial"/>
                <w:b/>
                <w:bCs/>
                <w:i/>
                <w:iCs/>
                <w:sz w:val="18"/>
                <w:szCs w:val="18"/>
                <w:lang w:val="sr-Cyrl-RS"/>
              </w:rPr>
              <w:t xml:space="preserve"> Текуће донације</w:t>
            </w:r>
            <w:r w:rsidR="00EA0FD7" w:rsidRPr="00EA0FD7">
              <w:rPr>
                <w:rFonts w:ascii="Arial" w:eastAsia="Times New Roman" w:hAnsi="Arial" w:cs="Arial"/>
                <w:b/>
                <w:bCs/>
                <w:i/>
                <w:iCs/>
                <w:sz w:val="18"/>
                <w:szCs w:val="18"/>
                <w:lang w:val="sr-Cyrl-RS"/>
              </w:rPr>
              <w:br/>
              <w:t xml:space="preserve"> и трансфери</w:t>
            </w:r>
          </w:p>
        </w:tc>
        <w:tc>
          <w:tcPr>
            <w:tcW w:w="1755" w:type="dxa"/>
            <w:tcBorders>
              <w:top w:val="nil"/>
              <w:left w:val="nil"/>
              <w:bottom w:val="single" w:sz="8" w:space="0" w:color="auto"/>
              <w:right w:val="single" w:sz="4" w:space="0" w:color="auto"/>
            </w:tcBorders>
            <w:shd w:val="clear" w:color="auto" w:fill="FFFF99"/>
            <w:noWrap/>
            <w:vAlign w:val="bottom"/>
            <w:hideMark/>
          </w:tcPr>
          <w:p w14:paraId="05BC8F35"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560,442</w:t>
            </w:r>
          </w:p>
        </w:tc>
        <w:tc>
          <w:tcPr>
            <w:tcW w:w="1630" w:type="dxa"/>
            <w:tcBorders>
              <w:top w:val="nil"/>
              <w:left w:val="nil"/>
              <w:bottom w:val="single" w:sz="8" w:space="0" w:color="auto"/>
              <w:right w:val="single" w:sz="4" w:space="0" w:color="auto"/>
            </w:tcBorders>
            <w:shd w:val="clear" w:color="auto" w:fill="FFFF99"/>
            <w:noWrap/>
            <w:vAlign w:val="bottom"/>
            <w:hideMark/>
          </w:tcPr>
          <w:p w14:paraId="2DCE9422"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145,205</w:t>
            </w:r>
          </w:p>
        </w:tc>
        <w:tc>
          <w:tcPr>
            <w:tcW w:w="1522" w:type="dxa"/>
            <w:tcBorders>
              <w:top w:val="nil"/>
              <w:left w:val="nil"/>
              <w:bottom w:val="single" w:sz="8" w:space="0" w:color="auto"/>
              <w:right w:val="single" w:sz="4" w:space="0" w:color="auto"/>
            </w:tcBorders>
            <w:shd w:val="clear" w:color="auto" w:fill="FFFF99"/>
            <w:noWrap/>
            <w:vAlign w:val="bottom"/>
            <w:hideMark/>
          </w:tcPr>
          <w:p w14:paraId="6915B8D0"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10,500</w:t>
            </w:r>
          </w:p>
        </w:tc>
        <w:tc>
          <w:tcPr>
            <w:tcW w:w="1522" w:type="dxa"/>
            <w:tcBorders>
              <w:top w:val="nil"/>
              <w:left w:val="nil"/>
              <w:bottom w:val="single" w:sz="8" w:space="0" w:color="auto"/>
              <w:right w:val="single" w:sz="4" w:space="0" w:color="auto"/>
            </w:tcBorders>
            <w:shd w:val="clear" w:color="auto" w:fill="FFFF99"/>
            <w:noWrap/>
            <w:vAlign w:val="bottom"/>
            <w:hideMark/>
          </w:tcPr>
          <w:p w14:paraId="015FE2F3"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10,500</w:t>
            </w:r>
          </w:p>
        </w:tc>
        <w:tc>
          <w:tcPr>
            <w:tcW w:w="1530" w:type="dxa"/>
            <w:tcBorders>
              <w:top w:val="nil"/>
              <w:left w:val="nil"/>
              <w:bottom w:val="single" w:sz="8" w:space="0" w:color="auto"/>
              <w:right w:val="single" w:sz="8" w:space="0" w:color="auto"/>
            </w:tcBorders>
            <w:shd w:val="clear" w:color="auto" w:fill="FFFF99"/>
            <w:noWrap/>
            <w:vAlign w:val="bottom"/>
            <w:hideMark/>
          </w:tcPr>
          <w:p w14:paraId="56924085"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10,500</w:t>
            </w:r>
          </w:p>
        </w:tc>
      </w:tr>
      <w:tr w:rsidR="00EA0FD7" w:rsidRPr="00EA0FD7" w14:paraId="35720314" w14:textId="77777777" w:rsidTr="00EA0FD7">
        <w:trPr>
          <w:trHeight w:val="551"/>
        </w:trPr>
        <w:tc>
          <w:tcPr>
            <w:tcW w:w="1790" w:type="dxa"/>
            <w:tcBorders>
              <w:top w:val="nil"/>
              <w:left w:val="single" w:sz="8" w:space="0" w:color="auto"/>
              <w:bottom w:val="single" w:sz="8" w:space="0" w:color="auto"/>
              <w:right w:val="single" w:sz="4" w:space="0" w:color="auto"/>
            </w:tcBorders>
            <w:shd w:val="clear" w:color="auto" w:fill="99CCFF"/>
            <w:vAlign w:val="bottom"/>
            <w:hideMark/>
          </w:tcPr>
          <w:p w14:paraId="05F9411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УКУПНО ПРИХОДИ</w:t>
            </w:r>
            <w:r w:rsidRPr="00EA0FD7">
              <w:rPr>
                <w:rFonts w:ascii="Arial" w:eastAsia="Times New Roman" w:hAnsi="Arial" w:cs="Arial"/>
                <w:b/>
                <w:bCs/>
                <w:sz w:val="18"/>
                <w:szCs w:val="18"/>
                <w:lang w:val="sr-Cyrl-RS"/>
              </w:rPr>
              <w:br/>
              <w:t xml:space="preserve"> (И+ИИ+ИИИ)</w:t>
            </w:r>
          </w:p>
        </w:tc>
        <w:tc>
          <w:tcPr>
            <w:tcW w:w="1755" w:type="dxa"/>
            <w:tcBorders>
              <w:top w:val="nil"/>
              <w:left w:val="nil"/>
              <w:bottom w:val="single" w:sz="8" w:space="0" w:color="auto"/>
              <w:right w:val="single" w:sz="4" w:space="0" w:color="auto"/>
            </w:tcBorders>
            <w:shd w:val="clear" w:color="auto" w:fill="99CCFF"/>
            <w:noWrap/>
            <w:vAlign w:val="bottom"/>
            <w:hideMark/>
          </w:tcPr>
          <w:p w14:paraId="46428E4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236,493,443</w:t>
            </w:r>
          </w:p>
        </w:tc>
        <w:tc>
          <w:tcPr>
            <w:tcW w:w="1630" w:type="dxa"/>
            <w:tcBorders>
              <w:top w:val="nil"/>
              <w:left w:val="nil"/>
              <w:bottom w:val="single" w:sz="8" w:space="0" w:color="auto"/>
              <w:right w:val="single" w:sz="4" w:space="0" w:color="auto"/>
            </w:tcBorders>
            <w:shd w:val="clear" w:color="auto" w:fill="99CCFF"/>
            <w:noWrap/>
            <w:vAlign w:val="bottom"/>
            <w:hideMark/>
          </w:tcPr>
          <w:p w14:paraId="025A31B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232,765,030</w:t>
            </w:r>
          </w:p>
        </w:tc>
        <w:tc>
          <w:tcPr>
            <w:tcW w:w="1522" w:type="dxa"/>
            <w:tcBorders>
              <w:top w:val="nil"/>
              <w:left w:val="nil"/>
              <w:bottom w:val="single" w:sz="8" w:space="0" w:color="auto"/>
              <w:right w:val="single" w:sz="4" w:space="0" w:color="auto"/>
            </w:tcBorders>
            <w:shd w:val="clear" w:color="auto" w:fill="99CCFF"/>
            <w:noWrap/>
            <w:vAlign w:val="bottom"/>
            <w:hideMark/>
          </w:tcPr>
          <w:p w14:paraId="5931D1C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271,663,660</w:t>
            </w:r>
          </w:p>
        </w:tc>
        <w:tc>
          <w:tcPr>
            <w:tcW w:w="1522" w:type="dxa"/>
            <w:tcBorders>
              <w:top w:val="nil"/>
              <w:left w:val="nil"/>
              <w:bottom w:val="single" w:sz="8" w:space="0" w:color="auto"/>
              <w:right w:val="single" w:sz="4" w:space="0" w:color="auto"/>
            </w:tcBorders>
            <w:shd w:val="clear" w:color="auto" w:fill="99CCFF"/>
            <w:noWrap/>
            <w:vAlign w:val="bottom"/>
            <w:hideMark/>
          </w:tcPr>
          <w:p w14:paraId="6748D39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279,394,983</w:t>
            </w:r>
          </w:p>
        </w:tc>
        <w:tc>
          <w:tcPr>
            <w:tcW w:w="1530" w:type="dxa"/>
            <w:tcBorders>
              <w:top w:val="nil"/>
              <w:left w:val="nil"/>
              <w:bottom w:val="single" w:sz="8" w:space="0" w:color="auto"/>
              <w:right w:val="single" w:sz="8" w:space="0" w:color="auto"/>
            </w:tcBorders>
            <w:shd w:val="clear" w:color="auto" w:fill="99CCFF"/>
            <w:noWrap/>
            <w:vAlign w:val="bottom"/>
            <w:hideMark/>
          </w:tcPr>
          <w:p w14:paraId="6FEB6AE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287,694,963</w:t>
            </w:r>
          </w:p>
        </w:tc>
      </w:tr>
      <w:tr w:rsidR="00EA0FD7" w:rsidRPr="00EA0FD7" w14:paraId="595C17C4" w14:textId="77777777" w:rsidTr="00EA0FD7">
        <w:trPr>
          <w:trHeight w:val="399"/>
        </w:trPr>
        <w:tc>
          <w:tcPr>
            <w:tcW w:w="1790" w:type="dxa"/>
            <w:tcBorders>
              <w:top w:val="nil"/>
              <w:left w:val="single" w:sz="8" w:space="0" w:color="auto"/>
              <w:bottom w:val="nil"/>
              <w:right w:val="single" w:sz="4" w:space="0" w:color="auto"/>
            </w:tcBorders>
            <w:shd w:val="clear" w:color="auto" w:fill="FFFF99"/>
            <w:noWrap/>
            <w:vAlign w:val="bottom"/>
            <w:hideMark/>
          </w:tcPr>
          <w:p w14:paraId="71ECEF34" w14:textId="0FACF091" w:rsidR="00EA0FD7" w:rsidRPr="00EA0FD7" w:rsidRDefault="00303EB7" w:rsidP="00EA0FD7">
            <w:pPr>
              <w:spacing w:after="0" w:line="240" w:lineRule="auto"/>
              <w:rPr>
                <w:rFonts w:ascii="Arial" w:eastAsia="Times New Roman" w:hAnsi="Arial" w:cs="Arial"/>
                <w:b/>
                <w:bCs/>
                <w:i/>
                <w:iCs/>
                <w:sz w:val="18"/>
                <w:szCs w:val="18"/>
                <w:lang w:val="sr-Cyrl-RS"/>
              </w:rPr>
            </w:pPr>
            <w:r>
              <w:rPr>
                <w:rFonts w:ascii="Arial" w:eastAsia="Times New Roman" w:hAnsi="Arial" w:cs="Arial"/>
                <w:b/>
                <w:bCs/>
                <w:i/>
                <w:iCs/>
                <w:sz w:val="18"/>
                <w:szCs w:val="18"/>
              </w:rPr>
              <w:t>IV</w:t>
            </w:r>
            <w:r w:rsidR="00EA0FD7" w:rsidRPr="00EA0FD7">
              <w:rPr>
                <w:rFonts w:ascii="Arial" w:eastAsia="Times New Roman" w:hAnsi="Arial" w:cs="Arial"/>
                <w:b/>
                <w:bCs/>
                <w:i/>
                <w:iCs/>
                <w:sz w:val="18"/>
                <w:szCs w:val="18"/>
                <w:lang w:val="sr-Cyrl-RS"/>
              </w:rPr>
              <w:t xml:space="preserve"> ФИНАНСИРАЊЕ</w:t>
            </w:r>
          </w:p>
        </w:tc>
        <w:tc>
          <w:tcPr>
            <w:tcW w:w="1755" w:type="dxa"/>
            <w:tcBorders>
              <w:top w:val="nil"/>
              <w:left w:val="nil"/>
              <w:bottom w:val="nil"/>
              <w:right w:val="single" w:sz="4" w:space="0" w:color="auto"/>
            </w:tcBorders>
            <w:shd w:val="clear" w:color="auto" w:fill="FFFF99"/>
            <w:noWrap/>
            <w:vAlign w:val="bottom"/>
            <w:hideMark/>
          </w:tcPr>
          <w:p w14:paraId="29A18F09"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8,794,836</w:t>
            </w:r>
          </w:p>
        </w:tc>
        <w:tc>
          <w:tcPr>
            <w:tcW w:w="1630" w:type="dxa"/>
            <w:tcBorders>
              <w:top w:val="nil"/>
              <w:left w:val="nil"/>
              <w:bottom w:val="nil"/>
              <w:right w:val="single" w:sz="4" w:space="0" w:color="auto"/>
            </w:tcBorders>
            <w:shd w:val="clear" w:color="auto" w:fill="FFFF99"/>
            <w:noWrap/>
            <w:vAlign w:val="bottom"/>
            <w:hideMark/>
          </w:tcPr>
          <w:p w14:paraId="35F90A89"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34,253,310</w:t>
            </w:r>
          </w:p>
        </w:tc>
        <w:tc>
          <w:tcPr>
            <w:tcW w:w="1522" w:type="dxa"/>
            <w:tcBorders>
              <w:top w:val="nil"/>
              <w:left w:val="nil"/>
              <w:bottom w:val="nil"/>
              <w:right w:val="single" w:sz="4" w:space="0" w:color="auto"/>
            </w:tcBorders>
            <w:shd w:val="clear" w:color="auto" w:fill="FFFF99"/>
            <w:noWrap/>
            <w:vAlign w:val="bottom"/>
            <w:hideMark/>
          </w:tcPr>
          <w:p w14:paraId="2E160170"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6,420,000</w:t>
            </w:r>
          </w:p>
        </w:tc>
        <w:tc>
          <w:tcPr>
            <w:tcW w:w="1522" w:type="dxa"/>
            <w:tcBorders>
              <w:top w:val="nil"/>
              <w:left w:val="nil"/>
              <w:bottom w:val="nil"/>
              <w:right w:val="single" w:sz="4" w:space="0" w:color="auto"/>
            </w:tcBorders>
            <w:shd w:val="clear" w:color="auto" w:fill="FFFF99"/>
            <w:noWrap/>
            <w:vAlign w:val="bottom"/>
            <w:hideMark/>
          </w:tcPr>
          <w:p w14:paraId="1D41ED19"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6,360,000</w:t>
            </w:r>
          </w:p>
        </w:tc>
        <w:tc>
          <w:tcPr>
            <w:tcW w:w="1530" w:type="dxa"/>
            <w:tcBorders>
              <w:top w:val="nil"/>
              <w:left w:val="nil"/>
              <w:bottom w:val="nil"/>
              <w:right w:val="single" w:sz="8" w:space="0" w:color="auto"/>
            </w:tcBorders>
            <w:shd w:val="clear" w:color="auto" w:fill="FFFF99"/>
            <w:noWrap/>
            <w:vAlign w:val="bottom"/>
            <w:hideMark/>
          </w:tcPr>
          <w:p w14:paraId="05318F88"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6,290,000</w:t>
            </w:r>
          </w:p>
        </w:tc>
      </w:tr>
      <w:tr w:rsidR="00EA0FD7" w:rsidRPr="00EA0FD7" w14:paraId="60E6C4A4" w14:textId="77777777" w:rsidTr="00EA0FD7">
        <w:trPr>
          <w:trHeight w:val="834"/>
        </w:trPr>
        <w:tc>
          <w:tcPr>
            <w:tcW w:w="1790" w:type="dxa"/>
            <w:tcBorders>
              <w:top w:val="single" w:sz="8" w:space="0" w:color="auto"/>
              <w:left w:val="single" w:sz="8" w:space="0" w:color="auto"/>
              <w:bottom w:val="single" w:sz="8" w:space="0" w:color="auto"/>
              <w:right w:val="single" w:sz="4" w:space="0" w:color="auto"/>
            </w:tcBorders>
            <w:shd w:val="clear" w:color="auto" w:fill="99CCFF"/>
            <w:vAlign w:val="bottom"/>
            <w:hideMark/>
          </w:tcPr>
          <w:p w14:paraId="3D089F5B" w14:textId="129B3C76"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УКУПНО ПРИХОДИ И ФИНАНСИРАЊЕ</w:t>
            </w:r>
            <w:r w:rsidRPr="00EA0FD7">
              <w:rPr>
                <w:rFonts w:ascii="Arial" w:eastAsia="Times New Roman" w:hAnsi="Arial" w:cs="Arial"/>
                <w:b/>
                <w:bCs/>
                <w:sz w:val="18"/>
                <w:szCs w:val="18"/>
                <w:lang w:val="sr-Cyrl-RS"/>
              </w:rPr>
              <w:br/>
              <w:t xml:space="preserve"> (</w:t>
            </w:r>
            <w:r w:rsidR="00303EB7">
              <w:rPr>
                <w:rFonts w:ascii="Arial" w:eastAsia="Times New Roman" w:hAnsi="Arial" w:cs="Arial"/>
                <w:b/>
                <w:bCs/>
                <w:sz w:val="18"/>
                <w:szCs w:val="18"/>
              </w:rPr>
              <w:t>I</w:t>
            </w:r>
            <w:r w:rsidRPr="00EA0FD7">
              <w:rPr>
                <w:rFonts w:ascii="Arial" w:eastAsia="Times New Roman" w:hAnsi="Arial" w:cs="Arial"/>
                <w:b/>
                <w:bCs/>
                <w:sz w:val="18"/>
                <w:szCs w:val="18"/>
                <w:lang w:val="sr-Cyrl-RS"/>
              </w:rPr>
              <w:t>+</w:t>
            </w:r>
            <w:r w:rsidR="00303EB7">
              <w:rPr>
                <w:rFonts w:ascii="Arial" w:eastAsia="Times New Roman" w:hAnsi="Arial" w:cs="Arial"/>
                <w:b/>
                <w:bCs/>
                <w:sz w:val="18"/>
                <w:szCs w:val="18"/>
              </w:rPr>
              <w:t>II</w:t>
            </w:r>
            <w:r w:rsidRPr="00EA0FD7">
              <w:rPr>
                <w:rFonts w:ascii="Arial" w:eastAsia="Times New Roman" w:hAnsi="Arial" w:cs="Arial"/>
                <w:b/>
                <w:bCs/>
                <w:sz w:val="18"/>
                <w:szCs w:val="18"/>
                <w:lang w:val="sr-Cyrl-RS"/>
              </w:rPr>
              <w:t>+</w:t>
            </w:r>
            <w:r w:rsidR="00303EB7">
              <w:rPr>
                <w:rFonts w:ascii="Arial" w:eastAsia="Times New Roman" w:hAnsi="Arial" w:cs="Arial"/>
                <w:b/>
                <w:bCs/>
                <w:sz w:val="18"/>
                <w:szCs w:val="18"/>
              </w:rPr>
              <w:t>III</w:t>
            </w:r>
            <w:r w:rsidRPr="00EA0FD7">
              <w:rPr>
                <w:rFonts w:ascii="Arial" w:eastAsia="Times New Roman" w:hAnsi="Arial" w:cs="Arial"/>
                <w:b/>
                <w:bCs/>
                <w:sz w:val="18"/>
                <w:szCs w:val="18"/>
                <w:lang w:val="sr-Cyrl-RS"/>
              </w:rPr>
              <w:t>+</w:t>
            </w:r>
            <w:r w:rsidR="00303EB7">
              <w:rPr>
                <w:rFonts w:ascii="Arial" w:eastAsia="Times New Roman" w:hAnsi="Arial" w:cs="Arial"/>
                <w:b/>
                <w:bCs/>
                <w:sz w:val="18"/>
                <w:szCs w:val="18"/>
              </w:rPr>
              <w:t>IV</w:t>
            </w:r>
            <w:r w:rsidRPr="00EA0FD7">
              <w:rPr>
                <w:rFonts w:ascii="Arial" w:eastAsia="Times New Roman" w:hAnsi="Arial" w:cs="Arial"/>
                <w:b/>
                <w:bCs/>
                <w:sz w:val="18"/>
                <w:szCs w:val="18"/>
                <w:lang w:val="sr-Cyrl-RS"/>
              </w:rPr>
              <w:t>)</w:t>
            </w:r>
          </w:p>
        </w:tc>
        <w:tc>
          <w:tcPr>
            <w:tcW w:w="1755" w:type="dxa"/>
            <w:tcBorders>
              <w:top w:val="single" w:sz="8" w:space="0" w:color="auto"/>
              <w:left w:val="nil"/>
              <w:bottom w:val="single" w:sz="8" w:space="0" w:color="auto"/>
              <w:right w:val="single" w:sz="4" w:space="0" w:color="auto"/>
            </w:tcBorders>
            <w:shd w:val="clear" w:color="auto" w:fill="99CCFF"/>
            <w:noWrap/>
            <w:vAlign w:val="bottom"/>
            <w:hideMark/>
          </w:tcPr>
          <w:p w14:paraId="0ED6482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245,288,279</w:t>
            </w:r>
          </w:p>
        </w:tc>
        <w:tc>
          <w:tcPr>
            <w:tcW w:w="1630" w:type="dxa"/>
            <w:tcBorders>
              <w:top w:val="single" w:sz="8" w:space="0" w:color="auto"/>
              <w:left w:val="nil"/>
              <w:bottom w:val="single" w:sz="8" w:space="0" w:color="auto"/>
              <w:right w:val="single" w:sz="4" w:space="0" w:color="auto"/>
            </w:tcBorders>
            <w:shd w:val="clear" w:color="auto" w:fill="99CCFF"/>
            <w:noWrap/>
            <w:vAlign w:val="bottom"/>
            <w:hideMark/>
          </w:tcPr>
          <w:p w14:paraId="4D9A5E0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267,018,340</w:t>
            </w:r>
          </w:p>
        </w:tc>
        <w:tc>
          <w:tcPr>
            <w:tcW w:w="1522" w:type="dxa"/>
            <w:tcBorders>
              <w:top w:val="single" w:sz="8" w:space="0" w:color="auto"/>
              <w:left w:val="nil"/>
              <w:bottom w:val="single" w:sz="8" w:space="0" w:color="auto"/>
              <w:right w:val="single" w:sz="4" w:space="0" w:color="auto"/>
            </w:tcBorders>
            <w:shd w:val="clear" w:color="auto" w:fill="99CCFF"/>
            <w:noWrap/>
            <w:vAlign w:val="bottom"/>
            <w:hideMark/>
          </w:tcPr>
          <w:p w14:paraId="3615066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278,083,660</w:t>
            </w:r>
          </w:p>
        </w:tc>
        <w:tc>
          <w:tcPr>
            <w:tcW w:w="1522" w:type="dxa"/>
            <w:tcBorders>
              <w:top w:val="single" w:sz="8" w:space="0" w:color="auto"/>
              <w:left w:val="nil"/>
              <w:bottom w:val="single" w:sz="8" w:space="0" w:color="auto"/>
              <w:right w:val="single" w:sz="4" w:space="0" w:color="auto"/>
            </w:tcBorders>
            <w:shd w:val="clear" w:color="auto" w:fill="99CCFF"/>
            <w:noWrap/>
            <w:vAlign w:val="bottom"/>
            <w:hideMark/>
          </w:tcPr>
          <w:p w14:paraId="5FA4A16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285,754,983</w:t>
            </w:r>
          </w:p>
        </w:tc>
        <w:tc>
          <w:tcPr>
            <w:tcW w:w="1530" w:type="dxa"/>
            <w:tcBorders>
              <w:top w:val="single" w:sz="8" w:space="0" w:color="auto"/>
              <w:left w:val="nil"/>
              <w:bottom w:val="single" w:sz="8" w:space="0" w:color="auto"/>
              <w:right w:val="single" w:sz="8" w:space="0" w:color="auto"/>
            </w:tcBorders>
            <w:shd w:val="clear" w:color="auto" w:fill="99CCFF"/>
            <w:noWrap/>
            <w:vAlign w:val="bottom"/>
            <w:hideMark/>
          </w:tcPr>
          <w:p w14:paraId="49D08E0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293,984,963</w:t>
            </w:r>
          </w:p>
        </w:tc>
      </w:tr>
    </w:tbl>
    <w:p w14:paraId="1012B6B3"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p w14:paraId="38F7B2D1" w14:textId="77777777" w:rsidR="00EA0FD7" w:rsidRPr="00EA0FD7" w:rsidRDefault="00EA0FD7" w:rsidP="00EA0FD7">
      <w:pPr>
        <w:spacing w:after="0" w:line="240" w:lineRule="auto"/>
        <w:rPr>
          <w:rFonts w:ascii="Times New Roman" w:eastAsia="Times New Roman" w:hAnsi="Times New Roman" w:cs="Times New Roman"/>
          <w:bCs/>
          <w:sz w:val="24"/>
          <w:szCs w:val="24"/>
          <w:lang w:val="sr-Cyrl-RS" w:eastAsia="hr-HR"/>
        </w:rPr>
      </w:pPr>
    </w:p>
    <w:p w14:paraId="1193C1D6" w14:textId="57D5DB63"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Cs/>
          <w:sz w:val="24"/>
          <w:szCs w:val="24"/>
          <w:lang w:val="sr-Cyrl-RS" w:eastAsia="hr-HR"/>
        </w:rPr>
        <w:t>Табеларни преглед синтетичке пројекције прихода буџета Брчко дистрикта БиХ за период 2023</w:t>
      </w:r>
      <w:r w:rsidR="00303EB7">
        <w:rPr>
          <w:rFonts w:ascii="Times New Roman" w:eastAsia="Times New Roman" w:hAnsi="Times New Roman" w:cs="Times New Roman"/>
          <w:bCs/>
          <w:sz w:val="24"/>
          <w:szCs w:val="24"/>
          <w:lang w:val="sr-Cyrl-RS" w:eastAsia="hr-HR"/>
        </w:rPr>
        <w:t>–</w:t>
      </w:r>
      <w:r w:rsidRPr="00EA0FD7">
        <w:rPr>
          <w:rFonts w:ascii="Times New Roman" w:eastAsia="Times New Roman" w:hAnsi="Times New Roman" w:cs="Times New Roman"/>
          <w:bCs/>
          <w:sz w:val="24"/>
          <w:szCs w:val="24"/>
          <w:lang w:val="sr-Cyrl-RS" w:eastAsia="hr-HR"/>
        </w:rPr>
        <w:t xml:space="preserve">2025. година се налази у прилогу бр. 1. </w:t>
      </w:r>
    </w:p>
    <w:p w14:paraId="03CB10DA" w14:textId="346A88A1" w:rsidR="00EA0FD7" w:rsidRPr="00303EB7" w:rsidRDefault="00303EB7" w:rsidP="00EA0FD7">
      <w:pPr>
        <w:spacing w:after="0" w:line="24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 </w:t>
      </w:r>
    </w:p>
    <w:p w14:paraId="5313653C" w14:textId="77777777" w:rsidR="00303EB7" w:rsidRDefault="00303EB7" w:rsidP="00EA0FD7">
      <w:pPr>
        <w:spacing w:after="0" w:line="240" w:lineRule="auto"/>
        <w:jc w:val="both"/>
        <w:rPr>
          <w:rFonts w:ascii="Times New Roman" w:eastAsia="Times New Roman" w:hAnsi="Times New Roman" w:cs="Times New Roman"/>
          <w:b/>
          <w:sz w:val="24"/>
          <w:szCs w:val="24"/>
          <w:lang w:val="sr-Cyrl-RS" w:eastAsia="hr-HR"/>
        </w:rPr>
      </w:pPr>
    </w:p>
    <w:p w14:paraId="20523292" w14:textId="2B9AFE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t xml:space="preserve">ОЦЈЕНА РИЗИКА </w:t>
      </w:r>
    </w:p>
    <w:p w14:paraId="0C6AC76F"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7771B03B"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Највећи ризик планирања прихода буџета Брчко дистрикта БиХ је планирање наплате индиректних пореза којом управља Управа за индиректно опорезивање БиХ. Наведени ризик произилази из значајне заступљености индиректних пореза у укупним приходима Брчко дистрикта БиХ (у 2023. години 83,76%). </w:t>
      </w:r>
    </w:p>
    <w:p w14:paraId="5F82CF80"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385F5C4F" w14:textId="1CF7950F"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sz w:val="24"/>
          <w:szCs w:val="24"/>
          <w:lang w:val="sr-Cyrl-RS" w:eastAsia="hr-HR"/>
        </w:rPr>
        <w:t>У табели 3.7. се види процентуално учешће појединих врста прихода у укупно оствареним приходима Брчко дистрикта БиХ од 2015. до 2021. године, плану за 2022. годину, као и у процјени за наредни трогодишњи период (2023</w:t>
      </w:r>
      <w:r w:rsidR="00303EB7">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2025).</w:t>
      </w:r>
      <w:r w:rsidRPr="00EA0FD7">
        <w:rPr>
          <w:rFonts w:ascii="Times New Roman" w:eastAsia="Times New Roman" w:hAnsi="Times New Roman" w:cs="Times New Roman"/>
          <w:bCs/>
          <w:sz w:val="24"/>
          <w:szCs w:val="24"/>
          <w:lang w:val="sr-Cyrl-RS" w:eastAsia="hr-HR"/>
        </w:rPr>
        <w:t xml:space="preserve"> </w:t>
      </w:r>
    </w:p>
    <w:p w14:paraId="3D651160"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p>
    <w:p w14:paraId="69585F12"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p>
    <w:p w14:paraId="19C5EC16" w14:textId="463F7253"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 xml:space="preserve">          </w:t>
      </w:r>
    </w:p>
    <w:p w14:paraId="58FEC775" w14:textId="765C1931" w:rsidR="00EA0FD7" w:rsidRPr="00EA0FD7" w:rsidRDefault="00EA0FD7" w:rsidP="00EA0FD7">
      <w:pPr>
        <w:spacing w:after="0" w:line="240" w:lineRule="auto"/>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
          <w:bCs/>
          <w:sz w:val="24"/>
          <w:szCs w:val="24"/>
          <w:lang w:val="sr-Cyrl-RS" w:eastAsia="hr-HR"/>
        </w:rPr>
        <w:lastRenderedPageBreak/>
        <w:t xml:space="preserve">              Табела 3.7: </w:t>
      </w:r>
      <w:r w:rsidRPr="00EA0FD7">
        <w:rPr>
          <w:rFonts w:ascii="Times New Roman" w:eastAsia="Times New Roman" w:hAnsi="Times New Roman" w:cs="Times New Roman"/>
          <w:bCs/>
          <w:sz w:val="24"/>
          <w:szCs w:val="24"/>
          <w:lang w:val="sr-Cyrl-RS" w:eastAsia="hr-HR"/>
        </w:rPr>
        <w:t>Структура процентуалног учешћа прихода Брчко дистрик</w:t>
      </w:r>
      <w:r w:rsidR="00303EB7">
        <w:rPr>
          <w:rFonts w:ascii="Times New Roman" w:eastAsia="Times New Roman" w:hAnsi="Times New Roman" w:cs="Times New Roman"/>
          <w:bCs/>
          <w:sz w:val="24"/>
          <w:szCs w:val="24"/>
          <w:lang w:val="bs-Cyrl-BA" w:eastAsia="hr-HR"/>
        </w:rPr>
        <w:t>т</w:t>
      </w:r>
      <w:r w:rsidRPr="00EA0FD7">
        <w:rPr>
          <w:rFonts w:ascii="Times New Roman" w:eastAsia="Times New Roman" w:hAnsi="Times New Roman" w:cs="Times New Roman"/>
          <w:bCs/>
          <w:sz w:val="24"/>
          <w:szCs w:val="24"/>
          <w:lang w:val="sr-Cyrl-RS" w:eastAsia="hr-HR"/>
        </w:rPr>
        <w:t xml:space="preserve">а БиХ </w:t>
      </w:r>
    </w:p>
    <w:p w14:paraId="4136A793" w14:textId="7C28FF49" w:rsidR="00EA0FD7" w:rsidRPr="00EA0FD7" w:rsidRDefault="00EA0FD7" w:rsidP="00EA0FD7">
      <w:pPr>
        <w:spacing w:after="0" w:line="240" w:lineRule="auto"/>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Cs/>
          <w:sz w:val="24"/>
          <w:szCs w:val="24"/>
          <w:lang w:val="sr-Cyrl-RS" w:eastAsia="hr-HR"/>
        </w:rPr>
        <w:t xml:space="preserve">                                     у периоду 2015</w:t>
      </w:r>
      <w:r w:rsidR="00303EB7">
        <w:rPr>
          <w:rFonts w:ascii="Times New Roman" w:eastAsia="Times New Roman" w:hAnsi="Times New Roman" w:cs="Times New Roman"/>
          <w:bCs/>
          <w:sz w:val="24"/>
          <w:szCs w:val="24"/>
          <w:lang w:val="sr-Cyrl-RS" w:eastAsia="hr-HR"/>
        </w:rPr>
        <w:t>–</w:t>
      </w:r>
      <w:r w:rsidRPr="00EA0FD7">
        <w:rPr>
          <w:rFonts w:ascii="Times New Roman" w:eastAsia="Times New Roman" w:hAnsi="Times New Roman" w:cs="Times New Roman"/>
          <w:bCs/>
          <w:sz w:val="24"/>
          <w:szCs w:val="24"/>
          <w:lang w:val="sr-Cyrl-RS" w:eastAsia="hr-HR"/>
        </w:rPr>
        <w:t>2025. године</w:t>
      </w:r>
    </w:p>
    <w:p w14:paraId="68C78499"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tbl>
      <w:tblPr>
        <w:tblpPr w:leftFromText="180" w:rightFromText="180" w:vertAnchor="text" w:horzAnchor="margin" w:tblpXSpec="center" w:tblpY="-11"/>
        <w:tblW w:w="7540" w:type="dxa"/>
        <w:tblLook w:val="04A0" w:firstRow="1" w:lastRow="0" w:firstColumn="1" w:lastColumn="0" w:noHBand="0" w:noVBand="1"/>
      </w:tblPr>
      <w:tblGrid>
        <w:gridCol w:w="1340"/>
        <w:gridCol w:w="1240"/>
        <w:gridCol w:w="1406"/>
        <w:gridCol w:w="1283"/>
        <w:gridCol w:w="1311"/>
        <w:gridCol w:w="1240"/>
      </w:tblGrid>
      <w:tr w:rsidR="00EA0FD7" w:rsidRPr="00EA0FD7" w14:paraId="199D543B" w14:textId="77777777" w:rsidTr="00EA0FD7">
        <w:trPr>
          <w:trHeight w:val="870"/>
        </w:trPr>
        <w:tc>
          <w:tcPr>
            <w:tcW w:w="1340" w:type="dxa"/>
            <w:tcBorders>
              <w:top w:val="single" w:sz="8" w:space="0" w:color="auto"/>
              <w:left w:val="single" w:sz="8" w:space="0" w:color="auto"/>
              <w:bottom w:val="single" w:sz="8" w:space="0" w:color="auto"/>
              <w:right w:val="single" w:sz="4" w:space="0" w:color="auto"/>
            </w:tcBorders>
            <w:shd w:val="clear" w:color="auto" w:fill="99CCFF"/>
            <w:noWrap/>
            <w:vAlign w:val="center"/>
            <w:hideMark/>
          </w:tcPr>
          <w:p w14:paraId="4936C563" w14:textId="77777777" w:rsidR="00EA0FD7" w:rsidRPr="00EA0FD7" w:rsidRDefault="00EA0FD7" w:rsidP="00EA0FD7">
            <w:pPr>
              <w:spacing w:after="0" w:line="240" w:lineRule="auto"/>
              <w:jc w:val="center"/>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Година</w:t>
            </w:r>
          </w:p>
        </w:tc>
        <w:tc>
          <w:tcPr>
            <w:tcW w:w="1240" w:type="dxa"/>
            <w:tcBorders>
              <w:top w:val="single" w:sz="8" w:space="0" w:color="auto"/>
              <w:left w:val="nil"/>
              <w:bottom w:val="single" w:sz="8" w:space="0" w:color="auto"/>
              <w:right w:val="single" w:sz="4" w:space="0" w:color="auto"/>
            </w:tcBorders>
            <w:shd w:val="clear" w:color="auto" w:fill="99CCFF"/>
            <w:vAlign w:val="center"/>
            <w:hideMark/>
          </w:tcPr>
          <w:p w14:paraId="553F3EB4" w14:textId="77777777" w:rsidR="00EA0FD7" w:rsidRPr="00EA0FD7" w:rsidRDefault="00EA0FD7" w:rsidP="00EA0FD7">
            <w:pPr>
              <w:spacing w:after="0" w:line="240" w:lineRule="auto"/>
              <w:jc w:val="center"/>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Директни</w:t>
            </w:r>
            <w:r w:rsidRPr="00EA0FD7">
              <w:rPr>
                <w:rFonts w:ascii="Arial" w:eastAsia="Times New Roman" w:hAnsi="Arial" w:cs="Arial"/>
                <w:b/>
                <w:bCs/>
                <w:sz w:val="20"/>
                <w:szCs w:val="20"/>
                <w:lang w:val="sr-Cyrl-RS"/>
              </w:rPr>
              <w:br/>
              <w:t xml:space="preserve"> порези</w:t>
            </w:r>
          </w:p>
        </w:tc>
        <w:tc>
          <w:tcPr>
            <w:tcW w:w="1240" w:type="dxa"/>
            <w:tcBorders>
              <w:top w:val="single" w:sz="8" w:space="0" w:color="auto"/>
              <w:left w:val="nil"/>
              <w:bottom w:val="single" w:sz="8" w:space="0" w:color="auto"/>
              <w:right w:val="single" w:sz="4" w:space="0" w:color="auto"/>
            </w:tcBorders>
            <w:shd w:val="clear" w:color="auto" w:fill="99CCFF"/>
            <w:vAlign w:val="center"/>
            <w:hideMark/>
          </w:tcPr>
          <w:p w14:paraId="76557420" w14:textId="77777777" w:rsidR="00EA0FD7" w:rsidRPr="00EA0FD7" w:rsidRDefault="00EA0FD7" w:rsidP="00EA0FD7">
            <w:pPr>
              <w:spacing w:after="0" w:line="240" w:lineRule="auto"/>
              <w:jc w:val="center"/>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Индиректни </w:t>
            </w:r>
            <w:r w:rsidRPr="00EA0FD7">
              <w:rPr>
                <w:rFonts w:ascii="Arial" w:eastAsia="Times New Roman" w:hAnsi="Arial" w:cs="Arial"/>
                <w:b/>
                <w:bCs/>
                <w:sz w:val="20"/>
                <w:szCs w:val="20"/>
                <w:lang w:val="sr-Cyrl-RS"/>
              </w:rPr>
              <w:br/>
              <w:t>порези</w:t>
            </w:r>
          </w:p>
        </w:tc>
        <w:tc>
          <w:tcPr>
            <w:tcW w:w="1240" w:type="dxa"/>
            <w:tcBorders>
              <w:top w:val="single" w:sz="8" w:space="0" w:color="auto"/>
              <w:left w:val="nil"/>
              <w:bottom w:val="single" w:sz="8" w:space="0" w:color="auto"/>
              <w:right w:val="single" w:sz="4" w:space="0" w:color="auto"/>
            </w:tcBorders>
            <w:shd w:val="clear" w:color="auto" w:fill="99CCFF"/>
            <w:vAlign w:val="center"/>
            <w:hideMark/>
          </w:tcPr>
          <w:p w14:paraId="4754EFAD" w14:textId="77777777" w:rsidR="00EA0FD7" w:rsidRPr="00EA0FD7" w:rsidRDefault="00EA0FD7" w:rsidP="00EA0FD7">
            <w:pPr>
              <w:spacing w:after="0" w:line="240" w:lineRule="auto"/>
              <w:jc w:val="center"/>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Непорески </w:t>
            </w:r>
            <w:r w:rsidRPr="00EA0FD7">
              <w:rPr>
                <w:rFonts w:ascii="Arial" w:eastAsia="Times New Roman" w:hAnsi="Arial" w:cs="Arial"/>
                <w:b/>
                <w:bCs/>
                <w:sz w:val="20"/>
                <w:szCs w:val="20"/>
                <w:lang w:val="sr-Cyrl-RS"/>
              </w:rPr>
              <w:br/>
              <w:t>приходи</w:t>
            </w:r>
          </w:p>
        </w:tc>
        <w:tc>
          <w:tcPr>
            <w:tcW w:w="1240" w:type="dxa"/>
            <w:tcBorders>
              <w:top w:val="single" w:sz="8" w:space="0" w:color="auto"/>
              <w:left w:val="nil"/>
              <w:bottom w:val="single" w:sz="8" w:space="0" w:color="auto"/>
              <w:right w:val="single" w:sz="4" w:space="0" w:color="auto"/>
            </w:tcBorders>
            <w:shd w:val="clear" w:color="auto" w:fill="99CCFF"/>
            <w:vAlign w:val="center"/>
            <w:hideMark/>
          </w:tcPr>
          <w:p w14:paraId="207BAA06" w14:textId="77777777" w:rsidR="00EA0FD7" w:rsidRPr="00EA0FD7" w:rsidRDefault="00EA0FD7" w:rsidP="00EA0FD7">
            <w:pPr>
              <w:spacing w:after="0" w:line="240" w:lineRule="auto"/>
              <w:jc w:val="center"/>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Текуће донације</w:t>
            </w:r>
            <w:r w:rsidRPr="00EA0FD7">
              <w:rPr>
                <w:rFonts w:ascii="Arial" w:eastAsia="Times New Roman" w:hAnsi="Arial" w:cs="Arial"/>
                <w:b/>
                <w:bCs/>
                <w:sz w:val="20"/>
                <w:szCs w:val="20"/>
                <w:lang w:val="sr-Cyrl-RS"/>
              </w:rPr>
              <w:br/>
              <w:t xml:space="preserve"> и трансфери</w:t>
            </w:r>
          </w:p>
        </w:tc>
        <w:tc>
          <w:tcPr>
            <w:tcW w:w="1240" w:type="dxa"/>
            <w:tcBorders>
              <w:top w:val="single" w:sz="8" w:space="0" w:color="auto"/>
              <w:left w:val="nil"/>
              <w:bottom w:val="single" w:sz="8" w:space="0" w:color="auto"/>
              <w:right w:val="single" w:sz="8" w:space="0" w:color="auto"/>
            </w:tcBorders>
            <w:shd w:val="clear" w:color="auto" w:fill="99CCFF"/>
            <w:vAlign w:val="center"/>
            <w:hideMark/>
          </w:tcPr>
          <w:p w14:paraId="43366A6B" w14:textId="77777777" w:rsidR="00EA0FD7" w:rsidRPr="00EA0FD7" w:rsidRDefault="00EA0FD7" w:rsidP="00EA0FD7">
            <w:pPr>
              <w:spacing w:after="0" w:line="240" w:lineRule="auto"/>
              <w:jc w:val="center"/>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Укупно</w:t>
            </w:r>
            <w:r w:rsidRPr="00EA0FD7">
              <w:rPr>
                <w:rFonts w:ascii="Arial" w:eastAsia="Times New Roman" w:hAnsi="Arial" w:cs="Arial"/>
                <w:b/>
                <w:bCs/>
                <w:sz w:val="20"/>
                <w:szCs w:val="20"/>
                <w:lang w:val="sr-Cyrl-RS"/>
              </w:rPr>
              <w:br/>
              <w:t>%</w:t>
            </w:r>
          </w:p>
        </w:tc>
      </w:tr>
      <w:tr w:rsidR="00EA0FD7" w:rsidRPr="00EA0FD7" w14:paraId="072E3B68" w14:textId="77777777" w:rsidTr="00EA0FD7">
        <w:trPr>
          <w:trHeight w:val="255"/>
        </w:trPr>
        <w:tc>
          <w:tcPr>
            <w:tcW w:w="1340" w:type="dxa"/>
            <w:tcBorders>
              <w:top w:val="single" w:sz="4" w:space="0" w:color="auto"/>
              <w:left w:val="single" w:sz="8" w:space="0" w:color="auto"/>
              <w:bottom w:val="single" w:sz="4" w:space="0" w:color="auto"/>
              <w:right w:val="single" w:sz="4" w:space="0" w:color="auto"/>
            </w:tcBorders>
            <w:noWrap/>
            <w:vAlign w:val="bottom"/>
            <w:hideMark/>
          </w:tcPr>
          <w:p w14:paraId="43B5083E" w14:textId="4BD67B4B"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2015</w:t>
            </w:r>
            <w:r w:rsidR="00303EB7">
              <w:rPr>
                <w:rFonts w:ascii="Arial" w:eastAsia="Times New Roman" w:hAnsi="Arial" w:cs="Arial"/>
                <w:sz w:val="20"/>
                <w:szCs w:val="20"/>
                <w:lang w:val="sr-Cyrl-RS"/>
              </w:rPr>
              <w:t>.</w:t>
            </w:r>
          </w:p>
        </w:tc>
        <w:tc>
          <w:tcPr>
            <w:tcW w:w="1240" w:type="dxa"/>
            <w:tcBorders>
              <w:top w:val="single" w:sz="4" w:space="0" w:color="auto"/>
              <w:left w:val="nil"/>
              <w:bottom w:val="single" w:sz="4" w:space="0" w:color="auto"/>
              <w:right w:val="single" w:sz="4" w:space="0" w:color="auto"/>
            </w:tcBorders>
            <w:noWrap/>
            <w:vAlign w:val="bottom"/>
            <w:hideMark/>
          </w:tcPr>
          <w:p w14:paraId="1309FDD4"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13.04</w:t>
            </w:r>
          </w:p>
        </w:tc>
        <w:tc>
          <w:tcPr>
            <w:tcW w:w="1240" w:type="dxa"/>
            <w:tcBorders>
              <w:top w:val="single" w:sz="4" w:space="0" w:color="auto"/>
              <w:left w:val="nil"/>
              <w:bottom w:val="single" w:sz="4" w:space="0" w:color="auto"/>
              <w:right w:val="single" w:sz="4" w:space="0" w:color="auto"/>
            </w:tcBorders>
            <w:noWrap/>
            <w:vAlign w:val="bottom"/>
            <w:hideMark/>
          </w:tcPr>
          <w:p w14:paraId="015B768D"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80.31</w:t>
            </w:r>
          </w:p>
        </w:tc>
        <w:tc>
          <w:tcPr>
            <w:tcW w:w="1240" w:type="dxa"/>
            <w:tcBorders>
              <w:top w:val="single" w:sz="4" w:space="0" w:color="auto"/>
              <w:left w:val="nil"/>
              <w:bottom w:val="single" w:sz="4" w:space="0" w:color="auto"/>
              <w:right w:val="single" w:sz="4" w:space="0" w:color="auto"/>
            </w:tcBorders>
            <w:noWrap/>
            <w:vAlign w:val="bottom"/>
            <w:hideMark/>
          </w:tcPr>
          <w:p w14:paraId="2CDFAC1B"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6.58</w:t>
            </w:r>
          </w:p>
        </w:tc>
        <w:tc>
          <w:tcPr>
            <w:tcW w:w="1240" w:type="dxa"/>
            <w:tcBorders>
              <w:top w:val="single" w:sz="4" w:space="0" w:color="auto"/>
              <w:left w:val="nil"/>
              <w:bottom w:val="single" w:sz="4" w:space="0" w:color="auto"/>
              <w:right w:val="single" w:sz="4" w:space="0" w:color="auto"/>
            </w:tcBorders>
            <w:noWrap/>
            <w:vAlign w:val="bottom"/>
            <w:hideMark/>
          </w:tcPr>
          <w:p w14:paraId="1BDA5A15"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0.07</w:t>
            </w:r>
          </w:p>
        </w:tc>
        <w:tc>
          <w:tcPr>
            <w:tcW w:w="1240" w:type="dxa"/>
            <w:tcBorders>
              <w:top w:val="single" w:sz="4" w:space="0" w:color="auto"/>
              <w:left w:val="nil"/>
              <w:bottom w:val="single" w:sz="4" w:space="0" w:color="auto"/>
              <w:right w:val="single" w:sz="8" w:space="0" w:color="auto"/>
            </w:tcBorders>
            <w:noWrap/>
            <w:vAlign w:val="bottom"/>
            <w:hideMark/>
          </w:tcPr>
          <w:p w14:paraId="22BEA78B"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100.00</w:t>
            </w:r>
          </w:p>
        </w:tc>
      </w:tr>
      <w:tr w:rsidR="00EA0FD7" w:rsidRPr="00EA0FD7" w14:paraId="7F9192DF" w14:textId="77777777" w:rsidTr="00EA0FD7">
        <w:trPr>
          <w:trHeight w:val="255"/>
        </w:trPr>
        <w:tc>
          <w:tcPr>
            <w:tcW w:w="1340" w:type="dxa"/>
            <w:tcBorders>
              <w:top w:val="nil"/>
              <w:left w:val="single" w:sz="8" w:space="0" w:color="auto"/>
              <w:bottom w:val="single" w:sz="4" w:space="0" w:color="auto"/>
              <w:right w:val="single" w:sz="4" w:space="0" w:color="auto"/>
            </w:tcBorders>
            <w:noWrap/>
            <w:vAlign w:val="bottom"/>
            <w:hideMark/>
          </w:tcPr>
          <w:p w14:paraId="13A9AD95" w14:textId="7E44DC1C"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2016</w:t>
            </w:r>
            <w:r w:rsidR="00303EB7">
              <w:rPr>
                <w:rFonts w:ascii="Arial" w:eastAsia="Times New Roman" w:hAnsi="Arial" w:cs="Arial"/>
                <w:sz w:val="20"/>
                <w:szCs w:val="20"/>
                <w:lang w:val="sr-Cyrl-RS"/>
              </w:rPr>
              <w:t>.</w:t>
            </w:r>
          </w:p>
        </w:tc>
        <w:tc>
          <w:tcPr>
            <w:tcW w:w="1240" w:type="dxa"/>
            <w:tcBorders>
              <w:top w:val="nil"/>
              <w:left w:val="nil"/>
              <w:bottom w:val="single" w:sz="4" w:space="0" w:color="auto"/>
              <w:right w:val="single" w:sz="4" w:space="0" w:color="auto"/>
            </w:tcBorders>
            <w:noWrap/>
            <w:vAlign w:val="bottom"/>
            <w:hideMark/>
          </w:tcPr>
          <w:p w14:paraId="6F74F013"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13.30</w:t>
            </w:r>
          </w:p>
        </w:tc>
        <w:tc>
          <w:tcPr>
            <w:tcW w:w="1240" w:type="dxa"/>
            <w:tcBorders>
              <w:top w:val="nil"/>
              <w:left w:val="nil"/>
              <w:bottom w:val="single" w:sz="4" w:space="0" w:color="auto"/>
              <w:right w:val="single" w:sz="4" w:space="0" w:color="auto"/>
            </w:tcBorders>
            <w:noWrap/>
            <w:vAlign w:val="bottom"/>
            <w:hideMark/>
          </w:tcPr>
          <w:p w14:paraId="742B0146"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79.89</w:t>
            </w:r>
          </w:p>
        </w:tc>
        <w:tc>
          <w:tcPr>
            <w:tcW w:w="1240" w:type="dxa"/>
            <w:tcBorders>
              <w:top w:val="nil"/>
              <w:left w:val="nil"/>
              <w:bottom w:val="single" w:sz="4" w:space="0" w:color="auto"/>
              <w:right w:val="single" w:sz="4" w:space="0" w:color="auto"/>
            </w:tcBorders>
            <w:noWrap/>
            <w:vAlign w:val="bottom"/>
            <w:hideMark/>
          </w:tcPr>
          <w:p w14:paraId="30DCC01C"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6.75</w:t>
            </w:r>
          </w:p>
        </w:tc>
        <w:tc>
          <w:tcPr>
            <w:tcW w:w="1240" w:type="dxa"/>
            <w:tcBorders>
              <w:top w:val="nil"/>
              <w:left w:val="nil"/>
              <w:bottom w:val="single" w:sz="4" w:space="0" w:color="auto"/>
              <w:right w:val="single" w:sz="4" w:space="0" w:color="auto"/>
            </w:tcBorders>
            <w:noWrap/>
            <w:vAlign w:val="bottom"/>
            <w:hideMark/>
          </w:tcPr>
          <w:p w14:paraId="1FC2B862"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0.06</w:t>
            </w:r>
          </w:p>
        </w:tc>
        <w:tc>
          <w:tcPr>
            <w:tcW w:w="1240" w:type="dxa"/>
            <w:tcBorders>
              <w:top w:val="nil"/>
              <w:left w:val="nil"/>
              <w:bottom w:val="single" w:sz="4" w:space="0" w:color="auto"/>
              <w:right w:val="single" w:sz="8" w:space="0" w:color="auto"/>
            </w:tcBorders>
            <w:noWrap/>
            <w:vAlign w:val="bottom"/>
            <w:hideMark/>
          </w:tcPr>
          <w:p w14:paraId="0C2842A6"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100.00</w:t>
            </w:r>
          </w:p>
        </w:tc>
      </w:tr>
      <w:tr w:rsidR="00EA0FD7" w:rsidRPr="00EA0FD7" w14:paraId="2F309BCE" w14:textId="77777777" w:rsidTr="00EA0FD7">
        <w:trPr>
          <w:trHeight w:val="255"/>
        </w:trPr>
        <w:tc>
          <w:tcPr>
            <w:tcW w:w="1340" w:type="dxa"/>
            <w:tcBorders>
              <w:top w:val="nil"/>
              <w:left w:val="single" w:sz="8" w:space="0" w:color="auto"/>
              <w:bottom w:val="single" w:sz="4" w:space="0" w:color="auto"/>
              <w:right w:val="single" w:sz="4" w:space="0" w:color="auto"/>
            </w:tcBorders>
            <w:noWrap/>
            <w:vAlign w:val="bottom"/>
            <w:hideMark/>
          </w:tcPr>
          <w:p w14:paraId="0EBC7A8A" w14:textId="32BD25A5"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2017</w:t>
            </w:r>
            <w:r w:rsidR="00303EB7">
              <w:rPr>
                <w:rFonts w:ascii="Arial" w:eastAsia="Times New Roman" w:hAnsi="Arial" w:cs="Arial"/>
                <w:sz w:val="20"/>
                <w:szCs w:val="20"/>
                <w:lang w:val="sr-Cyrl-RS"/>
              </w:rPr>
              <w:t>.</w:t>
            </w:r>
          </w:p>
        </w:tc>
        <w:tc>
          <w:tcPr>
            <w:tcW w:w="1240" w:type="dxa"/>
            <w:tcBorders>
              <w:top w:val="nil"/>
              <w:left w:val="nil"/>
              <w:bottom w:val="single" w:sz="4" w:space="0" w:color="auto"/>
              <w:right w:val="single" w:sz="4" w:space="0" w:color="auto"/>
            </w:tcBorders>
            <w:noWrap/>
            <w:vAlign w:val="bottom"/>
            <w:hideMark/>
          </w:tcPr>
          <w:p w14:paraId="6FB5A79E"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12.42</w:t>
            </w:r>
          </w:p>
        </w:tc>
        <w:tc>
          <w:tcPr>
            <w:tcW w:w="1240" w:type="dxa"/>
            <w:tcBorders>
              <w:top w:val="nil"/>
              <w:left w:val="nil"/>
              <w:bottom w:val="single" w:sz="4" w:space="0" w:color="auto"/>
              <w:right w:val="single" w:sz="4" w:space="0" w:color="auto"/>
            </w:tcBorders>
            <w:noWrap/>
            <w:vAlign w:val="bottom"/>
            <w:hideMark/>
          </w:tcPr>
          <w:p w14:paraId="26EC4E0A"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81.91</w:t>
            </w:r>
          </w:p>
        </w:tc>
        <w:tc>
          <w:tcPr>
            <w:tcW w:w="1240" w:type="dxa"/>
            <w:tcBorders>
              <w:top w:val="nil"/>
              <w:left w:val="nil"/>
              <w:bottom w:val="single" w:sz="4" w:space="0" w:color="auto"/>
              <w:right w:val="single" w:sz="4" w:space="0" w:color="auto"/>
            </w:tcBorders>
            <w:noWrap/>
            <w:vAlign w:val="bottom"/>
            <w:hideMark/>
          </w:tcPr>
          <w:p w14:paraId="527A9000"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5.67</w:t>
            </w:r>
          </w:p>
        </w:tc>
        <w:tc>
          <w:tcPr>
            <w:tcW w:w="1240" w:type="dxa"/>
            <w:tcBorders>
              <w:top w:val="nil"/>
              <w:left w:val="nil"/>
              <w:bottom w:val="single" w:sz="4" w:space="0" w:color="auto"/>
              <w:right w:val="single" w:sz="4" w:space="0" w:color="auto"/>
            </w:tcBorders>
            <w:noWrap/>
            <w:vAlign w:val="bottom"/>
            <w:hideMark/>
          </w:tcPr>
          <w:p w14:paraId="42F33CF2"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0.00</w:t>
            </w:r>
          </w:p>
        </w:tc>
        <w:tc>
          <w:tcPr>
            <w:tcW w:w="1240" w:type="dxa"/>
            <w:tcBorders>
              <w:top w:val="nil"/>
              <w:left w:val="nil"/>
              <w:bottom w:val="single" w:sz="4" w:space="0" w:color="auto"/>
              <w:right w:val="single" w:sz="8" w:space="0" w:color="auto"/>
            </w:tcBorders>
            <w:noWrap/>
            <w:vAlign w:val="bottom"/>
            <w:hideMark/>
          </w:tcPr>
          <w:p w14:paraId="0875EDCE"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100.00</w:t>
            </w:r>
          </w:p>
        </w:tc>
      </w:tr>
      <w:tr w:rsidR="00EA0FD7" w:rsidRPr="00EA0FD7" w14:paraId="1163A67F" w14:textId="77777777" w:rsidTr="00EA0FD7">
        <w:trPr>
          <w:trHeight w:val="255"/>
        </w:trPr>
        <w:tc>
          <w:tcPr>
            <w:tcW w:w="1340" w:type="dxa"/>
            <w:tcBorders>
              <w:top w:val="nil"/>
              <w:left w:val="single" w:sz="8" w:space="0" w:color="auto"/>
              <w:bottom w:val="single" w:sz="4" w:space="0" w:color="auto"/>
              <w:right w:val="single" w:sz="4" w:space="0" w:color="auto"/>
            </w:tcBorders>
            <w:noWrap/>
            <w:vAlign w:val="bottom"/>
            <w:hideMark/>
          </w:tcPr>
          <w:p w14:paraId="76D5E880" w14:textId="1D59EE01"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2018</w:t>
            </w:r>
            <w:r w:rsidR="00303EB7">
              <w:rPr>
                <w:rFonts w:ascii="Arial" w:eastAsia="Times New Roman" w:hAnsi="Arial" w:cs="Arial"/>
                <w:sz w:val="20"/>
                <w:szCs w:val="20"/>
                <w:lang w:val="sr-Cyrl-RS"/>
              </w:rPr>
              <w:t>.</w:t>
            </w:r>
          </w:p>
        </w:tc>
        <w:tc>
          <w:tcPr>
            <w:tcW w:w="1240" w:type="dxa"/>
            <w:tcBorders>
              <w:top w:val="nil"/>
              <w:left w:val="nil"/>
              <w:bottom w:val="single" w:sz="4" w:space="0" w:color="auto"/>
              <w:right w:val="single" w:sz="4" w:space="0" w:color="auto"/>
            </w:tcBorders>
            <w:noWrap/>
            <w:vAlign w:val="bottom"/>
            <w:hideMark/>
          </w:tcPr>
          <w:p w14:paraId="07457F53"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12.81</w:t>
            </w:r>
          </w:p>
        </w:tc>
        <w:tc>
          <w:tcPr>
            <w:tcW w:w="1240" w:type="dxa"/>
            <w:tcBorders>
              <w:top w:val="nil"/>
              <w:left w:val="nil"/>
              <w:bottom w:val="single" w:sz="4" w:space="0" w:color="auto"/>
              <w:right w:val="single" w:sz="4" w:space="0" w:color="auto"/>
            </w:tcBorders>
            <w:noWrap/>
            <w:vAlign w:val="bottom"/>
            <w:hideMark/>
          </w:tcPr>
          <w:p w14:paraId="10323A58"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79.86</w:t>
            </w:r>
          </w:p>
        </w:tc>
        <w:tc>
          <w:tcPr>
            <w:tcW w:w="1240" w:type="dxa"/>
            <w:tcBorders>
              <w:top w:val="nil"/>
              <w:left w:val="nil"/>
              <w:bottom w:val="single" w:sz="4" w:space="0" w:color="auto"/>
              <w:right w:val="single" w:sz="4" w:space="0" w:color="auto"/>
            </w:tcBorders>
            <w:noWrap/>
            <w:vAlign w:val="bottom"/>
            <w:hideMark/>
          </w:tcPr>
          <w:p w14:paraId="71F4F55E"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7.16</w:t>
            </w:r>
          </w:p>
        </w:tc>
        <w:tc>
          <w:tcPr>
            <w:tcW w:w="1240" w:type="dxa"/>
            <w:tcBorders>
              <w:top w:val="nil"/>
              <w:left w:val="nil"/>
              <w:bottom w:val="single" w:sz="4" w:space="0" w:color="auto"/>
              <w:right w:val="single" w:sz="4" w:space="0" w:color="auto"/>
            </w:tcBorders>
            <w:noWrap/>
            <w:vAlign w:val="bottom"/>
            <w:hideMark/>
          </w:tcPr>
          <w:p w14:paraId="5D760837"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0.17</w:t>
            </w:r>
          </w:p>
        </w:tc>
        <w:tc>
          <w:tcPr>
            <w:tcW w:w="1240" w:type="dxa"/>
            <w:tcBorders>
              <w:top w:val="nil"/>
              <w:left w:val="nil"/>
              <w:bottom w:val="single" w:sz="4" w:space="0" w:color="auto"/>
              <w:right w:val="single" w:sz="8" w:space="0" w:color="auto"/>
            </w:tcBorders>
            <w:noWrap/>
            <w:vAlign w:val="bottom"/>
            <w:hideMark/>
          </w:tcPr>
          <w:p w14:paraId="14260392"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100.00</w:t>
            </w:r>
          </w:p>
        </w:tc>
      </w:tr>
      <w:tr w:rsidR="00EA0FD7" w:rsidRPr="00EA0FD7" w14:paraId="49F0B963" w14:textId="77777777" w:rsidTr="00EA0FD7">
        <w:trPr>
          <w:trHeight w:val="255"/>
        </w:trPr>
        <w:tc>
          <w:tcPr>
            <w:tcW w:w="1340" w:type="dxa"/>
            <w:tcBorders>
              <w:top w:val="nil"/>
              <w:left w:val="single" w:sz="8" w:space="0" w:color="auto"/>
              <w:bottom w:val="single" w:sz="4" w:space="0" w:color="auto"/>
              <w:right w:val="single" w:sz="4" w:space="0" w:color="auto"/>
            </w:tcBorders>
            <w:noWrap/>
            <w:vAlign w:val="bottom"/>
            <w:hideMark/>
          </w:tcPr>
          <w:p w14:paraId="36F7214A" w14:textId="1E0C65A5"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2019</w:t>
            </w:r>
            <w:r w:rsidR="00303EB7">
              <w:rPr>
                <w:rFonts w:ascii="Arial" w:eastAsia="Times New Roman" w:hAnsi="Arial" w:cs="Arial"/>
                <w:sz w:val="20"/>
                <w:szCs w:val="20"/>
                <w:lang w:val="sr-Cyrl-RS"/>
              </w:rPr>
              <w:t>.</w:t>
            </w:r>
          </w:p>
        </w:tc>
        <w:tc>
          <w:tcPr>
            <w:tcW w:w="1240" w:type="dxa"/>
            <w:tcBorders>
              <w:top w:val="nil"/>
              <w:left w:val="nil"/>
              <w:bottom w:val="single" w:sz="4" w:space="0" w:color="auto"/>
              <w:right w:val="single" w:sz="4" w:space="0" w:color="auto"/>
            </w:tcBorders>
            <w:noWrap/>
            <w:vAlign w:val="bottom"/>
            <w:hideMark/>
          </w:tcPr>
          <w:p w14:paraId="41C4F4D7"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12.90</w:t>
            </w:r>
          </w:p>
        </w:tc>
        <w:tc>
          <w:tcPr>
            <w:tcW w:w="1240" w:type="dxa"/>
            <w:tcBorders>
              <w:top w:val="nil"/>
              <w:left w:val="nil"/>
              <w:bottom w:val="single" w:sz="4" w:space="0" w:color="auto"/>
              <w:right w:val="single" w:sz="4" w:space="0" w:color="auto"/>
            </w:tcBorders>
            <w:noWrap/>
            <w:vAlign w:val="bottom"/>
            <w:hideMark/>
          </w:tcPr>
          <w:p w14:paraId="3BF1B798"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81.96</w:t>
            </w:r>
          </w:p>
        </w:tc>
        <w:tc>
          <w:tcPr>
            <w:tcW w:w="1240" w:type="dxa"/>
            <w:tcBorders>
              <w:top w:val="nil"/>
              <w:left w:val="nil"/>
              <w:bottom w:val="single" w:sz="4" w:space="0" w:color="auto"/>
              <w:right w:val="single" w:sz="4" w:space="0" w:color="auto"/>
            </w:tcBorders>
            <w:noWrap/>
            <w:vAlign w:val="bottom"/>
            <w:hideMark/>
          </w:tcPr>
          <w:p w14:paraId="431D13BE"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4.86</w:t>
            </w:r>
          </w:p>
        </w:tc>
        <w:tc>
          <w:tcPr>
            <w:tcW w:w="1240" w:type="dxa"/>
            <w:tcBorders>
              <w:top w:val="nil"/>
              <w:left w:val="nil"/>
              <w:bottom w:val="single" w:sz="4" w:space="0" w:color="auto"/>
              <w:right w:val="single" w:sz="4" w:space="0" w:color="auto"/>
            </w:tcBorders>
            <w:noWrap/>
            <w:vAlign w:val="bottom"/>
            <w:hideMark/>
          </w:tcPr>
          <w:p w14:paraId="4D8B2B7A"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0.28</w:t>
            </w:r>
          </w:p>
        </w:tc>
        <w:tc>
          <w:tcPr>
            <w:tcW w:w="1240" w:type="dxa"/>
            <w:tcBorders>
              <w:top w:val="nil"/>
              <w:left w:val="nil"/>
              <w:bottom w:val="single" w:sz="4" w:space="0" w:color="auto"/>
              <w:right w:val="single" w:sz="8" w:space="0" w:color="auto"/>
            </w:tcBorders>
            <w:noWrap/>
            <w:vAlign w:val="bottom"/>
            <w:hideMark/>
          </w:tcPr>
          <w:p w14:paraId="6F0FBDC9"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100.00</w:t>
            </w:r>
          </w:p>
        </w:tc>
      </w:tr>
      <w:tr w:rsidR="00EA0FD7" w:rsidRPr="00EA0FD7" w14:paraId="3F7C063E" w14:textId="77777777" w:rsidTr="00EA0FD7">
        <w:trPr>
          <w:trHeight w:val="255"/>
        </w:trPr>
        <w:tc>
          <w:tcPr>
            <w:tcW w:w="1340" w:type="dxa"/>
            <w:tcBorders>
              <w:top w:val="nil"/>
              <w:left w:val="single" w:sz="8" w:space="0" w:color="auto"/>
              <w:bottom w:val="single" w:sz="4" w:space="0" w:color="auto"/>
              <w:right w:val="single" w:sz="4" w:space="0" w:color="auto"/>
            </w:tcBorders>
            <w:noWrap/>
            <w:vAlign w:val="bottom"/>
            <w:hideMark/>
          </w:tcPr>
          <w:p w14:paraId="3304DE10" w14:textId="5CA43724"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2020</w:t>
            </w:r>
            <w:r w:rsidR="00303EB7">
              <w:rPr>
                <w:rFonts w:ascii="Arial" w:eastAsia="Times New Roman" w:hAnsi="Arial" w:cs="Arial"/>
                <w:sz w:val="20"/>
                <w:szCs w:val="20"/>
                <w:lang w:val="sr-Cyrl-RS"/>
              </w:rPr>
              <w:t>.</w:t>
            </w:r>
          </w:p>
        </w:tc>
        <w:tc>
          <w:tcPr>
            <w:tcW w:w="1240" w:type="dxa"/>
            <w:tcBorders>
              <w:top w:val="nil"/>
              <w:left w:val="nil"/>
              <w:bottom w:val="single" w:sz="4" w:space="0" w:color="auto"/>
              <w:right w:val="single" w:sz="4" w:space="0" w:color="auto"/>
            </w:tcBorders>
            <w:noWrap/>
            <w:vAlign w:val="bottom"/>
            <w:hideMark/>
          </w:tcPr>
          <w:p w14:paraId="5CC7D025"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13.23</w:t>
            </w:r>
          </w:p>
        </w:tc>
        <w:tc>
          <w:tcPr>
            <w:tcW w:w="1240" w:type="dxa"/>
            <w:tcBorders>
              <w:top w:val="nil"/>
              <w:left w:val="nil"/>
              <w:bottom w:val="single" w:sz="4" w:space="0" w:color="auto"/>
              <w:right w:val="single" w:sz="4" w:space="0" w:color="auto"/>
            </w:tcBorders>
            <w:noWrap/>
            <w:vAlign w:val="bottom"/>
            <w:hideMark/>
          </w:tcPr>
          <w:p w14:paraId="78890E74"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80.72</w:t>
            </w:r>
          </w:p>
        </w:tc>
        <w:tc>
          <w:tcPr>
            <w:tcW w:w="1240" w:type="dxa"/>
            <w:tcBorders>
              <w:top w:val="nil"/>
              <w:left w:val="nil"/>
              <w:bottom w:val="single" w:sz="4" w:space="0" w:color="auto"/>
              <w:right w:val="single" w:sz="4" w:space="0" w:color="auto"/>
            </w:tcBorders>
            <w:noWrap/>
            <w:vAlign w:val="bottom"/>
            <w:hideMark/>
          </w:tcPr>
          <w:p w14:paraId="3CFC7160"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6.05</w:t>
            </w:r>
          </w:p>
        </w:tc>
        <w:tc>
          <w:tcPr>
            <w:tcW w:w="1240" w:type="dxa"/>
            <w:tcBorders>
              <w:top w:val="nil"/>
              <w:left w:val="nil"/>
              <w:bottom w:val="single" w:sz="4" w:space="0" w:color="auto"/>
              <w:right w:val="single" w:sz="4" w:space="0" w:color="auto"/>
            </w:tcBorders>
            <w:noWrap/>
            <w:vAlign w:val="bottom"/>
            <w:hideMark/>
          </w:tcPr>
          <w:p w14:paraId="3B9645D1"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0.00</w:t>
            </w:r>
          </w:p>
        </w:tc>
        <w:tc>
          <w:tcPr>
            <w:tcW w:w="1240" w:type="dxa"/>
            <w:tcBorders>
              <w:top w:val="nil"/>
              <w:left w:val="nil"/>
              <w:bottom w:val="single" w:sz="4" w:space="0" w:color="auto"/>
              <w:right w:val="single" w:sz="8" w:space="0" w:color="auto"/>
            </w:tcBorders>
            <w:noWrap/>
            <w:vAlign w:val="bottom"/>
            <w:hideMark/>
          </w:tcPr>
          <w:p w14:paraId="0F0149E1"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100.00</w:t>
            </w:r>
          </w:p>
        </w:tc>
      </w:tr>
      <w:tr w:rsidR="00EA0FD7" w:rsidRPr="00EA0FD7" w14:paraId="6CBC724F" w14:textId="77777777" w:rsidTr="00EA0FD7">
        <w:trPr>
          <w:trHeight w:val="255"/>
        </w:trPr>
        <w:tc>
          <w:tcPr>
            <w:tcW w:w="1340" w:type="dxa"/>
            <w:tcBorders>
              <w:top w:val="nil"/>
              <w:left w:val="single" w:sz="8" w:space="0" w:color="auto"/>
              <w:bottom w:val="single" w:sz="4" w:space="0" w:color="auto"/>
              <w:right w:val="single" w:sz="4" w:space="0" w:color="auto"/>
            </w:tcBorders>
            <w:noWrap/>
            <w:vAlign w:val="bottom"/>
            <w:hideMark/>
          </w:tcPr>
          <w:p w14:paraId="140859A2" w14:textId="22E455DE"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2021</w:t>
            </w:r>
            <w:r w:rsidR="00303EB7">
              <w:rPr>
                <w:rFonts w:ascii="Arial" w:eastAsia="Times New Roman" w:hAnsi="Arial" w:cs="Arial"/>
                <w:sz w:val="20"/>
                <w:szCs w:val="20"/>
                <w:lang w:val="sr-Cyrl-RS"/>
              </w:rPr>
              <w:t>.</w:t>
            </w:r>
          </w:p>
        </w:tc>
        <w:tc>
          <w:tcPr>
            <w:tcW w:w="1240" w:type="dxa"/>
            <w:tcBorders>
              <w:top w:val="nil"/>
              <w:left w:val="nil"/>
              <w:bottom w:val="single" w:sz="4" w:space="0" w:color="auto"/>
              <w:right w:val="single" w:sz="4" w:space="0" w:color="auto"/>
            </w:tcBorders>
            <w:noWrap/>
            <w:vAlign w:val="bottom"/>
            <w:hideMark/>
          </w:tcPr>
          <w:p w14:paraId="1F635EEA"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11.56</w:t>
            </w:r>
          </w:p>
        </w:tc>
        <w:tc>
          <w:tcPr>
            <w:tcW w:w="1240" w:type="dxa"/>
            <w:tcBorders>
              <w:top w:val="nil"/>
              <w:left w:val="nil"/>
              <w:bottom w:val="single" w:sz="4" w:space="0" w:color="auto"/>
              <w:right w:val="single" w:sz="4" w:space="0" w:color="auto"/>
            </w:tcBorders>
            <w:noWrap/>
            <w:vAlign w:val="bottom"/>
            <w:hideMark/>
          </w:tcPr>
          <w:p w14:paraId="423D004A"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83.24</w:t>
            </w:r>
          </w:p>
        </w:tc>
        <w:tc>
          <w:tcPr>
            <w:tcW w:w="1240" w:type="dxa"/>
            <w:tcBorders>
              <w:top w:val="nil"/>
              <w:left w:val="nil"/>
              <w:bottom w:val="single" w:sz="4" w:space="0" w:color="auto"/>
              <w:right w:val="single" w:sz="4" w:space="0" w:color="auto"/>
            </w:tcBorders>
            <w:noWrap/>
            <w:vAlign w:val="bottom"/>
            <w:hideMark/>
          </w:tcPr>
          <w:p w14:paraId="3940E316"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4.96</w:t>
            </w:r>
          </w:p>
        </w:tc>
        <w:tc>
          <w:tcPr>
            <w:tcW w:w="1240" w:type="dxa"/>
            <w:tcBorders>
              <w:top w:val="nil"/>
              <w:left w:val="nil"/>
              <w:bottom w:val="single" w:sz="4" w:space="0" w:color="auto"/>
              <w:right w:val="single" w:sz="4" w:space="0" w:color="auto"/>
            </w:tcBorders>
            <w:noWrap/>
            <w:vAlign w:val="bottom"/>
            <w:hideMark/>
          </w:tcPr>
          <w:p w14:paraId="0954926B"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0.24</w:t>
            </w:r>
          </w:p>
        </w:tc>
        <w:tc>
          <w:tcPr>
            <w:tcW w:w="1240" w:type="dxa"/>
            <w:tcBorders>
              <w:top w:val="nil"/>
              <w:left w:val="nil"/>
              <w:bottom w:val="single" w:sz="4" w:space="0" w:color="auto"/>
              <w:right w:val="single" w:sz="8" w:space="0" w:color="auto"/>
            </w:tcBorders>
            <w:noWrap/>
            <w:vAlign w:val="bottom"/>
            <w:hideMark/>
          </w:tcPr>
          <w:p w14:paraId="0C81DB08"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100.00</w:t>
            </w:r>
          </w:p>
        </w:tc>
      </w:tr>
      <w:tr w:rsidR="00EA0FD7" w:rsidRPr="00EA0FD7" w14:paraId="16F515CE" w14:textId="77777777" w:rsidTr="00EA0FD7">
        <w:trPr>
          <w:trHeight w:val="255"/>
        </w:trPr>
        <w:tc>
          <w:tcPr>
            <w:tcW w:w="1340" w:type="dxa"/>
            <w:tcBorders>
              <w:top w:val="nil"/>
              <w:left w:val="single" w:sz="8" w:space="0" w:color="auto"/>
              <w:bottom w:val="single" w:sz="4" w:space="0" w:color="auto"/>
              <w:right w:val="single" w:sz="4" w:space="0" w:color="auto"/>
            </w:tcBorders>
            <w:noWrap/>
            <w:vAlign w:val="bottom"/>
            <w:hideMark/>
          </w:tcPr>
          <w:p w14:paraId="147A2794" w14:textId="2CBEEDCE"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2022</w:t>
            </w:r>
            <w:r w:rsidR="00303EB7">
              <w:rPr>
                <w:rFonts w:ascii="Arial" w:eastAsia="Times New Roman" w:hAnsi="Arial" w:cs="Arial"/>
                <w:sz w:val="20"/>
                <w:szCs w:val="20"/>
                <w:lang w:val="sr-Cyrl-RS"/>
              </w:rPr>
              <w:t>.</w:t>
            </w:r>
          </w:p>
        </w:tc>
        <w:tc>
          <w:tcPr>
            <w:tcW w:w="1240" w:type="dxa"/>
            <w:tcBorders>
              <w:top w:val="nil"/>
              <w:left w:val="nil"/>
              <w:bottom w:val="single" w:sz="4" w:space="0" w:color="auto"/>
              <w:right w:val="single" w:sz="4" w:space="0" w:color="auto"/>
            </w:tcBorders>
            <w:noWrap/>
            <w:vAlign w:val="bottom"/>
            <w:hideMark/>
          </w:tcPr>
          <w:p w14:paraId="2D4D1B61"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14.18</w:t>
            </w:r>
          </w:p>
        </w:tc>
        <w:tc>
          <w:tcPr>
            <w:tcW w:w="1240" w:type="dxa"/>
            <w:tcBorders>
              <w:top w:val="nil"/>
              <w:left w:val="nil"/>
              <w:bottom w:val="single" w:sz="4" w:space="0" w:color="auto"/>
              <w:right w:val="single" w:sz="4" w:space="0" w:color="auto"/>
            </w:tcBorders>
            <w:noWrap/>
            <w:vAlign w:val="bottom"/>
            <w:hideMark/>
          </w:tcPr>
          <w:p w14:paraId="02201E13"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80.30</w:t>
            </w:r>
          </w:p>
        </w:tc>
        <w:tc>
          <w:tcPr>
            <w:tcW w:w="1240" w:type="dxa"/>
            <w:tcBorders>
              <w:top w:val="nil"/>
              <w:left w:val="nil"/>
              <w:bottom w:val="single" w:sz="4" w:space="0" w:color="auto"/>
              <w:right w:val="single" w:sz="4" w:space="0" w:color="auto"/>
            </w:tcBorders>
            <w:noWrap/>
            <w:vAlign w:val="bottom"/>
            <w:hideMark/>
          </w:tcPr>
          <w:p w14:paraId="252E7D78"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5.46</w:t>
            </w:r>
          </w:p>
        </w:tc>
        <w:tc>
          <w:tcPr>
            <w:tcW w:w="1240" w:type="dxa"/>
            <w:tcBorders>
              <w:top w:val="nil"/>
              <w:left w:val="nil"/>
              <w:bottom w:val="single" w:sz="4" w:space="0" w:color="auto"/>
              <w:right w:val="single" w:sz="4" w:space="0" w:color="auto"/>
            </w:tcBorders>
            <w:noWrap/>
            <w:vAlign w:val="bottom"/>
            <w:hideMark/>
          </w:tcPr>
          <w:p w14:paraId="039031C7"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0.06</w:t>
            </w:r>
          </w:p>
        </w:tc>
        <w:tc>
          <w:tcPr>
            <w:tcW w:w="1240" w:type="dxa"/>
            <w:tcBorders>
              <w:top w:val="nil"/>
              <w:left w:val="nil"/>
              <w:bottom w:val="single" w:sz="4" w:space="0" w:color="auto"/>
              <w:right w:val="single" w:sz="8" w:space="0" w:color="auto"/>
            </w:tcBorders>
            <w:noWrap/>
            <w:vAlign w:val="bottom"/>
            <w:hideMark/>
          </w:tcPr>
          <w:p w14:paraId="4DD246DB"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100.00</w:t>
            </w:r>
          </w:p>
        </w:tc>
      </w:tr>
      <w:tr w:rsidR="00EA0FD7" w:rsidRPr="00EA0FD7" w14:paraId="54F15077" w14:textId="77777777" w:rsidTr="00EA0FD7">
        <w:trPr>
          <w:trHeight w:val="255"/>
        </w:trPr>
        <w:tc>
          <w:tcPr>
            <w:tcW w:w="1340" w:type="dxa"/>
            <w:tcBorders>
              <w:top w:val="nil"/>
              <w:left w:val="single" w:sz="8" w:space="0" w:color="auto"/>
              <w:bottom w:val="single" w:sz="4" w:space="0" w:color="auto"/>
              <w:right w:val="single" w:sz="4" w:space="0" w:color="auto"/>
            </w:tcBorders>
            <w:noWrap/>
            <w:vAlign w:val="bottom"/>
            <w:hideMark/>
          </w:tcPr>
          <w:p w14:paraId="535235EF" w14:textId="33B5CE9B"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2023</w:t>
            </w:r>
            <w:r w:rsidR="00303EB7">
              <w:rPr>
                <w:rFonts w:ascii="Arial" w:eastAsia="Times New Roman" w:hAnsi="Arial" w:cs="Arial"/>
                <w:sz w:val="20"/>
                <w:szCs w:val="20"/>
                <w:lang w:val="sr-Cyrl-RS"/>
              </w:rPr>
              <w:t>.</w:t>
            </w:r>
          </w:p>
        </w:tc>
        <w:tc>
          <w:tcPr>
            <w:tcW w:w="1240" w:type="dxa"/>
            <w:tcBorders>
              <w:top w:val="nil"/>
              <w:left w:val="nil"/>
              <w:bottom w:val="single" w:sz="4" w:space="0" w:color="auto"/>
              <w:right w:val="single" w:sz="4" w:space="0" w:color="auto"/>
            </w:tcBorders>
            <w:noWrap/>
            <w:vAlign w:val="bottom"/>
            <w:hideMark/>
          </w:tcPr>
          <w:p w14:paraId="13EBF136"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12.20</w:t>
            </w:r>
          </w:p>
        </w:tc>
        <w:tc>
          <w:tcPr>
            <w:tcW w:w="1240" w:type="dxa"/>
            <w:tcBorders>
              <w:top w:val="nil"/>
              <w:left w:val="nil"/>
              <w:bottom w:val="single" w:sz="4" w:space="0" w:color="auto"/>
              <w:right w:val="single" w:sz="4" w:space="0" w:color="auto"/>
            </w:tcBorders>
            <w:noWrap/>
            <w:vAlign w:val="bottom"/>
            <w:hideMark/>
          </w:tcPr>
          <w:p w14:paraId="5D9160DC"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83.77</w:t>
            </w:r>
          </w:p>
        </w:tc>
        <w:tc>
          <w:tcPr>
            <w:tcW w:w="1240" w:type="dxa"/>
            <w:tcBorders>
              <w:top w:val="nil"/>
              <w:left w:val="nil"/>
              <w:bottom w:val="single" w:sz="4" w:space="0" w:color="auto"/>
              <w:right w:val="single" w:sz="4" w:space="0" w:color="auto"/>
            </w:tcBorders>
            <w:noWrap/>
            <w:vAlign w:val="bottom"/>
            <w:hideMark/>
          </w:tcPr>
          <w:p w14:paraId="2D3DB343"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4.03</w:t>
            </w:r>
          </w:p>
        </w:tc>
        <w:tc>
          <w:tcPr>
            <w:tcW w:w="1240" w:type="dxa"/>
            <w:tcBorders>
              <w:top w:val="nil"/>
              <w:left w:val="nil"/>
              <w:bottom w:val="single" w:sz="4" w:space="0" w:color="auto"/>
              <w:right w:val="single" w:sz="4" w:space="0" w:color="auto"/>
            </w:tcBorders>
            <w:noWrap/>
            <w:vAlign w:val="bottom"/>
            <w:hideMark/>
          </w:tcPr>
          <w:p w14:paraId="3312D4ED"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0.00</w:t>
            </w:r>
          </w:p>
        </w:tc>
        <w:tc>
          <w:tcPr>
            <w:tcW w:w="1240" w:type="dxa"/>
            <w:tcBorders>
              <w:top w:val="nil"/>
              <w:left w:val="nil"/>
              <w:bottom w:val="single" w:sz="4" w:space="0" w:color="auto"/>
              <w:right w:val="single" w:sz="8" w:space="0" w:color="auto"/>
            </w:tcBorders>
            <w:noWrap/>
            <w:vAlign w:val="bottom"/>
            <w:hideMark/>
          </w:tcPr>
          <w:p w14:paraId="747F5BCA"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100.00</w:t>
            </w:r>
          </w:p>
        </w:tc>
      </w:tr>
      <w:tr w:rsidR="00EA0FD7" w:rsidRPr="00EA0FD7" w14:paraId="7B7840F0" w14:textId="77777777" w:rsidTr="00EA0FD7">
        <w:trPr>
          <w:trHeight w:val="255"/>
        </w:trPr>
        <w:tc>
          <w:tcPr>
            <w:tcW w:w="1340" w:type="dxa"/>
            <w:tcBorders>
              <w:top w:val="nil"/>
              <w:left w:val="single" w:sz="8" w:space="0" w:color="auto"/>
              <w:bottom w:val="single" w:sz="4" w:space="0" w:color="auto"/>
              <w:right w:val="single" w:sz="4" w:space="0" w:color="auto"/>
            </w:tcBorders>
            <w:noWrap/>
            <w:vAlign w:val="bottom"/>
            <w:hideMark/>
          </w:tcPr>
          <w:p w14:paraId="48A8B747" w14:textId="60C3D0D2"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2024</w:t>
            </w:r>
            <w:r w:rsidR="00303EB7">
              <w:rPr>
                <w:rFonts w:ascii="Arial" w:eastAsia="Times New Roman" w:hAnsi="Arial" w:cs="Arial"/>
                <w:sz w:val="20"/>
                <w:szCs w:val="20"/>
                <w:lang w:val="sr-Cyrl-RS"/>
              </w:rPr>
              <w:t>.</w:t>
            </w:r>
          </w:p>
        </w:tc>
        <w:tc>
          <w:tcPr>
            <w:tcW w:w="1240" w:type="dxa"/>
            <w:tcBorders>
              <w:top w:val="nil"/>
              <w:left w:val="nil"/>
              <w:bottom w:val="single" w:sz="4" w:space="0" w:color="auto"/>
              <w:right w:val="single" w:sz="4" w:space="0" w:color="auto"/>
            </w:tcBorders>
            <w:noWrap/>
            <w:vAlign w:val="bottom"/>
            <w:hideMark/>
          </w:tcPr>
          <w:p w14:paraId="0B8BF4AA"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11.86</w:t>
            </w:r>
          </w:p>
        </w:tc>
        <w:tc>
          <w:tcPr>
            <w:tcW w:w="1240" w:type="dxa"/>
            <w:tcBorders>
              <w:top w:val="nil"/>
              <w:left w:val="nil"/>
              <w:bottom w:val="single" w:sz="4" w:space="0" w:color="auto"/>
              <w:right w:val="single" w:sz="4" w:space="0" w:color="auto"/>
            </w:tcBorders>
            <w:noWrap/>
            <w:vAlign w:val="bottom"/>
            <w:hideMark/>
          </w:tcPr>
          <w:p w14:paraId="1335D761"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84.15</w:t>
            </w:r>
          </w:p>
        </w:tc>
        <w:tc>
          <w:tcPr>
            <w:tcW w:w="1240" w:type="dxa"/>
            <w:tcBorders>
              <w:top w:val="nil"/>
              <w:left w:val="nil"/>
              <w:bottom w:val="single" w:sz="4" w:space="0" w:color="auto"/>
              <w:right w:val="single" w:sz="4" w:space="0" w:color="auto"/>
            </w:tcBorders>
            <w:noWrap/>
            <w:vAlign w:val="bottom"/>
            <w:hideMark/>
          </w:tcPr>
          <w:p w14:paraId="139471DE"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3.99</w:t>
            </w:r>
          </w:p>
        </w:tc>
        <w:tc>
          <w:tcPr>
            <w:tcW w:w="1240" w:type="dxa"/>
            <w:tcBorders>
              <w:top w:val="nil"/>
              <w:left w:val="nil"/>
              <w:bottom w:val="single" w:sz="4" w:space="0" w:color="auto"/>
              <w:right w:val="single" w:sz="4" w:space="0" w:color="auto"/>
            </w:tcBorders>
            <w:noWrap/>
            <w:vAlign w:val="bottom"/>
            <w:hideMark/>
          </w:tcPr>
          <w:p w14:paraId="40E10C05"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0.00</w:t>
            </w:r>
          </w:p>
        </w:tc>
        <w:tc>
          <w:tcPr>
            <w:tcW w:w="1240" w:type="dxa"/>
            <w:tcBorders>
              <w:top w:val="nil"/>
              <w:left w:val="nil"/>
              <w:bottom w:val="single" w:sz="4" w:space="0" w:color="auto"/>
              <w:right w:val="single" w:sz="8" w:space="0" w:color="auto"/>
            </w:tcBorders>
            <w:noWrap/>
            <w:vAlign w:val="bottom"/>
            <w:hideMark/>
          </w:tcPr>
          <w:p w14:paraId="1496E267"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100.00</w:t>
            </w:r>
          </w:p>
        </w:tc>
      </w:tr>
      <w:tr w:rsidR="00EA0FD7" w:rsidRPr="00EA0FD7" w14:paraId="0A66510B" w14:textId="77777777" w:rsidTr="00EA0FD7">
        <w:trPr>
          <w:trHeight w:val="270"/>
        </w:trPr>
        <w:tc>
          <w:tcPr>
            <w:tcW w:w="1340" w:type="dxa"/>
            <w:tcBorders>
              <w:top w:val="nil"/>
              <w:left w:val="single" w:sz="8" w:space="0" w:color="auto"/>
              <w:bottom w:val="single" w:sz="8" w:space="0" w:color="auto"/>
              <w:right w:val="single" w:sz="4" w:space="0" w:color="auto"/>
            </w:tcBorders>
            <w:noWrap/>
            <w:vAlign w:val="bottom"/>
            <w:hideMark/>
          </w:tcPr>
          <w:p w14:paraId="4F6027E1" w14:textId="532EF130"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2025</w:t>
            </w:r>
            <w:r w:rsidR="00303EB7">
              <w:rPr>
                <w:rFonts w:ascii="Arial" w:eastAsia="Times New Roman" w:hAnsi="Arial" w:cs="Arial"/>
                <w:sz w:val="20"/>
                <w:szCs w:val="20"/>
                <w:lang w:val="sr-Cyrl-RS"/>
              </w:rPr>
              <w:t>.</w:t>
            </w:r>
          </w:p>
        </w:tc>
        <w:tc>
          <w:tcPr>
            <w:tcW w:w="1240" w:type="dxa"/>
            <w:tcBorders>
              <w:top w:val="nil"/>
              <w:left w:val="nil"/>
              <w:bottom w:val="single" w:sz="8" w:space="0" w:color="auto"/>
              <w:right w:val="single" w:sz="4" w:space="0" w:color="auto"/>
            </w:tcBorders>
            <w:noWrap/>
            <w:vAlign w:val="bottom"/>
            <w:hideMark/>
          </w:tcPr>
          <w:p w14:paraId="36E6C3C5"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11.52</w:t>
            </w:r>
          </w:p>
        </w:tc>
        <w:tc>
          <w:tcPr>
            <w:tcW w:w="1240" w:type="dxa"/>
            <w:tcBorders>
              <w:top w:val="nil"/>
              <w:left w:val="nil"/>
              <w:bottom w:val="single" w:sz="8" w:space="0" w:color="auto"/>
              <w:right w:val="single" w:sz="4" w:space="0" w:color="auto"/>
            </w:tcBorders>
            <w:noWrap/>
            <w:vAlign w:val="bottom"/>
            <w:hideMark/>
          </w:tcPr>
          <w:p w14:paraId="4DF13F06"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84.53</w:t>
            </w:r>
          </w:p>
        </w:tc>
        <w:tc>
          <w:tcPr>
            <w:tcW w:w="1240" w:type="dxa"/>
            <w:tcBorders>
              <w:top w:val="nil"/>
              <w:left w:val="nil"/>
              <w:bottom w:val="single" w:sz="8" w:space="0" w:color="auto"/>
              <w:right w:val="single" w:sz="4" w:space="0" w:color="auto"/>
            </w:tcBorders>
            <w:noWrap/>
            <w:vAlign w:val="bottom"/>
            <w:hideMark/>
          </w:tcPr>
          <w:p w14:paraId="3B0B9695"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3.95</w:t>
            </w:r>
          </w:p>
        </w:tc>
        <w:tc>
          <w:tcPr>
            <w:tcW w:w="1240" w:type="dxa"/>
            <w:tcBorders>
              <w:top w:val="nil"/>
              <w:left w:val="nil"/>
              <w:bottom w:val="single" w:sz="8" w:space="0" w:color="auto"/>
              <w:right w:val="single" w:sz="4" w:space="0" w:color="auto"/>
            </w:tcBorders>
            <w:noWrap/>
            <w:vAlign w:val="bottom"/>
            <w:hideMark/>
          </w:tcPr>
          <w:p w14:paraId="469C9DF5"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0.00</w:t>
            </w:r>
          </w:p>
        </w:tc>
        <w:tc>
          <w:tcPr>
            <w:tcW w:w="1240" w:type="dxa"/>
            <w:tcBorders>
              <w:top w:val="nil"/>
              <w:left w:val="nil"/>
              <w:bottom w:val="single" w:sz="8" w:space="0" w:color="auto"/>
              <w:right w:val="single" w:sz="8" w:space="0" w:color="auto"/>
            </w:tcBorders>
            <w:noWrap/>
            <w:vAlign w:val="bottom"/>
            <w:hideMark/>
          </w:tcPr>
          <w:p w14:paraId="016492F4" w14:textId="77777777" w:rsidR="00EA0FD7" w:rsidRPr="00EA0FD7" w:rsidRDefault="00EA0FD7" w:rsidP="00EA0FD7">
            <w:pPr>
              <w:spacing w:after="0" w:line="240" w:lineRule="auto"/>
              <w:jc w:val="center"/>
              <w:rPr>
                <w:rFonts w:ascii="Arial" w:eastAsia="Times New Roman" w:hAnsi="Arial" w:cs="Arial"/>
                <w:sz w:val="20"/>
                <w:szCs w:val="20"/>
                <w:lang w:val="sr-Cyrl-RS"/>
              </w:rPr>
            </w:pPr>
            <w:r w:rsidRPr="00EA0FD7">
              <w:rPr>
                <w:rFonts w:ascii="Arial" w:eastAsia="Times New Roman" w:hAnsi="Arial" w:cs="Arial"/>
                <w:sz w:val="20"/>
                <w:szCs w:val="20"/>
                <w:lang w:val="sr-Cyrl-RS"/>
              </w:rPr>
              <w:t>100.00</w:t>
            </w:r>
          </w:p>
        </w:tc>
      </w:tr>
    </w:tbl>
    <w:p w14:paraId="123FC188"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p w14:paraId="32F035AB"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p w14:paraId="4447A63E"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p w14:paraId="0BC174CD"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p w14:paraId="17AA9738"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p w14:paraId="06780269"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p w14:paraId="45011910"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p w14:paraId="562B4703"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p w14:paraId="555033E0"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p w14:paraId="00E306E6"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p w14:paraId="208C55F6"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p w14:paraId="42CA7EE2"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p w14:paraId="6D727223"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p w14:paraId="5A919C8D"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p w14:paraId="1F2FC689" w14:textId="77777777" w:rsidR="00EA0FD7" w:rsidRPr="00EA0FD7" w:rsidRDefault="00EA0FD7" w:rsidP="00EA0FD7">
      <w:pPr>
        <w:spacing w:after="0" w:line="240" w:lineRule="auto"/>
        <w:jc w:val="center"/>
        <w:rPr>
          <w:rFonts w:ascii="Times New Roman" w:eastAsia="Times New Roman" w:hAnsi="Times New Roman" w:cs="Times New Roman"/>
          <w:b/>
          <w:bCs/>
          <w:lang w:val="sr-Cyrl-RS" w:eastAsia="hr-HR"/>
        </w:rPr>
      </w:pPr>
    </w:p>
    <w:p w14:paraId="06E02C2C"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10B4283"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Cs/>
          <w:sz w:val="24"/>
          <w:szCs w:val="24"/>
          <w:lang w:val="sr-Cyrl-RS" w:eastAsia="hr-HR"/>
        </w:rPr>
        <w:t>Јасно је видљив континуирани пораст учешћа индиректних пореза у укупним приходима Брчко дистрикта БиХ, као ризик планирања и остваривања планираних прихода у корист Дистрикта.</w:t>
      </w:r>
    </w:p>
    <w:p w14:paraId="08039414"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C5479BE"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1FCF2386" w14:textId="77777777" w:rsidR="00EA0FD7" w:rsidRPr="00EA0FD7" w:rsidRDefault="00EA0FD7" w:rsidP="00EA0FD7">
      <w:pPr>
        <w:spacing w:after="0" w:line="240" w:lineRule="auto"/>
        <w:jc w:val="both"/>
        <w:rPr>
          <w:rFonts w:ascii="Times New Roman" w:eastAsia="Times New Roman" w:hAnsi="Times New Roman" w:cs="Times New Roman"/>
          <w:b/>
          <w:bCs/>
          <w:sz w:val="28"/>
          <w:szCs w:val="28"/>
          <w:lang w:val="sr-Cyrl-RS" w:eastAsia="hr-HR"/>
        </w:rPr>
      </w:pPr>
      <w:r w:rsidRPr="00EA0FD7">
        <w:rPr>
          <w:rFonts w:ascii="Times New Roman" w:eastAsia="Times New Roman" w:hAnsi="Times New Roman" w:cs="Times New Roman"/>
          <w:b/>
          <w:bCs/>
          <w:sz w:val="28"/>
          <w:szCs w:val="28"/>
          <w:lang w:val="sr-Cyrl-RS" w:eastAsia="hr-HR"/>
        </w:rPr>
        <w:t>ФИНАНСИРАЊЕ</w:t>
      </w:r>
    </w:p>
    <w:p w14:paraId="689299AE" w14:textId="77777777" w:rsidR="00EA0FD7" w:rsidRPr="00EA0FD7" w:rsidRDefault="00EA0FD7" w:rsidP="00EA0FD7">
      <w:pPr>
        <w:spacing w:after="0" w:line="240" w:lineRule="auto"/>
        <w:jc w:val="both"/>
        <w:rPr>
          <w:rFonts w:ascii="Times New Roman" w:eastAsia="Times New Roman" w:hAnsi="Times New Roman" w:cs="Times New Roman"/>
          <w:b/>
          <w:bCs/>
          <w:sz w:val="28"/>
          <w:szCs w:val="28"/>
          <w:lang w:val="sr-Cyrl-RS" w:eastAsia="hr-HR"/>
        </w:rPr>
      </w:pPr>
    </w:p>
    <w:p w14:paraId="5B1E856C" w14:textId="7304E258"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Cs/>
          <w:sz w:val="24"/>
          <w:szCs w:val="24"/>
          <w:lang w:val="sr-Cyrl-RS" w:eastAsia="hr-HR"/>
        </w:rPr>
        <w:t>У Документу оквирног буџета</w:t>
      </w:r>
      <w:r w:rsidRPr="00EA0FD7">
        <w:rPr>
          <w:rFonts w:ascii="Times New Roman" w:eastAsia="Times New Roman" w:hAnsi="Times New Roman" w:cs="Times New Roman"/>
          <w:sz w:val="24"/>
          <w:szCs w:val="24"/>
          <w:lang w:val="sr-Cyrl-RS" w:eastAsia="hr-HR"/>
        </w:rPr>
        <w:t xml:space="preserve"> Брчко дистрикта БиХ 2023</w:t>
      </w:r>
      <w:r w:rsidR="00303EB7">
        <w:rPr>
          <w:rFonts w:ascii="Times New Roman" w:eastAsia="Times New Roman" w:hAnsi="Times New Roman" w:cs="Times New Roman"/>
          <w:sz w:val="24"/>
          <w:szCs w:val="24"/>
          <w:lang w:val="sr-Cyrl-RS" w:eastAsia="hr-HR"/>
        </w:rPr>
        <w:t>–</w:t>
      </w:r>
      <w:r w:rsidRPr="00EA0FD7">
        <w:rPr>
          <w:rFonts w:ascii="Times New Roman" w:eastAsia="Times New Roman" w:hAnsi="Times New Roman" w:cs="Times New Roman"/>
          <w:sz w:val="24"/>
          <w:szCs w:val="24"/>
          <w:lang w:val="sr-Cyrl-RS" w:eastAsia="hr-HR"/>
        </w:rPr>
        <w:t>2025. године планирано је финансирање у износу од 6.420.000 КМ у 2023. години, док се у 2024. години планира финансирање у износу од 6.360.000 КМ, а у 2025. години у износу од 6.290.000 КМ.</w:t>
      </w:r>
    </w:p>
    <w:p w14:paraId="3CF1589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Планирано финансирање се односи на финансирање из средстава позајмљивања јавним предузећима (примљене отплате од позајмљивања ЈП „Путеви“ Брчко).</w:t>
      </w:r>
    </w:p>
    <w:p w14:paraId="11DFDF2A"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548106FA" w14:textId="77777777" w:rsidR="00EA0FD7" w:rsidRPr="00EA0FD7" w:rsidRDefault="00EA0FD7" w:rsidP="00EA0FD7">
      <w:pPr>
        <w:spacing w:after="0" w:line="240" w:lineRule="auto"/>
        <w:jc w:val="both"/>
        <w:rPr>
          <w:rFonts w:ascii="Times New Roman" w:eastAsia="Times New Roman" w:hAnsi="Times New Roman" w:cs="Times New Roman"/>
          <w:b/>
          <w:bCs/>
          <w:sz w:val="28"/>
          <w:szCs w:val="28"/>
          <w:lang w:val="sr-Cyrl-RS" w:eastAsia="hr-HR"/>
        </w:rPr>
      </w:pPr>
    </w:p>
    <w:p w14:paraId="74F591EA"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p>
    <w:p w14:paraId="0BEBA9D5" w14:textId="77777777" w:rsidR="00EA0FD7" w:rsidRPr="00EA0FD7" w:rsidRDefault="00EA0FD7" w:rsidP="00EA0FD7">
      <w:pPr>
        <w:spacing w:after="0" w:line="240" w:lineRule="auto"/>
        <w:jc w:val="both"/>
        <w:rPr>
          <w:rFonts w:ascii="Times New Roman" w:eastAsia="Times New Roman" w:hAnsi="Times New Roman" w:cs="Times New Roman"/>
          <w:b/>
          <w:bCs/>
          <w:sz w:val="28"/>
          <w:szCs w:val="28"/>
          <w:lang w:val="sr-Cyrl-RS" w:eastAsia="hr-HR"/>
        </w:rPr>
      </w:pPr>
    </w:p>
    <w:p w14:paraId="6ADF128A" w14:textId="77777777" w:rsidR="00EA0FD7" w:rsidRPr="00EA0FD7" w:rsidRDefault="00EA0FD7" w:rsidP="00EA0FD7">
      <w:pPr>
        <w:spacing w:after="0" w:line="240" w:lineRule="auto"/>
        <w:jc w:val="both"/>
        <w:rPr>
          <w:rFonts w:ascii="Times New Roman" w:eastAsia="Times New Roman" w:hAnsi="Times New Roman" w:cs="Times New Roman"/>
          <w:b/>
          <w:bCs/>
          <w:sz w:val="28"/>
          <w:szCs w:val="28"/>
          <w:lang w:val="sr-Cyrl-RS" w:eastAsia="hr-HR"/>
        </w:rPr>
      </w:pPr>
    </w:p>
    <w:p w14:paraId="0AD720E3"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sectPr w:rsidR="00EA0FD7" w:rsidRPr="00EA0FD7">
          <w:pgSz w:w="11909" w:h="16834"/>
          <w:pgMar w:top="1276" w:right="1417" w:bottom="1417" w:left="1417" w:header="1021" w:footer="1021" w:gutter="0"/>
          <w:cols w:space="720"/>
        </w:sectPr>
      </w:pPr>
    </w:p>
    <w:p w14:paraId="7A15558A" w14:textId="77777777" w:rsidR="00EA0FD7" w:rsidRPr="00EA0FD7" w:rsidRDefault="00EA0FD7" w:rsidP="00EA0FD7">
      <w:pPr>
        <w:spacing w:after="0" w:line="0" w:lineRule="atLeast"/>
        <w:ind w:right="40"/>
        <w:rPr>
          <w:rFonts w:ascii="Times New Roman" w:eastAsia="Times New Roman" w:hAnsi="Times New Roman" w:cs="Times New Roman"/>
          <w:b/>
          <w:sz w:val="24"/>
          <w:szCs w:val="24"/>
          <w:lang w:val="sr-Cyrl-RS" w:eastAsia="hr-HR"/>
        </w:rPr>
      </w:pPr>
      <w:bookmarkStart w:id="94" w:name="page1"/>
      <w:bookmarkEnd w:id="0"/>
      <w:bookmarkEnd w:id="1"/>
      <w:bookmarkEnd w:id="94"/>
      <w:r w:rsidRPr="00EA0FD7">
        <w:rPr>
          <w:rFonts w:ascii="Times New Roman" w:eastAsia="Times New Roman" w:hAnsi="Times New Roman" w:cs="Times New Roman"/>
          <w:b/>
          <w:sz w:val="24"/>
          <w:szCs w:val="24"/>
          <w:lang w:val="sr-Cyrl-RS" w:eastAsia="hr-HR"/>
        </w:rPr>
        <w:lastRenderedPageBreak/>
        <w:t>Прилог бр. 1: ПРИХОДИ БУЏЕТА БРЧКО ДИСТРИКТА БиХ ЗА ПЕРИОД 2023-2025. ГОДИНЕ (синтетика)</w:t>
      </w:r>
    </w:p>
    <w:tbl>
      <w:tblPr>
        <w:tblW w:w="13704" w:type="dxa"/>
        <w:tblInd w:w="98" w:type="dxa"/>
        <w:tblLook w:val="04A0" w:firstRow="1" w:lastRow="0" w:firstColumn="1" w:lastColumn="0" w:noHBand="0" w:noVBand="1"/>
      </w:tblPr>
      <w:tblGrid>
        <w:gridCol w:w="911"/>
        <w:gridCol w:w="3882"/>
        <w:gridCol w:w="1485"/>
        <w:gridCol w:w="1485"/>
        <w:gridCol w:w="1485"/>
        <w:gridCol w:w="1485"/>
        <w:gridCol w:w="1485"/>
        <w:gridCol w:w="1486"/>
      </w:tblGrid>
      <w:tr w:rsidR="00EA0FD7" w:rsidRPr="00EA0FD7" w14:paraId="3AC90B99" w14:textId="77777777" w:rsidTr="00EA0FD7">
        <w:trPr>
          <w:trHeight w:val="383"/>
        </w:trPr>
        <w:tc>
          <w:tcPr>
            <w:tcW w:w="911" w:type="dxa"/>
            <w:vMerge w:val="restart"/>
            <w:tcBorders>
              <w:top w:val="single" w:sz="8" w:space="0" w:color="auto"/>
              <w:left w:val="single" w:sz="8" w:space="0" w:color="auto"/>
              <w:bottom w:val="single" w:sz="8" w:space="0" w:color="auto"/>
              <w:right w:val="single" w:sz="8" w:space="0" w:color="auto"/>
            </w:tcBorders>
            <w:shd w:val="clear" w:color="auto" w:fill="C0C0C0"/>
            <w:vAlign w:val="center"/>
            <w:hideMark/>
          </w:tcPr>
          <w:p w14:paraId="1F7F8E5D" w14:textId="77777777" w:rsidR="00EA0FD7" w:rsidRPr="00EA0FD7" w:rsidRDefault="00EA0FD7" w:rsidP="00EA0FD7">
            <w:pPr>
              <w:spacing w:after="0" w:line="240" w:lineRule="auto"/>
              <w:jc w:val="center"/>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КОД</w:t>
            </w:r>
          </w:p>
        </w:tc>
        <w:tc>
          <w:tcPr>
            <w:tcW w:w="3882" w:type="dxa"/>
            <w:vMerge w:val="restart"/>
            <w:tcBorders>
              <w:top w:val="single" w:sz="8" w:space="0" w:color="auto"/>
              <w:left w:val="single" w:sz="8" w:space="0" w:color="auto"/>
              <w:bottom w:val="single" w:sz="8" w:space="0" w:color="auto"/>
              <w:right w:val="single" w:sz="8" w:space="0" w:color="auto"/>
            </w:tcBorders>
            <w:shd w:val="clear" w:color="auto" w:fill="C0C0C0"/>
            <w:vAlign w:val="center"/>
            <w:hideMark/>
          </w:tcPr>
          <w:p w14:paraId="7B8549BE" w14:textId="77777777" w:rsidR="00EA0FD7" w:rsidRPr="00EA0FD7" w:rsidRDefault="00EA0FD7" w:rsidP="00EA0FD7">
            <w:pPr>
              <w:spacing w:after="0" w:line="240" w:lineRule="auto"/>
              <w:jc w:val="center"/>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ВРСТА ПРИХОДА</w:t>
            </w:r>
          </w:p>
        </w:tc>
        <w:tc>
          <w:tcPr>
            <w:tcW w:w="1485" w:type="dxa"/>
            <w:vMerge w:val="restart"/>
            <w:tcBorders>
              <w:top w:val="single" w:sz="8" w:space="0" w:color="auto"/>
              <w:left w:val="single" w:sz="8" w:space="0" w:color="auto"/>
              <w:bottom w:val="single" w:sz="8" w:space="0" w:color="auto"/>
              <w:right w:val="single" w:sz="8" w:space="0" w:color="auto"/>
            </w:tcBorders>
            <w:shd w:val="clear" w:color="auto" w:fill="C0C0C0"/>
            <w:vAlign w:val="center"/>
            <w:hideMark/>
          </w:tcPr>
          <w:p w14:paraId="436AF48F" w14:textId="77777777" w:rsidR="00EA0FD7" w:rsidRPr="00EA0FD7" w:rsidRDefault="00EA0FD7" w:rsidP="00EA0FD7">
            <w:pPr>
              <w:spacing w:after="0" w:line="240" w:lineRule="auto"/>
              <w:jc w:val="center"/>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 xml:space="preserve">ОСТВАРЕЊЕ </w:t>
            </w:r>
            <w:r w:rsidRPr="00EA0FD7">
              <w:rPr>
                <w:rFonts w:ascii="Arial" w:eastAsia="Times New Roman" w:hAnsi="Arial" w:cs="Arial"/>
                <w:b/>
                <w:bCs/>
                <w:sz w:val="16"/>
                <w:szCs w:val="16"/>
                <w:lang w:val="sr-Cyrl-RS"/>
              </w:rPr>
              <w:br/>
              <w:t xml:space="preserve">ПРИХОДА    </w:t>
            </w:r>
            <w:r w:rsidRPr="00EA0FD7">
              <w:rPr>
                <w:rFonts w:ascii="Arial" w:eastAsia="Times New Roman" w:hAnsi="Arial" w:cs="Arial"/>
                <w:b/>
                <w:bCs/>
                <w:sz w:val="16"/>
                <w:szCs w:val="16"/>
                <w:lang w:val="sr-Cyrl-RS"/>
              </w:rPr>
              <w:br/>
              <w:t>2021.</w:t>
            </w:r>
          </w:p>
        </w:tc>
        <w:tc>
          <w:tcPr>
            <w:tcW w:w="1485" w:type="dxa"/>
            <w:vMerge w:val="restart"/>
            <w:tcBorders>
              <w:top w:val="single" w:sz="8" w:space="0" w:color="auto"/>
              <w:left w:val="single" w:sz="8" w:space="0" w:color="auto"/>
              <w:bottom w:val="single" w:sz="8" w:space="0" w:color="auto"/>
              <w:right w:val="single" w:sz="8" w:space="0" w:color="auto"/>
            </w:tcBorders>
            <w:shd w:val="clear" w:color="auto" w:fill="C0C0C0"/>
            <w:vAlign w:val="center"/>
            <w:hideMark/>
          </w:tcPr>
          <w:p w14:paraId="7934F992" w14:textId="77777777" w:rsidR="00EA0FD7" w:rsidRPr="00EA0FD7" w:rsidRDefault="00EA0FD7" w:rsidP="00EA0FD7">
            <w:pPr>
              <w:spacing w:after="0" w:line="240" w:lineRule="auto"/>
              <w:jc w:val="center"/>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 xml:space="preserve">ПЛАН </w:t>
            </w:r>
            <w:r w:rsidRPr="00EA0FD7">
              <w:rPr>
                <w:rFonts w:ascii="Arial" w:eastAsia="Times New Roman" w:hAnsi="Arial" w:cs="Arial"/>
                <w:b/>
                <w:bCs/>
                <w:sz w:val="16"/>
                <w:szCs w:val="16"/>
                <w:lang w:val="sr-Cyrl-RS"/>
              </w:rPr>
              <w:br/>
              <w:t>2022.</w:t>
            </w:r>
          </w:p>
        </w:tc>
        <w:tc>
          <w:tcPr>
            <w:tcW w:w="1485" w:type="dxa"/>
            <w:vMerge w:val="restart"/>
            <w:tcBorders>
              <w:top w:val="single" w:sz="8" w:space="0" w:color="auto"/>
              <w:left w:val="single" w:sz="8" w:space="0" w:color="auto"/>
              <w:bottom w:val="single" w:sz="8" w:space="0" w:color="auto"/>
              <w:right w:val="single" w:sz="8" w:space="0" w:color="auto"/>
            </w:tcBorders>
            <w:shd w:val="clear" w:color="auto" w:fill="C0C0C0"/>
            <w:vAlign w:val="center"/>
            <w:hideMark/>
          </w:tcPr>
          <w:p w14:paraId="00575E43" w14:textId="15FB5274" w:rsidR="00EA0FD7" w:rsidRPr="00EA0FD7" w:rsidRDefault="00EA0FD7" w:rsidP="00EA0FD7">
            <w:pPr>
              <w:spacing w:after="0" w:line="240" w:lineRule="auto"/>
              <w:jc w:val="center"/>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 xml:space="preserve">ОСТВАРЕЊЕ </w:t>
            </w:r>
            <w:r w:rsidRPr="00EA0FD7">
              <w:rPr>
                <w:rFonts w:ascii="Arial" w:eastAsia="Times New Roman" w:hAnsi="Arial" w:cs="Arial"/>
                <w:b/>
                <w:bCs/>
                <w:sz w:val="16"/>
                <w:szCs w:val="16"/>
                <w:lang w:val="sr-Cyrl-RS"/>
              </w:rPr>
              <w:br/>
            </w:r>
            <w:r w:rsidR="00303EB7">
              <w:rPr>
                <w:rFonts w:ascii="Arial" w:eastAsia="Times New Roman" w:hAnsi="Arial" w:cs="Arial"/>
                <w:b/>
                <w:bCs/>
                <w:sz w:val="16"/>
                <w:szCs w:val="16"/>
              </w:rPr>
              <w:t>I</w:t>
            </w:r>
            <w:r w:rsidRPr="00EA0FD7">
              <w:rPr>
                <w:rFonts w:ascii="Arial" w:eastAsia="Times New Roman" w:hAnsi="Arial" w:cs="Arial"/>
                <w:b/>
                <w:bCs/>
                <w:sz w:val="16"/>
                <w:szCs w:val="16"/>
                <w:lang w:val="sr-Cyrl-RS"/>
              </w:rPr>
              <w:t>-</w:t>
            </w:r>
            <w:r w:rsidR="00303EB7">
              <w:rPr>
                <w:rFonts w:ascii="Arial" w:eastAsia="Times New Roman" w:hAnsi="Arial" w:cs="Arial"/>
                <w:b/>
                <w:bCs/>
                <w:sz w:val="16"/>
                <w:szCs w:val="16"/>
              </w:rPr>
              <w:t>III</w:t>
            </w:r>
            <w:r w:rsidRPr="00EA0FD7">
              <w:rPr>
                <w:rFonts w:ascii="Arial" w:eastAsia="Times New Roman" w:hAnsi="Arial" w:cs="Arial"/>
                <w:b/>
                <w:bCs/>
                <w:sz w:val="16"/>
                <w:szCs w:val="16"/>
                <w:lang w:val="sr-Cyrl-RS"/>
              </w:rPr>
              <w:t xml:space="preserve"> 2022.</w:t>
            </w:r>
          </w:p>
        </w:tc>
        <w:tc>
          <w:tcPr>
            <w:tcW w:w="4456" w:type="dxa"/>
            <w:gridSpan w:val="3"/>
            <w:tcBorders>
              <w:top w:val="single" w:sz="8" w:space="0" w:color="auto"/>
              <w:left w:val="nil"/>
              <w:bottom w:val="single" w:sz="8" w:space="0" w:color="auto"/>
              <w:right w:val="single" w:sz="8" w:space="0" w:color="000000"/>
            </w:tcBorders>
            <w:shd w:val="clear" w:color="auto" w:fill="C0C0C0"/>
            <w:vAlign w:val="center"/>
            <w:hideMark/>
          </w:tcPr>
          <w:p w14:paraId="32C7EC82" w14:textId="77777777" w:rsidR="00EA0FD7" w:rsidRPr="00EA0FD7" w:rsidRDefault="00EA0FD7" w:rsidP="00EA0FD7">
            <w:pPr>
              <w:spacing w:after="0" w:line="240" w:lineRule="auto"/>
              <w:jc w:val="center"/>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ПРОЦЈЕНА ПРИХОДА</w:t>
            </w:r>
          </w:p>
        </w:tc>
      </w:tr>
      <w:tr w:rsidR="00EA0FD7" w:rsidRPr="00EA0FD7" w14:paraId="21E7CC75" w14:textId="77777777" w:rsidTr="00EA0FD7">
        <w:trPr>
          <w:trHeight w:val="22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DCEC2AD" w14:textId="77777777" w:rsidR="00EA0FD7" w:rsidRPr="00EA0FD7" w:rsidRDefault="00EA0FD7" w:rsidP="00EA0FD7">
            <w:pPr>
              <w:spacing w:after="0" w:line="240" w:lineRule="auto"/>
              <w:rPr>
                <w:rFonts w:ascii="Arial" w:eastAsia="Times New Roman" w:hAnsi="Arial" w:cs="Arial"/>
                <w:b/>
                <w:bCs/>
                <w:sz w:val="16"/>
                <w:szCs w:val="16"/>
                <w:lang w:val="sr-Cyrl-R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00F3560" w14:textId="77777777" w:rsidR="00EA0FD7" w:rsidRPr="00EA0FD7" w:rsidRDefault="00EA0FD7" w:rsidP="00EA0FD7">
            <w:pPr>
              <w:spacing w:after="0" w:line="240" w:lineRule="auto"/>
              <w:rPr>
                <w:rFonts w:ascii="Arial" w:eastAsia="Times New Roman" w:hAnsi="Arial" w:cs="Arial"/>
                <w:b/>
                <w:bCs/>
                <w:sz w:val="16"/>
                <w:szCs w:val="16"/>
                <w:lang w:val="sr-Cyrl-R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27F6524" w14:textId="77777777" w:rsidR="00EA0FD7" w:rsidRPr="00EA0FD7" w:rsidRDefault="00EA0FD7" w:rsidP="00EA0FD7">
            <w:pPr>
              <w:spacing w:after="0" w:line="240" w:lineRule="auto"/>
              <w:rPr>
                <w:rFonts w:ascii="Arial" w:eastAsia="Times New Roman" w:hAnsi="Arial" w:cs="Arial"/>
                <w:b/>
                <w:bCs/>
                <w:sz w:val="16"/>
                <w:szCs w:val="16"/>
                <w:lang w:val="sr-Cyrl-R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C57D192" w14:textId="77777777" w:rsidR="00EA0FD7" w:rsidRPr="00EA0FD7" w:rsidRDefault="00EA0FD7" w:rsidP="00EA0FD7">
            <w:pPr>
              <w:spacing w:after="0" w:line="240" w:lineRule="auto"/>
              <w:rPr>
                <w:rFonts w:ascii="Arial" w:eastAsia="Times New Roman" w:hAnsi="Arial" w:cs="Arial"/>
                <w:b/>
                <w:bCs/>
                <w:sz w:val="16"/>
                <w:szCs w:val="16"/>
                <w:lang w:val="sr-Cyrl-R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00FB06C" w14:textId="77777777" w:rsidR="00EA0FD7" w:rsidRPr="00EA0FD7" w:rsidRDefault="00EA0FD7" w:rsidP="00EA0FD7">
            <w:pPr>
              <w:spacing w:after="0" w:line="240" w:lineRule="auto"/>
              <w:rPr>
                <w:rFonts w:ascii="Arial" w:eastAsia="Times New Roman" w:hAnsi="Arial" w:cs="Arial"/>
                <w:b/>
                <w:bCs/>
                <w:sz w:val="16"/>
                <w:szCs w:val="16"/>
                <w:lang w:val="sr-Cyrl-RS"/>
              </w:rPr>
            </w:pPr>
          </w:p>
        </w:tc>
        <w:tc>
          <w:tcPr>
            <w:tcW w:w="1485" w:type="dxa"/>
            <w:tcBorders>
              <w:top w:val="nil"/>
              <w:left w:val="nil"/>
              <w:bottom w:val="single" w:sz="8" w:space="0" w:color="auto"/>
              <w:right w:val="single" w:sz="8" w:space="0" w:color="auto"/>
            </w:tcBorders>
            <w:shd w:val="clear" w:color="auto" w:fill="C0C0C0"/>
            <w:vAlign w:val="center"/>
            <w:hideMark/>
          </w:tcPr>
          <w:p w14:paraId="64EFE5AA" w14:textId="58AEB294" w:rsidR="00EA0FD7" w:rsidRPr="00303EB7" w:rsidRDefault="00EA0FD7" w:rsidP="00EA0FD7">
            <w:pPr>
              <w:spacing w:after="0" w:line="240" w:lineRule="auto"/>
              <w:jc w:val="center"/>
              <w:rPr>
                <w:rFonts w:ascii="Arial" w:eastAsia="Times New Roman" w:hAnsi="Arial" w:cs="Arial"/>
                <w:b/>
                <w:bCs/>
                <w:sz w:val="16"/>
                <w:szCs w:val="16"/>
              </w:rPr>
            </w:pPr>
            <w:r w:rsidRPr="00EA0FD7">
              <w:rPr>
                <w:rFonts w:ascii="Arial" w:eastAsia="Times New Roman" w:hAnsi="Arial" w:cs="Arial"/>
                <w:b/>
                <w:bCs/>
                <w:sz w:val="16"/>
                <w:szCs w:val="16"/>
                <w:lang w:val="sr-Cyrl-RS"/>
              </w:rPr>
              <w:t>2023</w:t>
            </w:r>
            <w:r w:rsidR="00303EB7">
              <w:rPr>
                <w:rFonts w:ascii="Arial" w:eastAsia="Times New Roman" w:hAnsi="Arial" w:cs="Arial"/>
                <w:b/>
                <w:bCs/>
                <w:sz w:val="16"/>
                <w:szCs w:val="16"/>
              </w:rPr>
              <w:t>.</w:t>
            </w:r>
          </w:p>
        </w:tc>
        <w:tc>
          <w:tcPr>
            <w:tcW w:w="1485" w:type="dxa"/>
            <w:tcBorders>
              <w:top w:val="nil"/>
              <w:left w:val="nil"/>
              <w:bottom w:val="single" w:sz="8" w:space="0" w:color="auto"/>
              <w:right w:val="single" w:sz="8" w:space="0" w:color="auto"/>
            </w:tcBorders>
            <w:shd w:val="clear" w:color="auto" w:fill="C0C0C0"/>
            <w:noWrap/>
            <w:vAlign w:val="center"/>
            <w:hideMark/>
          </w:tcPr>
          <w:p w14:paraId="624AA111" w14:textId="5CD0FE0A" w:rsidR="00EA0FD7" w:rsidRPr="00303EB7" w:rsidRDefault="00EA0FD7" w:rsidP="00EA0FD7">
            <w:pPr>
              <w:spacing w:after="0" w:line="240" w:lineRule="auto"/>
              <w:jc w:val="center"/>
              <w:rPr>
                <w:rFonts w:ascii="Arial" w:eastAsia="Times New Roman" w:hAnsi="Arial" w:cs="Arial"/>
                <w:b/>
                <w:bCs/>
                <w:sz w:val="16"/>
                <w:szCs w:val="16"/>
              </w:rPr>
            </w:pPr>
            <w:r w:rsidRPr="00EA0FD7">
              <w:rPr>
                <w:rFonts w:ascii="Arial" w:eastAsia="Times New Roman" w:hAnsi="Arial" w:cs="Arial"/>
                <w:b/>
                <w:bCs/>
                <w:sz w:val="16"/>
                <w:szCs w:val="16"/>
                <w:lang w:val="sr-Cyrl-RS"/>
              </w:rPr>
              <w:t>2024</w:t>
            </w:r>
            <w:r w:rsidR="00303EB7">
              <w:rPr>
                <w:rFonts w:ascii="Arial" w:eastAsia="Times New Roman" w:hAnsi="Arial" w:cs="Arial"/>
                <w:b/>
                <w:bCs/>
                <w:sz w:val="16"/>
                <w:szCs w:val="16"/>
              </w:rPr>
              <w:t>.</w:t>
            </w:r>
          </w:p>
        </w:tc>
        <w:tc>
          <w:tcPr>
            <w:tcW w:w="1485" w:type="dxa"/>
            <w:tcBorders>
              <w:top w:val="nil"/>
              <w:left w:val="nil"/>
              <w:bottom w:val="single" w:sz="8" w:space="0" w:color="auto"/>
              <w:right w:val="single" w:sz="8" w:space="0" w:color="auto"/>
            </w:tcBorders>
            <w:shd w:val="clear" w:color="auto" w:fill="C0C0C0"/>
            <w:noWrap/>
            <w:vAlign w:val="center"/>
            <w:hideMark/>
          </w:tcPr>
          <w:p w14:paraId="6412021C" w14:textId="1D6C3F9C" w:rsidR="00EA0FD7" w:rsidRPr="00303EB7" w:rsidRDefault="00EA0FD7" w:rsidP="00EA0FD7">
            <w:pPr>
              <w:spacing w:after="0" w:line="240" w:lineRule="auto"/>
              <w:jc w:val="center"/>
              <w:rPr>
                <w:rFonts w:ascii="Arial" w:eastAsia="Times New Roman" w:hAnsi="Arial" w:cs="Arial"/>
                <w:b/>
                <w:bCs/>
                <w:sz w:val="16"/>
                <w:szCs w:val="16"/>
              </w:rPr>
            </w:pPr>
            <w:r w:rsidRPr="00EA0FD7">
              <w:rPr>
                <w:rFonts w:ascii="Arial" w:eastAsia="Times New Roman" w:hAnsi="Arial" w:cs="Arial"/>
                <w:b/>
                <w:bCs/>
                <w:sz w:val="16"/>
                <w:szCs w:val="16"/>
                <w:lang w:val="sr-Cyrl-RS"/>
              </w:rPr>
              <w:t>2025</w:t>
            </w:r>
            <w:r w:rsidR="00303EB7">
              <w:rPr>
                <w:rFonts w:ascii="Arial" w:eastAsia="Times New Roman" w:hAnsi="Arial" w:cs="Arial"/>
                <w:b/>
                <w:bCs/>
                <w:sz w:val="16"/>
                <w:szCs w:val="16"/>
              </w:rPr>
              <w:t>.</w:t>
            </w:r>
          </w:p>
        </w:tc>
      </w:tr>
      <w:tr w:rsidR="00EA0FD7" w:rsidRPr="00EA0FD7" w14:paraId="15137D07" w14:textId="77777777" w:rsidTr="00EA0FD7">
        <w:trPr>
          <w:trHeight w:val="223"/>
        </w:trPr>
        <w:tc>
          <w:tcPr>
            <w:tcW w:w="911" w:type="dxa"/>
            <w:tcBorders>
              <w:top w:val="nil"/>
              <w:left w:val="single" w:sz="8" w:space="0" w:color="auto"/>
              <w:bottom w:val="single" w:sz="8" w:space="0" w:color="auto"/>
              <w:right w:val="single" w:sz="8" w:space="0" w:color="auto"/>
            </w:tcBorders>
            <w:noWrap/>
            <w:vAlign w:val="center"/>
            <w:hideMark/>
          </w:tcPr>
          <w:p w14:paraId="549B67A4" w14:textId="67050DF7" w:rsidR="00EA0FD7" w:rsidRPr="00EA0FD7" w:rsidRDefault="00303EB7" w:rsidP="00EA0FD7">
            <w:pPr>
              <w:spacing w:after="0" w:line="240" w:lineRule="auto"/>
              <w:jc w:val="center"/>
              <w:rPr>
                <w:rFonts w:ascii="Arial" w:eastAsia="Times New Roman" w:hAnsi="Arial" w:cs="Arial"/>
                <w:b/>
                <w:bCs/>
                <w:sz w:val="16"/>
                <w:szCs w:val="16"/>
                <w:lang w:val="sr-Cyrl-RS"/>
              </w:rPr>
            </w:pPr>
            <w:r>
              <w:rPr>
                <w:rFonts w:ascii="Arial" w:eastAsia="Times New Roman" w:hAnsi="Arial" w:cs="Arial"/>
                <w:b/>
                <w:bCs/>
                <w:sz w:val="16"/>
                <w:szCs w:val="16"/>
              </w:rPr>
              <w:t>I</w:t>
            </w:r>
            <w:r w:rsidR="00EA0FD7" w:rsidRPr="00EA0FD7">
              <w:rPr>
                <w:rFonts w:ascii="Arial" w:eastAsia="Times New Roman" w:hAnsi="Arial" w:cs="Arial"/>
                <w:b/>
                <w:bCs/>
                <w:sz w:val="16"/>
                <w:szCs w:val="16"/>
                <w:lang w:val="sr-Cyrl-RS"/>
              </w:rPr>
              <w:t xml:space="preserve"> 710000</w:t>
            </w:r>
          </w:p>
        </w:tc>
        <w:tc>
          <w:tcPr>
            <w:tcW w:w="3882" w:type="dxa"/>
            <w:tcBorders>
              <w:top w:val="nil"/>
              <w:left w:val="nil"/>
              <w:bottom w:val="single" w:sz="8" w:space="0" w:color="auto"/>
              <w:right w:val="single" w:sz="8" w:space="0" w:color="auto"/>
            </w:tcBorders>
            <w:noWrap/>
            <w:hideMark/>
          </w:tcPr>
          <w:p w14:paraId="68E3CED3" w14:textId="77777777" w:rsidR="00EA0FD7" w:rsidRPr="00EA0FD7" w:rsidRDefault="00EA0FD7" w:rsidP="00EA0FD7">
            <w:pPr>
              <w:spacing w:after="0" w:line="240" w:lineRule="auto"/>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ПРИХОДИ ОД ПОРЕЗА (1+2)</w:t>
            </w:r>
          </w:p>
        </w:tc>
        <w:tc>
          <w:tcPr>
            <w:tcW w:w="1485" w:type="dxa"/>
            <w:tcBorders>
              <w:top w:val="nil"/>
              <w:left w:val="nil"/>
              <w:bottom w:val="single" w:sz="8" w:space="0" w:color="auto"/>
              <w:right w:val="single" w:sz="8" w:space="0" w:color="auto"/>
            </w:tcBorders>
            <w:shd w:val="clear" w:color="auto" w:fill="FFFFFF"/>
            <w:vAlign w:val="center"/>
            <w:hideMark/>
          </w:tcPr>
          <w:p w14:paraId="0682631A"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224,196,278.73</w:t>
            </w:r>
          </w:p>
        </w:tc>
        <w:tc>
          <w:tcPr>
            <w:tcW w:w="1485" w:type="dxa"/>
            <w:tcBorders>
              <w:top w:val="nil"/>
              <w:left w:val="nil"/>
              <w:bottom w:val="single" w:sz="8" w:space="0" w:color="auto"/>
              <w:right w:val="single" w:sz="8" w:space="0" w:color="auto"/>
            </w:tcBorders>
            <w:shd w:val="clear" w:color="auto" w:fill="FFFFFF"/>
            <w:vAlign w:val="center"/>
            <w:hideMark/>
          </w:tcPr>
          <w:p w14:paraId="532085E1"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219,900,000.00</w:t>
            </w:r>
          </w:p>
        </w:tc>
        <w:tc>
          <w:tcPr>
            <w:tcW w:w="1485" w:type="dxa"/>
            <w:tcBorders>
              <w:top w:val="nil"/>
              <w:left w:val="nil"/>
              <w:bottom w:val="single" w:sz="8" w:space="0" w:color="auto"/>
              <w:right w:val="single" w:sz="8" w:space="0" w:color="auto"/>
            </w:tcBorders>
            <w:shd w:val="clear" w:color="auto" w:fill="FFFFFF"/>
            <w:vAlign w:val="center"/>
            <w:hideMark/>
          </w:tcPr>
          <w:p w14:paraId="21BCF3BD"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58,760,549.43</w:t>
            </w:r>
          </w:p>
        </w:tc>
        <w:tc>
          <w:tcPr>
            <w:tcW w:w="1485" w:type="dxa"/>
            <w:tcBorders>
              <w:top w:val="nil"/>
              <w:left w:val="nil"/>
              <w:bottom w:val="single" w:sz="8" w:space="0" w:color="auto"/>
              <w:right w:val="single" w:sz="8" w:space="0" w:color="auto"/>
            </w:tcBorders>
            <w:shd w:val="clear" w:color="auto" w:fill="FFFFFF"/>
            <w:vAlign w:val="center"/>
            <w:hideMark/>
          </w:tcPr>
          <w:p w14:paraId="68DF5BD2"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260,692,000.00</w:t>
            </w:r>
          </w:p>
        </w:tc>
        <w:tc>
          <w:tcPr>
            <w:tcW w:w="1485" w:type="dxa"/>
            <w:tcBorders>
              <w:top w:val="nil"/>
              <w:left w:val="nil"/>
              <w:bottom w:val="single" w:sz="8" w:space="0" w:color="auto"/>
              <w:right w:val="single" w:sz="8" w:space="0" w:color="auto"/>
            </w:tcBorders>
            <w:shd w:val="clear" w:color="auto" w:fill="FFFFFF"/>
            <w:vAlign w:val="center"/>
            <w:hideMark/>
          </w:tcPr>
          <w:p w14:paraId="5BD2700A"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268,242,000.00</w:t>
            </w:r>
          </w:p>
        </w:tc>
        <w:tc>
          <w:tcPr>
            <w:tcW w:w="1485" w:type="dxa"/>
            <w:tcBorders>
              <w:top w:val="nil"/>
              <w:left w:val="nil"/>
              <w:bottom w:val="single" w:sz="8" w:space="0" w:color="auto"/>
              <w:right w:val="single" w:sz="8" w:space="0" w:color="auto"/>
            </w:tcBorders>
            <w:shd w:val="clear" w:color="auto" w:fill="FFFFFF"/>
            <w:vAlign w:val="center"/>
            <w:hideMark/>
          </w:tcPr>
          <w:p w14:paraId="332106ED"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276,322,000.00</w:t>
            </w:r>
          </w:p>
        </w:tc>
      </w:tr>
      <w:tr w:rsidR="00EA0FD7" w:rsidRPr="00EA0FD7" w14:paraId="36FBAC1D"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27B04199"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711100</w:t>
            </w:r>
          </w:p>
        </w:tc>
        <w:tc>
          <w:tcPr>
            <w:tcW w:w="3882" w:type="dxa"/>
            <w:tcBorders>
              <w:top w:val="nil"/>
              <w:left w:val="nil"/>
              <w:bottom w:val="single" w:sz="8" w:space="0" w:color="auto"/>
              <w:right w:val="single" w:sz="8" w:space="0" w:color="auto"/>
            </w:tcBorders>
            <w:noWrap/>
            <w:hideMark/>
          </w:tcPr>
          <w:p w14:paraId="2FD14C12"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Порези на добит појединаца</w:t>
            </w:r>
          </w:p>
        </w:tc>
        <w:tc>
          <w:tcPr>
            <w:tcW w:w="1485" w:type="dxa"/>
            <w:tcBorders>
              <w:top w:val="nil"/>
              <w:left w:val="nil"/>
              <w:bottom w:val="single" w:sz="8" w:space="0" w:color="auto"/>
              <w:right w:val="single" w:sz="8" w:space="0" w:color="auto"/>
            </w:tcBorders>
            <w:shd w:val="clear" w:color="auto" w:fill="FFFFFF"/>
            <w:vAlign w:val="center"/>
            <w:hideMark/>
          </w:tcPr>
          <w:p w14:paraId="0B601EF1"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1,526,975.29</w:t>
            </w:r>
          </w:p>
        </w:tc>
        <w:tc>
          <w:tcPr>
            <w:tcW w:w="1485" w:type="dxa"/>
            <w:tcBorders>
              <w:top w:val="nil"/>
              <w:left w:val="nil"/>
              <w:bottom w:val="single" w:sz="8" w:space="0" w:color="auto"/>
              <w:right w:val="single" w:sz="8" w:space="0" w:color="auto"/>
            </w:tcBorders>
            <w:shd w:val="clear" w:color="auto" w:fill="FFFFFF"/>
            <w:vAlign w:val="center"/>
            <w:hideMark/>
          </w:tcPr>
          <w:p w14:paraId="018FB336"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1,800,000.00</w:t>
            </w:r>
          </w:p>
        </w:tc>
        <w:tc>
          <w:tcPr>
            <w:tcW w:w="1485" w:type="dxa"/>
            <w:tcBorders>
              <w:top w:val="nil"/>
              <w:left w:val="nil"/>
              <w:bottom w:val="single" w:sz="8" w:space="0" w:color="auto"/>
              <w:right w:val="single" w:sz="8" w:space="0" w:color="auto"/>
            </w:tcBorders>
            <w:shd w:val="clear" w:color="auto" w:fill="FFFFFF"/>
            <w:vAlign w:val="center"/>
            <w:hideMark/>
          </w:tcPr>
          <w:p w14:paraId="00DABFD1"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723,137.17</w:t>
            </w:r>
          </w:p>
        </w:tc>
        <w:tc>
          <w:tcPr>
            <w:tcW w:w="1485" w:type="dxa"/>
            <w:tcBorders>
              <w:top w:val="nil"/>
              <w:left w:val="nil"/>
              <w:bottom w:val="single" w:sz="8" w:space="0" w:color="auto"/>
              <w:right w:val="single" w:sz="8" w:space="0" w:color="auto"/>
            </w:tcBorders>
            <w:shd w:val="clear" w:color="auto" w:fill="FFFFFF"/>
            <w:vAlign w:val="center"/>
            <w:hideMark/>
          </w:tcPr>
          <w:p w14:paraId="62FD53F2"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1,800,000.00</w:t>
            </w:r>
          </w:p>
        </w:tc>
        <w:tc>
          <w:tcPr>
            <w:tcW w:w="1485" w:type="dxa"/>
            <w:tcBorders>
              <w:top w:val="nil"/>
              <w:left w:val="nil"/>
              <w:bottom w:val="single" w:sz="8" w:space="0" w:color="auto"/>
              <w:right w:val="single" w:sz="8" w:space="0" w:color="auto"/>
            </w:tcBorders>
            <w:shd w:val="clear" w:color="auto" w:fill="FFFFFF"/>
            <w:vAlign w:val="center"/>
            <w:hideMark/>
          </w:tcPr>
          <w:p w14:paraId="2B8A57E6"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1,800,000.00</w:t>
            </w:r>
          </w:p>
        </w:tc>
        <w:tc>
          <w:tcPr>
            <w:tcW w:w="1485" w:type="dxa"/>
            <w:tcBorders>
              <w:top w:val="nil"/>
              <w:left w:val="nil"/>
              <w:bottom w:val="single" w:sz="8" w:space="0" w:color="auto"/>
              <w:right w:val="single" w:sz="8" w:space="0" w:color="auto"/>
            </w:tcBorders>
            <w:shd w:val="clear" w:color="auto" w:fill="FFFFFF"/>
            <w:vAlign w:val="center"/>
            <w:hideMark/>
          </w:tcPr>
          <w:p w14:paraId="755AC9C6"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1,800,000.00</w:t>
            </w:r>
          </w:p>
        </w:tc>
      </w:tr>
      <w:tr w:rsidR="00EA0FD7" w:rsidRPr="00EA0FD7" w14:paraId="17154F04"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70069FB0"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711200</w:t>
            </w:r>
          </w:p>
        </w:tc>
        <w:tc>
          <w:tcPr>
            <w:tcW w:w="3882" w:type="dxa"/>
            <w:tcBorders>
              <w:top w:val="nil"/>
              <w:left w:val="nil"/>
              <w:bottom w:val="single" w:sz="8" w:space="0" w:color="auto"/>
              <w:right w:val="single" w:sz="8" w:space="0" w:color="auto"/>
            </w:tcBorders>
            <w:noWrap/>
            <w:hideMark/>
          </w:tcPr>
          <w:p w14:paraId="492903E5"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Порез на добит предузећа</w:t>
            </w:r>
          </w:p>
        </w:tc>
        <w:tc>
          <w:tcPr>
            <w:tcW w:w="1485" w:type="dxa"/>
            <w:tcBorders>
              <w:top w:val="nil"/>
              <w:left w:val="nil"/>
              <w:bottom w:val="single" w:sz="8" w:space="0" w:color="auto"/>
              <w:right w:val="single" w:sz="8" w:space="0" w:color="auto"/>
            </w:tcBorders>
            <w:shd w:val="clear" w:color="auto" w:fill="FFFFFF"/>
            <w:vAlign w:val="center"/>
            <w:hideMark/>
          </w:tcPr>
          <w:p w14:paraId="458743D4"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13,110,129.11</w:t>
            </w:r>
          </w:p>
        </w:tc>
        <w:tc>
          <w:tcPr>
            <w:tcW w:w="1485" w:type="dxa"/>
            <w:tcBorders>
              <w:top w:val="nil"/>
              <w:left w:val="nil"/>
              <w:bottom w:val="single" w:sz="8" w:space="0" w:color="auto"/>
              <w:right w:val="single" w:sz="8" w:space="0" w:color="auto"/>
            </w:tcBorders>
            <w:shd w:val="clear" w:color="auto" w:fill="FFFFFF"/>
            <w:vAlign w:val="center"/>
            <w:hideMark/>
          </w:tcPr>
          <w:p w14:paraId="7141FB79"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15,200,000.00</w:t>
            </w:r>
          </w:p>
        </w:tc>
        <w:tc>
          <w:tcPr>
            <w:tcW w:w="1485" w:type="dxa"/>
            <w:tcBorders>
              <w:top w:val="nil"/>
              <w:left w:val="nil"/>
              <w:bottom w:val="single" w:sz="8" w:space="0" w:color="auto"/>
              <w:right w:val="single" w:sz="8" w:space="0" w:color="auto"/>
            </w:tcBorders>
            <w:shd w:val="clear" w:color="auto" w:fill="FFFFFF"/>
            <w:vAlign w:val="center"/>
            <w:hideMark/>
          </w:tcPr>
          <w:p w14:paraId="0B593A89"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5,191,713.19</w:t>
            </w:r>
          </w:p>
        </w:tc>
        <w:tc>
          <w:tcPr>
            <w:tcW w:w="1485" w:type="dxa"/>
            <w:tcBorders>
              <w:top w:val="nil"/>
              <w:left w:val="nil"/>
              <w:bottom w:val="single" w:sz="8" w:space="0" w:color="auto"/>
              <w:right w:val="single" w:sz="8" w:space="0" w:color="auto"/>
            </w:tcBorders>
            <w:shd w:val="clear" w:color="auto" w:fill="FFFFFF"/>
            <w:vAlign w:val="center"/>
            <w:hideMark/>
          </w:tcPr>
          <w:p w14:paraId="79274AB2"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15,300,000.00</w:t>
            </w:r>
          </w:p>
        </w:tc>
        <w:tc>
          <w:tcPr>
            <w:tcW w:w="1485" w:type="dxa"/>
            <w:tcBorders>
              <w:top w:val="nil"/>
              <w:left w:val="nil"/>
              <w:bottom w:val="single" w:sz="8" w:space="0" w:color="auto"/>
              <w:right w:val="single" w:sz="8" w:space="0" w:color="auto"/>
            </w:tcBorders>
            <w:shd w:val="clear" w:color="auto" w:fill="FFFFFF"/>
            <w:vAlign w:val="center"/>
            <w:hideMark/>
          </w:tcPr>
          <w:p w14:paraId="73697FF4"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15,300,000.00</w:t>
            </w:r>
          </w:p>
        </w:tc>
        <w:tc>
          <w:tcPr>
            <w:tcW w:w="1485" w:type="dxa"/>
            <w:tcBorders>
              <w:top w:val="nil"/>
              <w:left w:val="nil"/>
              <w:bottom w:val="single" w:sz="8" w:space="0" w:color="auto"/>
              <w:right w:val="single" w:sz="8" w:space="0" w:color="auto"/>
            </w:tcBorders>
            <w:shd w:val="clear" w:color="auto" w:fill="FFFFFF"/>
            <w:vAlign w:val="center"/>
            <w:hideMark/>
          </w:tcPr>
          <w:p w14:paraId="315EA60F"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15,300,000.00</w:t>
            </w:r>
          </w:p>
        </w:tc>
      </w:tr>
      <w:tr w:rsidR="00EA0FD7" w:rsidRPr="00EA0FD7" w14:paraId="2F05C125"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2784FD75"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713100</w:t>
            </w:r>
          </w:p>
        </w:tc>
        <w:tc>
          <w:tcPr>
            <w:tcW w:w="3882" w:type="dxa"/>
            <w:tcBorders>
              <w:top w:val="nil"/>
              <w:left w:val="nil"/>
              <w:bottom w:val="single" w:sz="8" w:space="0" w:color="auto"/>
              <w:right w:val="single" w:sz="8" w:space="0" w:color="auto"/>
            </w:tcBorders>
            <w:noWrap/>
            <w:hideMark/>
          </w:tcPr>
          <w:p w14:paraId="33FC4367"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Порези на плате</w:t>
            </w:r>
          </w:p>
        </w:tc>
        <w:tc>
          <w:tcPr>
            <w:tcW w:w="1485" w:type="dxa"/>
            <w:tcBorders>
              <w:top w:val="nil"/>
              <w:left w:val="nil"/>
              <w:bottom w:val="single" w:sz="8" w:space="0" w:color="auto"/>
              <w:right w:val="single" w:sz="8" w:space="0" w:color="auto"/>
            </w:tcBorders>
            <w:shd w:val="clear" w:color="auto" w:fill="FFFFFF"/>
            <w:vAlign w:val="center"/>
            <w:hideMark/>
          </w:tcPr>
          <w:p w14:paraId="6FB28E59"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9,545,219.42</w:t>
            </w:r>
          </w:p>
        </w:tc>
        <w:tc>
          <w:tcPr>
            <w:tcW w:w="1485" w:type="dxa"/>
            <w:tcBorders>
              <w:top w:val="nil"/>
              <w:left w:val="nil"/>
              <w:bottom w:val="single" w:sz="8" w:space="0" w:color="auto"/>
              <w:right w:val="single" w:sz="8" w:space="0" w:color="auto"/>
            </w:tcBorders>
            <w:shd w:val="clear" w:color="auto" w:fill="FFFFFF"/>
            <w:vAlign w:val="center"/>
            <w:hideMark/>
          </w:tcPr>
          <w:p w14:paraId="300BD48F"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11,000,000.00</w:t>
            </w:r>
          </w:p>
        </w:tc>
        <w:tc>
          <w:tcPr>
            <w:tcW w:w="1485" w:type="dxa"/>
            <w:tcBorders>
              <w:top w:val="nil"/>
              <w:left w:val="nil"/>
              <w:bottom w:val="single" w:sz="8" w:space="0" w:color="auto"/>
              <w:right w:val="single" w:sz="8" w:space="0" w:color="auto"/>
            </w:tcBorders>
            <w:vAlign w:val="center"/>
            <w:hideMark/>
          </w:tcPr>
          <w:p w14:paraId="50E63EE6"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1,964,449.45</w:t>
            </w:r>
          </w:p>
        </w:tc>
        <w:tc>
          <w:tcPr>
            <w:tcW w:w="1485" w:type="dxa"/>
            <w:tcBorders>
              <w:top w:val="nil"/>
              <w:left w:val="nil"/>
              <w:bottom w:val="single" w:sz="8" w:space="0" w:color="auto"/>
              <w:right w:val="single" w:sz="8" w:space="0" w:color="auto"/>
            </w:tcBorders>
            <w:shd w:val="clear" w:color="auto" w:fill="FFFFFF"/>
            <w:vAlign w:val="center"/>
            <w:hideMark/>
          </w:tcPr>
          <w:p w14:paraId="2C07EC4D"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11,000,000.00</w:t>
            </w:r>
          </w:p>
        </w:tc>
        <w:tc>
          <w:tcPr>
            <w:tcW w:w="1485" w:type="dxa"/>
            <w:tcBorders>
              <w:top w:val="nil"/>
              <w:left w:val="nil"/>
              <w:bottom w:val="single" w:sz="8" w:space="0" w:color="auto"/>
              <w:right w:val="single" w:sz="8" w:space="0" w:color="auto"/>
            </w:tcBorders>
            <w:shd w:val="clear" w:color="auto" w:fill="FFFFFF"/>
            <w:vAlign w:val="center"/>
            <w:hideMark/>
          </w:tcPr>
          <w:p w14:paraId="47010B48"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11,000,000.00</w:t>
            </w:r>
          </w:p>
        </w:tc>
        <w:tc>
          <w:tcPr>
            <w:tcW w:w="1485" w:type="dxa"/>
            <w:tcBorders>
              <w:top w:val="nil"/>
              <w:left w:val="nil"/>
              <w:bottom w:val="single" w:sz="8" w:space="0" w:color="auto"/>
              <w:right w:val="single" w:sz="8" w:space="0" w:color="auto"/>
            </w:tcBorders>
            <w:shd w:val="clear" w:color="auto" w:fill="FFFFFF"/>
            <w:vAlign w:val="center"/>
            <w:hideMark/>
          </w:tcPr>
          <w:p w14:paraId="0E1AA3AC"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11,000,000.00</w:t>
            </w:r>
          </w:p>
        </w:tc>
      </w:tr>
      <w:tr w:rsidR="00EA0FD7" w:rsidRPr="00EA0FD7" w14:paraId="5F7E537B"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0ACF831C"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714100</w:t>
            </w:r>
          </w:p>
        </w:tc>
        <w:tc>
          <w:tcPr>
            <w:tcW w:w="3882" w:type="dxa"/>
            <w:tcBorders>
              <w:top w:val="nil"/>
              <w:left w:val="nil"/>
              <w:bottom w:val="single" w:sz="8" w:space="0" w:color="auto"/>
              <w:right w:val="single" w:sz="8" w:space="0" w:color="auto"/>
            </w:tcBorders>
            <w:noWrap/>
            <w:hideMark/>
          </w:tcPr>
          <w:p w14:paraId="55E57468"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Порез на имовину</w:t>
            </w:r>
          </w:p>
        </w:tc>
        <w:tc>
          <w:tcPr>
            <w:tcW w:w="1485" w:type="dxa"/>
            <w:tcBorders>
              <w:top w:val="nil"/>
              <w:left w:val="nil"/>
              <w:bottom w:val="single" w:sz="8" w:space="0" w:color="auto"/>
              <w:right w:val="single" w:sz="8" w:space="0" w:color="auto"/>
            </w:tcBorders>
            <w:shd w:val="clear" w:color="auto" w:fill="FFFFFF"/>
            <w:vAlign w:val="center"/>
            <w:hideMark/>
          </w:tcPr>
          <w:p w14:paraId="5EAF8C33"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1,508,771.73</w:t>
            </w:r>
          </w:p>
        </w:tc>
        <w:tc>
          <w:tcPr>
            <w:tcW w:w="1485" w:type="dxa"/>
            <w:tcBorders>
              <w:top w:val="nil"/>
              <w:left w:val="nil"/>
              <w:bottom w:val="single" w:sz="8" w:space="0" w:color="auto"/>
              <w:right w:val="single" w:sz="8" w:space="0" w:color="auto"/>
            </w:tcBorders>
            <w:shd w:val="clear" w:color="auto" w:fill="FFFFFF"/>
            <w:vAlign w:val="center"/>
            <w:hideMark/>
          </w:tcPr>
          <w:p w14:paraId="0FA2793D"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1,900,000.00</w:t>
            </w:r>
          </w:p>
        </w:tc>
        <w:tc>
          <w:tcPr>
            <w:tcW w:w="1485" w:type="dxa"/>
            <w:tcBorders>
              <w:top w:val="nil"/>
              <w:left w:val="nil"/>
              <w:bottom w:val="single" w:sz="8" w:space="0" w:color="auto"/>
              <w:right w:val="single" w:sz="8" w:space="0" w:color="auto"/>
            </w:tcBorders>
            <w:vAlign w:val="center"/>
            <w:hideMark/>
          </w:tcPr>
          <w:p w14:paraId="6711E489"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456,440.91</w:t>
            </w:r>
          </w:p>
        </w:tc>
        <w:tc>
          <w:tcPr>
            <w:tcW w:w="1485" w:type="dxa"/>
            <w:tcBorders>
              <w:top w:val="nil"/>
              <w:left w:val="nil"/>
              <w:bottom w:val="single" w:sz="8" w:space="0" w:color="auto"/>
              <w:right w:val="single" w:sz="8" w:space="0" w:color="auto"/>
            </w:tcBorders>
            <w:shd w:val="clear" w:color="auto" w:fill="FFFFFF"/>
            <w:vAlign w:val="center"/>
            <w:hideMark/>
          </w:tcPr>
          <w:p w14:paraId="347951A2"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1,900,000.00</w:t>
            </w:r>
          </w:p>
        </w:tc>
        <w:tc>
          <w:tcPr>
            <w:tcW w:w="1485" w:type="dxa"/>
            <w:tcBorders>
              <w:top w:val="nil"/>
              <w:left w:val="nil"/>
              <w:bottom w:val="single" w:sz="8" w:space="0" w:color="auto"/>
              <w:right w:val="single" w:sz="8" w:space="0" w:color="auto"/>
            </w:tcBorders>
            <w:shd w:val="clear" w:color="auto" w:fill="FFFFFF"/>
            <w:vAlign w:val="center"/>
            <w:hideMark/>
          </w:tcPr>
          <w:p w14:paraId="2D3D82FA"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1,900,000.00</w:t>
            </w:r>
          </w:p>
        </w:tc>
        <w:tc>
          <w:tcPr>
            <w:tcW w:w="1485" w:type="dxa"/>
            <w:tcBorders>
              <w:top w:val="nil"/>
              <w:left w:val="nil"/>
              <w:bottom w:val="single" w:sz="8" w:space="0" w:color="auto"/>
              <w:right w:val="single" w:sz="8" w:space="0" w:color="auto"/>
            </w:tcBorders>
            <w:shd w:val="clear" w:color="auto" w:fill="FFFFFF"/>
            <w:vAlign w:val="center"/>
            <w:hideMark/>
          </w:tcPr>
          <w:p w14:paraId="2BD68378"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1,900,000.00</w:t>
            </w:r>
          </w:p>
        </w:tc>
      </w:tr>
      <w:tr w:rsidR="00EA0FD7" w:rsidRPr="00EA0FD7" w14:paraId="2BC83100"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0C557B11"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715100</w:t>
            </w:r>
          </w:p>
        </w:tc>
        <w:tc>
          <w:tcPr>
            <w:tcW w:w="3882" w:type="dxa"/>
            <w:tcBorders>
              <w:top w:val="nil"/>
              <w:left w:val="nil"/>
              <w:bottom w:val="single" w:sz="8" w:space="0" w:color="auto"/>
              <w:right w:val="single" w:sz="8" w:space="0" w:color="auto"/>
            </w:tcBorders>
            <w:noWrap/>
            <w:hideMark/>
          </w:tcPr>
          <w:p w14:paraId="465EE56F"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Порез на продају добара и услуга</w:t>
            </w:r>
          </w:p>
        </w:tc>
        <w:tc>
          <w:tcPr>
            <w:tcW w:w="1485" w:type="dxa"/>
            <w:tcBorders>
              <w:top w:val="nil"/>
              <w:left w:val="nil"/>
              <w:bottom w:val="single" w:sz="8" w:space="0" w:color="auto"/>
              <w:right w:val="single" w:sz="8" w:space="0" w:color="auto"/>
            </w:tcBorders>
            <w:shd w:val="clear" w:color="auto" w:fill="FFFFFF"/>
            <w:vAlign w:val="center"/>
            <w:hideMark/>
          </w:tcPr>
          <w:p w14:paraId="4194BE3F"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26,328.06</w:t>
            </w:r>
          </w:p>
        </w:tc>
        <w:tc>
          <w:tcPr>
            <w:tcW w:w="1485" w:type="dxa"/>
            <w:tcBorders>
              <w:top w:val="nil"/>
              <w:left w:val="nil"/>
              <w:bottom w:val="single" w:sz="8" w:space="0" w:color="auto"/>
              <w:right w:val="single" w:sz="8" w:space="0" w:color="auto"/>
            </w:tcBorders>
            <w:shd w:val="clear" w:color="auto" w:fill="FFFFFF"/>
            <w:vAlign w:val="center"/>
            <w:hideMark/>
          </w:tcPr>
          <w:p w14:paraId="02535873"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0.00</w:t>
            </w:r>
          </w:p>
        </w:tc>
        <w:tc>
          <w:tcPr>
            <w:tcW w:w="1485" w:type="dxa"/>
            <w:tcBorders>
              <w:top w:val="nil"/>
              <w:left w:val="nil"/>
              <w:bottom w:val="single" w:sz="8" w:space="0" w:color="auto"/>
              <w:right w:val="single" w:sz="8" w:space="0" w:color="auto"/>
            </w:tcBorders>
            <w:vAlign w:val="center"/>
            <w:hideMark/>
          </w:tcPr>
          <w:p w14:paraId="5274D3EC"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585.36</w:t>
            </w:r>
          </w:p>
        </w:tc>
        <w:tc>
          <w:tcPr>
            <w:tcW w:w="1485" w:type="dxa"/>
            <w:tcBorders>
              <w:top w:val="nil"/>
              <w:left w:val="nil"/>
              <w:bottom w:val="single" w:sz="8" w:space="0" w:color="auto"/>
              <w:right w:val="single" w:sz="8" w:space="0" w:color="auto"/>
            </w:tcBorders>
            <w:shd w:val="clear" w:color="auto" w:fill="FFFFFF"/>
            <w:vAlign w:val="center"/>
            <w:hideMark/>
          </w:tcPr>
          <w:p w14:paraId="66F2DBA7"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0.00</w:t>
            </w:r>
          </w:p>
        </w:tc>
        <w:tc>
          <w:tcPr>
            <w:tcW w:w="1485" w:type="dxa"/>
            <w:tcBorders>
              <w:top w:val="nil"/>
              <w:left w:val="nil"/>
              <w:bottom w:val="single" w:sz="8" w:space="0" w:color="auto"/>
              <w:right w:val="single" w:sz="8" w:space="0" w:color="auto"/>
            </w:tcBorders>
            <w:shd w:val="clear" w:color="auto" w:fill="FFFFFF"/>
            <w:vAlign w:val="center"/>
            <w:hideMark/>
          </w:tcPr>
          <w:p w14:paraId="0DE17B20"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0.00</w:t>
            </w:r>
          </w:p>
        </w:tc>
        <w:tc>
          <w:tcPr>
            <w:tcW w:w="1485" w:type="dxa"/>
            <w:tcBorders>
              <w:top w:val="nil"/>
              <w:left w:val="nil"/>
              <w:bottom w:val="single" w:sz="8" w:space="0" w:color="auto"/>
              <w:right w:val="single" w:sz="8" w:space="0" w:color="auto"/>
            </w:tcBorders>
            <w:shd w:val="clear" w:color="auto" w:fill="FFFFFF"/>
            <w:vAlign w:val="center"/>
            <w:hideMark/>
          </w:tcPr>
          <w:p w14:paraId="1E3D2BDB"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0.00</w:t>
            </w:r>
          </w:p>
        </w:tc>
      </w:tr>
      <w:tr w:rsidR="00EA0FD7" w:rsidRPr="00EA0FD7" w14:paraId="33E97351"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3A0C8892"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715200</w:t>
            </w:r>
          </w:p>
        </w:tc>
        <w:tc>
          <w:tcPr>
            <w:tcW w:w="3882" w:type="dxa"/>
            <w:tcBorders>
              <w:top w:val="nil"/>
              <w:left w:val="nil"/>
              <w:bottom w:val="single" w:sz="8" w:space="0" w:color="auto"/>
              <w:right w:val="single" w:sz="8" w:space="0" w:color="auto"/>
            </w:tcBorders>
            <w:noWrap/>
            <w:hideMark/>
          </w:tcPr>
          <w:p w14:paraId="0DE00C07"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Порез на промет посебних услуга</w:t>
            </w:r>
          </w:p>
        </w:tc>
        <w:tc>
          <w:tcPr>
            <w:tcW w:w="1485" w:type="dxa"/>
            <w:tcBorders>
              <w:top w:val="nil"/>
              <w:left w:val="nil"/>
              <w:bottom w:val="single" w:sz="8" w:space="0" w:color="auto"/>
              <w:right w:val="single" w:sz="8" w:space="0" w:color="auto"/>
            </w:tcBorders>
            <w:shd w:val="clear" w:color="auto" w:fill="FFFFFF"/>
            <w:vAlign w:val="center"/>
            <w:hideMark/>
          </w:tcPr>
          <w:p w14:paraId="673A2ADA"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608,728.51</w:t>
            </w:r>
          </w:p>
        </w:tc>
        <w:tc>
          <w:tcPr>
            <w:tcW w:w="1485" w:type="dxa"/>
            <w:tcBorders>
              <w:top w:val="nil"/>
              <w:left w:val="nil"/>
              <w:bottom w:val="single" w:sz="8" w:space="0" w:color="auto"/>
              <w:right w:val="single" w:sz="8" w:space="0" w:color="auto"/>
            </w:tcBorders>
            <w:shd w:val="clear" w:color="auto" w:fill="FFFFFF"/>
            <w:vAlign w:val="center"/>
            <w:hideMark/>
          </w:tcPr>
          <w:p w14:paraId="3D8AE3E2"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2,100,000.00</w:t>
            </w:r>
          </w:p>
        </w:tc>
        <w:tc>
          <w:tcPr>
            <w:tcW w:w="1485" w:type="dxa"/>
            <w:tcBorders>
              <w:top w:val="nil"/>
              <w:left w:val="nil"/>
              <w:bottom w:val="single" w:sz="8" w:space="0" w:color="auto"/>
              <w:right w:val="single" w:sz="8" w:space="0" w:color="auto"/>
            </w:tcBorders>
            <w:vAlign w:val="center"/>
            <w:hideMark/>
          </w:tcPr>
          <w:p w14:paraId="14552427"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193,424.36</w:t>
            </w:r>
          </w:p>
        </w:tc>
        <w:tc>
          <w:tcPr>
            <w:tcW w:w="1485" w:type="dxa"/>
            <w:tcBorders>
              <w:top w:val="nil"/>
              <w:left w:val="nil"/>
              <w:bottom w:val="single" w:sz="8" w:space="0" w:color="auto"/>
              <w:right w:val="single" w:sz="8" w:space="0" w:color="auto"/>
            </w:tcBorders>
            <w:shd w:val="clear" w:color="auto" w:fill="FFFFFF"/>
            <w:vAlign w:val="center"/>
            <w:hideMark/>
          </w:tcPr>
          <w:p w14:paraId="2158B7D9"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2,132,000.00</w:t>
            </w:r>
          </w:p>
        </w:tc>
        <w:tc>
          <w:tcPr>
            <w:tcW w:w="1485" w:type="dxa"/>
            <w:tcBorders>
              <w:top w:val="nil"/>
              <w:left w:val="nil"/>
              <w:bottom w:val="single" w:sz="8" w:space="0" w:color="auto"/>
              <w:right w:val="single" w:sz="8" w:space="0" w:color="auto"/>
            </w:tcBorders>
            <w:shd w:val="clear" w:color="auto" w:fill="FFFFFF"/>
            <w:vAlign w:val="center"/>
            <w:hideMark/>
          </w:tcPr>
          <w:p w14:paraId="6391C4D7"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2,132,000.00</w:t>
            </w:r>
          </w:p>
        </w:tc>
        <w:tc>
          <w:tcPr>
            <w:tcW w:w="1485" w:type="dxa"/>
            <w:tcBorders>
              <w:top w:val="nil"/>
              <w:left w:val="nil"/>
              <w:bottom w:val="single" w:sz="8" w:space="0" w:color="auto"/>
              <w:right w:val="single" w:sz="8" w:space="0" w:color="auto"/>
            </w:tcBorders>
            <w:shd w:val="clear" w:color="auto" w:fill="FFFFFF"/>
            <w:vAlign w:val="center"/>
            <w:hideMark/>
          </w:tcPr>
          <w:p w14:paraId="6A39511B"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2,132,000.00</w:t>
            </w:r>
          </w:p>
        </w:tc>
      </w:tr>
      <w:tr w:rsidR="00EA0FD7" w:rsidRPr="00EA0FD7" w14:paraId="22187F03" w14:textId="77777777" w:rsidTr="00EA0FD7">
        <w:trPr>
          <w:trHeight w:val="383"/>
        </w:trPr>
        <w:tc>
          <w:tcPr>
            <w:tcW w:w="911" w:type="dxa"/>
            <w:tcBorders>
              <w:top w:val="nil"/>
              <w:left w:val="single" w:sz="8" w:space="0" w:color="auto"/>
              <w:bottom w:val="single" w:sz="8" w:space="0" w:color="auto"/>
              <w:right w:val="single" w:sz="8" w:space="0" w:color="auto"/>
            </w:tcBorders>
            <w:noWrap/>
            <w:vAlign w:val="center"/>
            <w:hideMark/>
          </w:tcPr>
          <w:p w14:paraId="1DF9C398"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715300</w:t>
            </w:r>
          </w:p>
        </w:tc>
        <w:tc>
          <w:tcPr>
            <w:tcW w:w="3882" w:type="dxa"/>
            <w:tcBorders>
              <w:top w:val="nil"/>
              <w:left w:val="nil"/>
              <w:bottom w:val="single" w:sz="8" w:space="0" w:color="auto"/>
              <w:right w:val="single" w:sz="8" w:space="0" w:color="auto"/>
            </w:tcBorders>
            <w:shd w:val="clear" w:color="auto" w:fill="FFFFFF"/>
            <w:hideMark/>
          </w:tcPr>
          <w:p w14:paraId="11D1578B" w14:textId="38A03708"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Порез на употребу добара или на одобрења за кориш</w:t>
            </w:r>
            <w:r w:rsidR="00303EB7">
              <w:rPr>
                <w:rFonts w:ascii="Arial" w:eastAsia="Times New Roman" w:hAnsi="Arial" w:cs="Arial"/>
                <w:color w:val="0000FF"/>
                <w:sz w:val="15"/>
                <w:szCs w:val="15"/>
                <w:lang w:val="sr-Cyrl-RS"/>
              </w:rPr>
              <w:t>ћ</w:t>
            </w:r>
            <w:r w:rsidRPr="00EA0FD7">
              <w:rPr>
                <w:rFonts w:ascii="Arial" w:eastAsia="Times New Roman" w:hAnsi="Arial" w:cs="Arial"/>
                <w:color w:val="0000FF"/>
                <w:sz w:val="15"/>
                <w:szCs w:val="15"/>
                <w:lang w:val="sr-Cyrl-RS"/>
              </w:rPr>
              <w:t xml:space="preserve">ење  </w:t>
            </w:r>
            <w:r w:rsidRPr="00EA0FD7">
              <w:rPr>
                <w:rFonts w:ascii="Arial" w:eastAsia="Times New Roman" w:hAnsi="Arial" w:cs="Arial"/>
                <w:color w:val="0000FF"/>
                <w:sz w:val="15"/>
                <w:szCs w:val="15"/>
                <w:lang w:val="sr-Cyrl-RS"/>
              </w:rPr>
              <w:br/>
              <w:t>добара или за извођење активности</w:t>
            </w:r>
          </w:p>
        </w:tc>
        <w:tc>
          <w:tcPr>
            <w:tcW w:w="1485" w:type="dxa"/>
            <w:tcBorders>
              <w:top w:val="nil"/>
              <w:left w:val="nil"/>
              <w:bottom w:val="single" w:sz="8" w:space="0" w:color="auto"/>
              <w:right w:val="single" w:sz="8" w:space="0" w:color="auto"/>
            </w:tcBorders>
            <w:shd w:val="clear" w:color="auto" w:fill="FFFFFF"/>
            <w:vAlign w:val="center"/>
            <w:hideMark/>
          </w:tcPr>
          <w:p w14:paraId="27182140"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1,004,900.00</w:t>
            </w:r>
          </w:p>
        </w:tc>
        <w:tc>
          <w:tcPr>
            <w:tcW w:w="1485" w:type="dxa"/>
            <w:tcBorders>
              <w:top w:val="nil"/>
              <w:left w:val="nil"/>
              <w:bottom w:val="single" w:sz="8" w:space="0" w:color="auto"/>
              <w:right w:val="single" w:sz="8" w:space="0" w:color="auto"/>
            </w:tcBorders>
            <w:shd w:val="clear" w:color="auto" w:fill="FFFFFF"/>
            <w:vAlign w:val="center"/>
            <w:hideMark/>
          </w:tcPr>
          <w:p w14:paraId="63C05F1A"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1,000,000.00</w:t>
            </w:r>
          </w:p>
        </w:tc>
        <w:tc>
          <w:tcPr>
            <w:tcW w:w="1485" w:type="dxa"/>
            <w:tcBorders>
              <w:top w:val="nil"/>
              <w:left w:val="nil"/>
              <w:bottom w:val="single" w:sz="8" w:space="0" w:color="auto"/>
              <w:right w:val="single" w:sz="8" w:space="0" w:color="auto"/>
            </w:tcBorders>
            <w:vAlign w:val="center"/>
            <w:hideMark/>
          </w:tcPr>
          <w:p w14:paraId="660D53E4"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269,500.00</w:t>
            </w:r>
          </w:p>
        </w:tc>
        <w:tc>
          <w:tcPr>
            <w:tcW w:w="1485" w:type="dxa"/>
            <w:tcBorders>
              <w:top w:val="nil"/>
              <w:left w:val="nil"/>
              <w:bottom w:val="single" w:sz="8" w:space="0" w:color="auto"/>
              <w:right w:val="single" w:sz="8" w:space="0" w:color="auto"/>
            </w:tcBorders>
            <w:shd w:val="clear" w:color="auto" w:fill="FFFFFF"/>
            <w:vAlign w:val="center"/>
            <w:hideMark/>
          </w:tcPr>
          <w:p w14:paraId="28583DCD"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1,000,000.00</w:t>
            </w:r>
          </w:p>
        </w:tc>
        <w:tc>
          <w:tcPr>
            <w:tcW w:w="1485" w:type="dxa"/>
            <w:tcBorders>
              <w:top w:val="nil"/>
              <w:left w:val="nil"/>
              <w:bottom w:val="single" w:sz="8" w:space="0" w:color="auto"/>
              <w:right w:val="single" w:sz="8" w:space="0" w:color="auto"/>
            </w:tcBorders>
            <w:shd w:val="clear" w:color="auto" w:fill="FFFFFF"/>
            <w:vAlign w:val="center"/>
            <w:hideMark/>
          </w:tcPr>
          <w:p w14:paraId="5C47B17F"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1,000,000.00</w:t>
            </w:r>
          </w:p>
        </w:tc>
        <w:tc>
          <w:tcPr>
            <w:tcW w:w="1485" w:type="dxa"/>
            <w:tcBorders>
              <w:top w:val="nil"/>
              <w:left w:val="nil"/>
              <w:bottom w:val="single" w:sz="8" w:space="0" w:color="auto"/>
              <w:right w:val="single" w:sz="8" w:space="0" w:color="auto"/>
            </w:tcBorders>
            <w:shd w:val="clear" w:color="auto" w:fill="FFFFFF"/>
            <w:vAlign w:val="center"/>
            <w:hideMark/>
          </w:tcPr>
          <w:p w14:paraId="45712EAD"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1,000,000.00</w:t>
            </w:r>
          </w:p>
        </w:tc>
      </w:tr>
      <w:tr w:rsidR="00EA0FD7" w:rsidRPr="00EA0FD7" w14:paraId="3EBC0C94" w14:textId="77777777" w:rsidTr="00EA0FD7">
        <w:trPr>
          <w:trHeight w:val="260"/>
        </w:trPr>
        <w:tc>
          <w:tcPr>
            <w:tcW w:w="911" w:type="dxa"/>
            <w:tcBorders>
              <w:top w:val="nil"/>
              <w:left w:val="single" w:sz="8" w:space="0" w:color="auto"/>
              <w:bottom w:val="single" w:sz="8" w:space="0" w:color="auto"/>
              <w:right w:val="single" w:sz="8" w:space="0" w:color="auto"/>
            </w:tcBorders>
            <w:noWrap/>
            <w:vAlign w:val="center"/>
            <w:hideMark/>
          </w:tcPr>
          <w:p w14:paraId="20CD599A" w14:textId="77777777" w:rsidR="00EA0FD7" w:rsidRPr="00EA0FD7" w:rsidRDefault="00EA0FD7" w:rsidP="00EA0FD7">
            <w:pPr>
              <w:spacing w:after="0" w:line="240" w:lineRule="auto"/>
              <w:jc w:val="center"/>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1</w:t>
            </w:r>
          </w:p>
        </w:tc>
        <w:tc>
          <w:tcPr>
            <w:tcW w:w="3882" w:type="dxa"/>
            <w:tcBorders>
              <w:top w:val="nil"/>
              <w:left w:val="nil"/>
              <w:bottom w:val="single" w:sz="8" w:space="0" w:color="auto"/>
              <w:right w:val="single" w:sz="8" w:space="0" w:color="auto"/>
            </w:tcBorders>
            <w:noWrap/>
            <w:hideMark/>
          </w:tcPr>
          <w:p w14:paraId="00F335AD" w14:textId="77777777" w:rsidR="00EA0FD7" w:rsidRPr="00EA0FD7" w:rsidRDefault="00EA0FD7" w:rsidP="00EA0FD7">
            <w:pPr>
              <w:spacing w:after="0" w:line="240" w:lineRule="auto"/>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УКУПНО ДИРЕКТНИ ПОРЕЗИ</w:t>
            </w:r>
          </w:p>
        </w:tc>
        <w:tc>
          <w:tcPr>
            <w:tcW w:w="1485" w:type="dxa"/>
            <w:tcBorders>
              <w:top w:val="nil"/>
              <w:left w:val="nil"/>
              <w:bottom w:val="single" w:sz="8" w:space="0" w:color="auto"/>
              <w:right w:val="single" w:sz="8" w:space="0" w:color="auto"/>
            </w:tcBorders>
            <w:shd w:val="clear" w:color="auto" w:fill="FFFFFF"/>
            <w:vAlign w:val="center"/>
            <w:hideMark/>
          </w:tcPr>
          <w:p w14:paraId="0D5EE154"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27,331,052.12</w:t>
            </w:r>
          </w:p>
        </w:tc>
        <w:tc>
          <w:tcPr>
            <w:tcW w:w="1485" w:type="dxa"/>
            <w:tcBorders>
              <w:top w:val="nil"/>
              <w:left w:val="nil"/>
              <w:bottom w:val="single" w:sz="8" w:space="0" w:color="auto"/>
              <w:right w:val="single" w:sz="8" w:space="0" w:color="auto"/>
            </w:tcBorders>
            <w:shd w:val="clear" w:color="auto" w:fill="FFFFFF"/>
            <w:vAlign w:val="center"/>
            <w:hideMark/>
          </w:tcPr>
          <w:p w14:paraId="0BF6FED4"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33,000,000.00</w:t>
            </w:r>
          </w:p>
        </w:tc>
        <w:tc>
          <w:tcPr>
            <w:tcW w:w="1485" w:type="dxa"/>
            <w:tcBorders>
              <w:top w:val="nil"/>
              <w:left w:val="nil"/>
              <w:bottom w:val="single" w:sz="8" w:space="0" w:color="auto"/>
              <w:right w:val="single" w:sz="8" w:space="0" w:color="auto"/>
            </w:tcBorders>
            <w:shd w:val="clear" w:color="auto" w:fill="FFFFFF"/>
            <w:vAlign w:val="center"/>
            <w:hideMark/>
          </w:tcPr>
          <w:p w14:paraId="1D9AC98C"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8,799,250.44</w:t>
            </w:r>
          </w:p>
        </w:tc>
        <w:tc>
          <w:tcPr>
            <w:tcW w:w="1485" w:type="dxa"/>
            <w:tcBorders>
              <w:top w:val="nil"/>
              <w:left w:val="nil"/>
              <w:bottom w:val="single" w:sz="8" w:space="0" w:color="auto"/>
              <w:right w:val="single" w:sz="8" w:space="0" w:color="auto"/>
            </w:tcBorders>
            <w:shd w:val="clear" w:color="auto" w:fill="FFFFFF"/>
            <w:vAlign w:val="center"/>
            <w:hideMark/>
          </w:tcPr>
          <w:p w14:paraId="5632B65E"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33,132,000.00</w:t>
            </w:r>
          </w:p>
        </w:tc>
        <w:tc>
          <w:tcPr>
            <w:tcW w:w="1485" w:type="dxa"/>
            <w:tcBorders>
              <w:top w:val="nil"/>
              <w:left w:val="nil"/>
              <w:bottom w:val="single" w:sz="8" w:space="0" w:color="auto"/>
              <w:right w:val="single" w:sz="8" w:space="0" w:color="auto"/>
            </w:tcBorders>
            <w:shd w:val="clear" w:color="auto" w:fill="FFFFFF"/>
            <w:vAlign w:val="center"/>
            <w:hideMark/>
          </w:tcPr>
          <w:p w14:paraId="728B26AC"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33,132,000.00</w:t>
            </w:r>
          </w:p>
        </w:tc>
        <w:tc>
          <w:tcPr>
            <w:tcW w:w="1485" w:type="dxa"/>
            <w:tcBorders>
              <w:top w:val="nil"/>
              <w:left w:val="nil"/>
              <w:bottom w:val="single" w:sz="8" w:space="0" w:color="auto"/>
              <w:right w:val="single" w:sz="8" w:space="0" w:color="auto"/>
            </w:tcBorders>
            <w:shd w:val="clear" w:color="auto" w:fill="FFFFFF"/>
            <w:vAlign w:val="center"/>
            <w:hideMark/>
          </w:tcPr>
          <w:p w14:paraId="5F579A01"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33,132,000.00</w:t>
            </w:r>
          </w:p>
        </w:tc>
      </w:tr>
      <w:tr w:rsidR="00EA0FD7" w:rsidRPr="00EA0FD7" w14:paraId="5FC88DC8" w14:textId="77777777" w:rsidTr="00EA0FD7">
        <w:trPr>
          <w:trHeight w:val="408"/>
        </w:trPr>
        <w:tc>
          <w:tcPr>
            <w:tcW w:w="911" w:type="dxa"/>
            <w:tcBorders>
              <w:top w:val="nil"/>
              <w:left w:val="single" w:sz="8" w:space="0" w:color="auto"/>
              <w:bottom w:val="single" w:sz="8" w:space="0" w:color="auto"/>
              <w:right w:val="single" w:sz="8" w:space="0" w:color="auto"/>
            </w:tcBorders>
            <w:noWrap/>
            <w:vAlign w:val="center"/>
            <w:hideMark/>
          </w:tcPr>
          <w:p w14:paraId="4F3B590A"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715500</w:t>
            </w:r>
          </w:p>
        </w:tc>
        <w:tc>
          <w:tcPr>
            <w:tcW w:w="3882" w:type="dxa"/>
            <w:tcBorders>
              <w:top w:val="nil"/>
              <w:left w:val="nil"/>
              <w:bottom w:val="single" w:sz="8" w:space="0" w:color="auto"/>
              <w:right w:val="single" w:sz="8" w:space="0" w:color="auto"/>
            </w:tcBorders>
            <w:hideMark/>
          </w:tcPr>
          <w:p w14:paraId="32D3B537"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 xml:space="preserve">Индиректни порез, путарина и остали приходи </w:t>
            </w:r>
            <w:r w:rsidRPr="00EA0FD7">
              <w:rPr>
                <w:rFonts w:ascii="Arial" w:eastAsia="Times New Roman" w:hAnsi="Arial" w:cs="Arial"/>
                <w:color w:val="0000FF"/>
                <w:sz w:val="15"/>
                <w:szCs w:val="15"/>
                <w:lang w:val="sr-Cyrl-RS"/>
              </w:rPr>
              <w:br/>
              <w:t>дозначени од УИО у БиХ</w:t>
            </w:r>
          </w:p>
        </w:tc>
        <w:tc>
          <w:tcPr>
            <w:tcW w:w="1485" w:type="dxa"/>
            <w:tcBorders>
              <w:top w:val="nil"/>
              <w:left w:val="nil"/>
              <w:bottom w:val="single" w:sz="8" w:space="0" w:color="auto"/>
              <w:right w:val="single" w:sz="8" w:space="0" w:color="auto"/>
            </w:tcBorders>
            <w:shd w:val="clear" w:color="auto" w:fill="FFFFFF"/>
            <w:vAlign w:val="center"/>
            <w:hideMark/>
          </w:tcPr>
          <w:p w14:paraId="7EDBDDFC"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196,865,226.61</w:t>
            </w:r>
          </w:p>
        </w:tc>
        <w:tc>
          <w:tcPr>
            <w:tcW w:w="1485" w:type="dxa"/>
            <w:tcBorders>
              <w:top w:val="nil"/>
              <w:left w:val="nil"/>
              <w:bottom w:val="single" w:sz="8" w:space="0" w:color="auto"/>
              <w:right w:val="single" w:sz="8" w:space="0" w:color="auto"/>
            </w:tcBorders>
            <w:shd w:val="clear" w:color="auto" w:fill="FFFFFF"/>
            <w:vAlign w:val="center"/>
            <w:hideMark/>
          </w:tcPr>
          <w:p w14:paraId="53E01909"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186,900,000.00</w:t>
            </w:r>
          </w:p>
        </w:tc>
        <w:tc>
          <w:tcPr>
            <w:tcW w:w="1485" w:type="dxa"/>
            <w:tcBorders>
              <w:top w:val="nil"/>
              <w:left w:val="nil"/>
              <w:bottom w:val="single" w:sz="8" w:space="0" w:color="auto"/>
              <w:right w:val="single" w:sz="8" w:space="0" w:color="auto"/>
            </w:tcBorders>
            <w:vAlign w:val="center"/>
            <w:hideMark/>
          </w:tcPr>
          <w:p w14:paraId="572D5E49"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49,961,298.99</w:t>
            </w:r>
          </w:p>
        </w:tc>
        <w:tc>
          <w:tcPr>
            <w:tcW w:w="1485" w:type="dxa"/>
            <w:tcBorders>
              <w:top w:val="nil"/>
              <w:left w:val="nil"/>
              <w:bottom w:val="single" w:sz="8" w:space="0" w:color="auto"/>
              <w:right w:val="single" w:sz="8" w:space="0" w:color="auto"/>
            </w:tcBorders>
            <w:shd w:val="clear" w:color="auto" w:fill="FFFFFF"/>
            <w:vAlign w:val="center"/>
            <w:hideMark/>
          </w:tcPr>
          <w:p w14:paraId="02870591"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227,560,000.00</w:t>
            </w:r>
          </w:p>
        </w:tc>
        <w:tc>
          <w:tcPr>
            <w:tcW w:w="1485" w:type="dxa"/>
            <w:tcBorders>
              <w:top w:val="nil"/>
              <w:left w:val="nil"/>
              <w:bottom w:val="single" w:sz="8" w:space="0" w:color="auto"/>
              <w:right w:val="single" w:sz="8" w:space="0" w:color="auto"/>
            </w:tcBorders>
            <w:shd w:val="clear" w:color="auto" w:fill="FFFFFF"/>
            <w:vAlign w:val="center"/>
            <w:hideMark/>
          </w:tcPr>
          <w:p w14:paraId="10ED467F"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235,110,000.00</w:t>
            </w:r>
          </w:p>
        </w:tc>
        <w:tc>
          <w:tcPr>
            <w:tcW w:w="1485" w:type="dxa"/>
            <w:tcBorders>
              <w:top w:val="nil"/>
              <w:left w:val="nil"/>
              <w:bottom w:val="single" w:sz="8" w:space="0" w:color="auto"/>
              <w:right w:val="single" w:sz="8" w:space="0" w:color="auto"/>
            </w:tcBorders>
            <w:shd w:val="clear" w:color="auto" w:fill="FFFFFF"/>
            <w:vAlign w:val="center"/>
            <w:hideMark/>
          </w:tcPr>
          <w:p w14:paraId="79B6402A"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243,190,000.00</w:t>
            </w:r>
          </w:p>
        </w:tc>
      </w:tr>
      <w:tr w:rsidR="00EA0FD7" w:rsidRPr="00EA0FD7" w14:paraId="6AC4EB7F" w14:textId="77777777" w:rsidTr="00EA0FD7">
        <w:trPr>
          <w:trHeight w:val="198"/>
        </w:trPr>
        <w:tc>
          <w:tcPr>
            <w:tcW w:w="911" w:type="dxa"/>
            <w:tcBorders>
              <w:top w:val="nil"/>
              <w:left w:val="single" w:sz="8" w:space="0" w:color="auto"/>
              <w:bottom w:val="single" w:sz="8" w:space="0" w:color="auto"/>
              <w:right w:val="single" w:sz="8" w:space="0" w:color="auto"/>
            </w:tcBorders>
            <w:noWrap/>
            <w:vAlign w:val="center"/>
            <w:hideMark/>
          </w:tcPr>
          <w:p w14:paraId="2BF41BAE" w14:textId="77777777" w:rsidR="00EA0FD7" w:rsidRPr="00EA0FD7" w:rsidRDefault="00EA0FD7" w:rsidP="00EA0FD7">
            <w:pPr>
              <w:spacing w:after="0" w:line="240" w:lineRule="auto"/>
              <w:jc w:val="center"/>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w:t>
            </w:r>
          </w:p>
        </w:tc>
        <w:tc>
          <w:tcPr>
            <w:tcW w:w="3882" w:type="dxa"/>
            <w:tcBorders>
              <w:top w:val="nil"/>
              <w:left w:val="nil"/>
              <w:bottom w:val="single" w:sz="8" w:space="0" w:color="auto"/>
              <w:right w:val="single" w:sz="8" w:space="0" w:color="auto"/>
            </w:tcBorders>
            <w:vAlign w:val="center"/>
            <w:hideMark/>
          </w:tcPr>
          <w:p w14:paraId="4ED6BCE0" w14:textId="77777777" w:rsidR="00EA0FD7" w:rsidRPr="00EA0FD7" w:rsidRDefault="00EA0FD7" w:rsidP="00EA0FD7">
            <w:pPr>
              <w:spacing w:after="0" w:line="240" w:lineRule="auto"/>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УКУПНО  ИНДИРЕКТНИ ПОРЕЗИ</w:t>
            </w:r>
          </w:p>
        </w:tc>
        <w:tc>
          <w:tcPr>
            <w:tcW w:w="1485" w:type="dxa"/>
            <w:tcBorders>
              <w:top w:val="nil"/>
              <w:left w:val="nil"/>
              <w:bottom w:val="single" w:sz="8" w:space="0" w:color="auto"/>
              <w:right w:val="single" w:sz="8" w:space="0" w:color="auto"/>
            </w:tcBorders>
            <w:shd w:val="clear" w:color="auto" w:fill="FFFFFF"/>
            <w:vAlign w:val="center"/>
            <w:hideMark/>
          </w:tcPr>
          <w:p w14:paraId="1F18AEF9"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196,865,226.61</w:t>
            </w:r>
          </w:p>
        </w:tc>
        <w:tc>
          <w:tcPr>
            <w:tcW w:w="1485" w:type="dxa"/>
            <w:tcBorders>
              <w:top w:val="nil"/>
              <w:left w:val="nil"/>
              <w:bottom w:val="single" w:sz="8" w:space="0" w:color="auto"/>
              <w:right w:val="single" w:sz="8" w:space="0" w:color="auto"/>
            </w:tcBorders>
            <w:shd w:val="clear" w:color="auto" w:fill="FFFFFF"/>
            <w:vAlign w:val="center"/>
            <w:hideMark/>
          </w:tcPr>
          <w:p w14:paraId="10FD58E2"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186,900,000.00</w:t>
            </w:r>
          </w:p>
        </w:tc>
        <w:tc>
          <w:tcPr>
            <w:tcW w:w="1485" w:type="dxa"/>
            <w:tcBorders>
              <w:top w:val="nil"/>
              <w:left w:val="nil"/>
              <w:bottom w:val="single" w:sz="8" w:space="0" w:color="auto"/>
              <w:right w:val="single" w:sz="8" w:space="0" w:color="auto"/>
            </w:tcBorders>
            <w:shd w:val="clear" w:color="auto" w:fill="FFFFFF"/>
            <w:vAlign w:val="center"/>
            <w:hideMark/>
          </w:tcPr>
          <w:p w14:paraId="62478215"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49,961,298.99</w:t>
            </w:r>
          </w:p>
        </w:tc>
        <w:tc>
          <w:tcPr>
            <w:tcW w:w="1485" w:type="dxa"/>
            <w:tcBorders>
              <w:top w:val="nil"/>
              <w:left w:val="nil"/>
              <w:bottom w:val="single" w:sz="8" w:space="0" w:color="auto"/>
              <w:right w:val="single" w:sz="8" w:space="0" w:color="auto"/>
            </w:tcBorders>
            <w:shd w:val="clear" w:color="auto" w:fill="FFFFFF"/>
            <w:vAlign w:val="center"/>
            <w:hideMark/>
          </w:tcPr>
          <w:p w14:paraId="6C56515E"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227,560,000.00</w:t>
            </w:r>
          </w:p>
        </w:tc>
        <w:tc>
          <w:tcPr>
            <w:tcW w:w="1485" w:type="dxa"/>
            <w:tcBorders>
              <w:top w:val="nil"/>
              <w:left w:val="nil"/>
              <w:bottom w:val="single" w:sz="8" w:space="0" w:color="auto"/>
              <w:right w:val="single" w:sz="8" w:space="0" w:color="auto"/>
            </w:tcBorders>
            <w:shd w:val="clear" w:color="auto" w:fill="FFFFFF"/>
            <w:vAlign w:val="center"/>
            <w:hideMark/>
          </w:tcPr>
          <w:p w14:paraId="467C7903"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235,110,000.00</w:t>
            </w:r>
          </w:p>
        </w:tc>
        <w:tc>
          <w:tcPr>
            <w:tcW w:w="1485" w:type="dxa"/>
            <w:tcBorders>
              <w:top w:val="nil"/>
              <w:left w:val="nil"/>
              <w:bottom w:val="single" w:sz="8" w:space="0" w:color="auto"/>
              <w:right w:val="single" w:sz="8" w:space="0" w:color="auto"/>
            </w:tcBorders>
            <w:shd w:val="clear" w:color="auto" w:fill="FFFFFF"/>
            <w:vAlign w:val="center"/>
            <w:hideMark/>
          </w:tcPr>
          <w:p w14:paraId="303B374A"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243,190,000.00</w:t>
            </w:r>
          </w:p>
        </w:tc>
      </w:tr>
      <w:tr w:rsidR="00EA0FD7" w:rsidRPr="00EA0FD7" w14:paraId="386A8D81" w14:textId="77777777" w:rsidTr="00EA0FD7">
        <w:trPr>
          <w:trHeight w:val="185"/>
        </w:trPr>
        <w:tc>
          <w:tcPr>
            <w:tcW w:w="911" w:type="dxa"/>
            <w:tcBorders>
              <w:top w:val="nil"/>
              <w:left w:val="single" w:sz="8" w:space="0" w:color="auto"/>
              <w:bottom w:val="single" w:sz="8" w:space="0" w:color="auto"/>
              <w:right w:val="single" w:sz="8" w:space="0" w:color="auto"/>
            </w:tcBorders>
            <w:noWrap/>
            <w:vAlign w:val="center"/>
            <w:hideMark/>
          </w:tcPr>
          <w:p w14:paraId="19B2F52D" w14:textId="77777777" w:rsidR="00303EB7" w:rsidRDefault="00303EB7" w:rsidP="00EA0FD7">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II</w:t>
            </w:r>
          </w:p>
          <w:p w14:paraId="1F8B4A45" w14:textId="61B5E22E" w:rsidR="00EA0FD7" w:rsidRPr="00EA0FD7" w:rsidRDefault="00EA0FD7" w:rsidP="00EA0FD7">
            <w:pPr>
              <w:spacing w:after="0" w:line="240" w:lineRule="auto"/>
              <w:jc w:val="center"/>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720000</w:t>
            </w:r>
          </w:p>
        </w:tc>
        <w:tc>
          <w:tcPr>
            <w:tcW w:w="3882" w:type="dxa"/>
            <w:tcBorders>
              <w:top w:val="nil"/>
              <w:left w:val="nil"/>
              <w:bottom w:val="single" w:sz="8" w:space="0" w:color="auto"/>
              <w:right w:val="single" w:sz="8" w:space="0" w:color="auto"/>
            </w:tcBorders>
            <w:noWrap/>
            <w:hideMark/>
          </w:tcPr>
          <w:p w14:paraId="3DACF888" w14:textId="77777777" w:rsidR="00EA0FD7" w:rsidRPr="00EA0FD7" w:rsidRDefault="00EA0FD7" w:rsidP="00EA0FD7">
            <w:pPr>
              <w:spacing w:after="0" w:line="240" w:lineRule="auto"/>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НЕПОРЕСКИ ПРИХОДИ</w:t>
            </w:r>
          </w:p>
        </w:tc>
        <w:tc>
          <w:tcPr>
            <w:tcW w:w="1485" w:type="dxa"/>
            <w:tcBorders>
              <w:top w:val="nil"/>
              <w:left w:val="nil"/>
              <w:bottom w:val="single" w:sz="8" w:space="0" w:color="auto"/>
              <w:right w:val="single" w:sz="8" w:space="0" w:color="auto"/>
            </w:tcBorders>
            <w:shd w:val="clear" w:color="auto" w:fill="FFFFFF"/>
            <w:vAlign w:val="center"/>
            <w:hideMark/>
          </w:tcPr>
          <w:p w14:paraId="2FC74D7A"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11,736,721.64</w:t>
            </w:r>
          </w:p>
        </w:tc>
        <w:tc>
          <w:tcPr>
            <w:tcW w:w="1485" w:type="dxa"/>
            <w:tcBorders>
              <w:top w:val="nil"/>
              <w:left w:val="nil"/>
              <w:bottom w:val="single" w:sz="8" w:space="0" w:color="auto"/>
              <w:right w:val="single" w:sz="8" w:space="0" w:color="auto"/>
            </w:tcBorders>
            <w:shd w:val="clear" w:color="auto" w:fill="FFFFFF"/>
            <w:vAlign w:val="center"/>
            <w:hideMark/>
          </w:tcPr>
          <w:p w14:paraId="0BF41385"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12,719,824.16</w:t>
            </w:r>
          </w:p>
        </w:tc>
        <w:tc>
          <w:tcPr>
            <w:tcW w:w="1485" w:type="dxa"/>
            <w:tcBorders>
              <w:top w:val="nil"/>
              <w:left w:val="nil"/>
              <w:bottom w:val="single" w:sz="8" w:space="0" w:color="auto"/>
              <w:right w:val="single" w:sz="8" w:space="0" w:color="auto"/>
            </w:tcBorders>
            <w:shd w:val="clear" w:color="auto" w:fill="FFFFFF"/>
            <w:vAlign w:val="center"/>
            <w:hideMark/>
          </w:tcPr>
          <w:p w14:paraId="2D9D92C2"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3,162,023.52</w:t>
            </w:r>
          </w:p>
        </w:tc>
        <w:tc>
          <w:tcPr>
            <w:tcW w:w="1485" w:type="dxa"/>
            <w:tcBorders>
              <w:top w:val="nil"/>
              <w:left w:val="nil"/>
              <w:bottom w:val="single" w:sz="8" w:space="0" w:color="auto"/>
              <w:right w:val="single" w:sz="8" w:space="0" w:color="auto"/>
            </w:tcBorders>
            <w:shd w:val="clear" w:color="auto" w:fill="FFFFFF"/>
            <w:vAlign w:val="center"/>
            <w:hideMark/>
          </w:tcPr>
          <w:p w14:paraId="1113F439"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10,961,160.00</w:t>
            </w:r>
          </w:p>
        </w:tc>
        <w:tc>
          <w:tcPr>
            <w:tcW w:w="1485" w:type="dxa"/>
            <w:tcBorders>
              <w:top w:val="nil"/>
              <w:left w:val="nil"/>
              <w:bottom w:val="single" w:sz="8" w:space="0" w:color="auto"/>
              <w:right w:val="single" w:sz="8" w:space="0" w:color="auto"/>
            </w:tcBorders>
            <w:shd w:val="clear" w:color="auto" w:fill="FFFFFF"/>
            <w:vAlign w:val="center"/>
            <w:hideMark/>
          </w:tcPr>
          <w:p w14:paraId="458CD6B8"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11,142,483.00</w:t>
            </w:r>
          </w:p>
        </w:tc>
        <w:tc>
          <w:tcPr>
            <w:tcW w:w="1485" w:type="dxa"/>
            <w:tcBorders>
              <w:top w:val="nil"/>
              <w:left w:val="nil"/>
              <w:bottom w:val="single" w:sz="8" w:space="0" w:color="auto"/>
              <w:right w:val="single" w:sz="8" w:space="0" w:color="auto"/>
            </w:tcBorders>
            <w:shd w:val="clear" w:color="auto" w:fill="FFFFFF"/>
            <w:vAlign w:val="center"/>
            <w:hideMark/>
          </w:tcPr>
          <w:p w14:paraId="47162A88"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11,362,463.00</w:t>
            </w:r>
          </w:p>
        </w:tc>
      </w:tr>
      <w:tr w:rsidR="00EA0FD7" w:rsidRPr="00EA0FD7" w14:paraId="31C0379A" w14:textId="77777777" w:rsidTr="00EA0FD7">
        <w:trPr>
          <w:trHeight w:val="223"/>
        </w:trPr>
        <w:tc>
          <w:tcPr>
            <w:tcW w:w="911" w:type="dxa"/>
            <w:tcBorders>
              <w:top w:val="nil"/>
              <w:left w:val="single" w:sz="8" w:space="0" w:color="auto"/>
              <w:bottom w:val="single" w:sz="8" w:space="0" w:color="auto"/>
              <w:right w:val="single" w:sz="8" w:space="0" w:color="auto"/>
            </w:tcBorders>
            <w:noWrap/>
            <w:vAlign w:val="center"/>
            <w:hideMark/>
          </w:tcPr>
          <w:p w14:paraId="6AC36F7E"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721100</w:t>
            </w:r>
          </w:p>
        </w:tc>
        <w:tc>
          <w:tcPr>
            <w:tcW w:w="3882" w:type="dxa"/>
            <w:tcBorders>
              <w:top w:val="nil"/>
              <w:left w:val="nil"/>
              <w:bottom w:val="single" w:sz="8" w:space="0" w:color="auto"/>
              <w:right w:val="single" w:sz="8" w:space="0" w:color="auto"/>
            </w:tcBorders>
            <w:shd w:val="clear" w:color="auto" w:fill="FFFFFF"/>
            <w:hideMark/>
          </w:tcPr>
          <w:p w14:paraId="6699289C"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Приходи од финансијске и нефинансијске имовине</w:t>
            </w:r>
          </w:p>
        </w:tc>
        <w:tc>
          <w:tcPr>
            <w:tcW w:w="1485" w:type="dxa"/>
            <w:tcBorders>
              <w:top w:val="nil"/>
              <w:left w:val="nil"/>
              <w:bottom w:val="single" w:sz="8" w:space="0" w:color="auto"/>
              <w:right w:val="single" w:sz="8" w:space="0" w:color="auto"/>
            </w:tcBorders>
            <w:shd w:val="clear" w:color="auto" w:fill="FFFFFF"/>
            <w:vAlign w:val="center"/>
            <w:hideMark/>
          </w:tcPr>
          <w:p w14:paraId="1CB7E1D5"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926,526.14</w:t>
            </w:r>
          </w:p>
        </w:tc>
        <w:tc>
          <w:tcPr>
            <w:tcW w:w="1485" w:type="dxa"/>
            <w:tcBorders>
              <w:top w:val="nil"/>
              <w:left w:val="nil"/>
              <w:bottom w:val="single" w:sz="8" w:space="0" w:color="auto"/>
              <w:right w:val="single" w:sz="8" w:space="0" w:color="auto"/>
            </w:tcBorders>
            <w:shd w:val="clear" w:color="auto" w:fill="FFFFFF"/>
            <w:vAlign w:val="center"/>
            <w:hideMark/>
          </w:tcPr>
          <w:p w14:paraId="555F7734"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950,275.00</w:t>
            </w:r>
          </w:p>
        </w:tc>
        <w:tc>
          <w:tcPr>
            <w:tcW w:w="1485" w:type="dxa"/>
            <w:tcBorders>
              <w:top w:val="nil"/>
              <w:left w:val="nil"/>
              <w:bottom w:val="single" w:sz="8" w:space="0" w:color="auto"/>
              <w:right w:val="single" w:sz="8" w:space="0" w:color="auto"/>
            </w:tcBorders>
            <w:shd w:val="clear" w:color="auto" w:fill="FFFFFF"/>
            <w:vAlign w:val="center"/>
            <w:hideMark/>
          </w:tcPr>
          <w:p w14:paraId="4A6CE307"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217,653.83</w:t>
            </w:r>
          </w:p>
        </w:tc>
        <w:tc>
          <w:tcPr>
            <w:tcW w:w="1485" w:type="dxa"/>
            <w:tcBorders>
              <w:top w:val="nil"/>
              <w:left w:val="nil"/>
              <w:bottom w:val="single" w:sz="8" w:space="0" w:color="auto"/>
              <w:right w:val="single" w:sz="8" w:space="0" w:color="auto"/>
            </w:tcBorders>
            <w:shd w:val="clear" w:color="auto" w:fill="FFFFFF"/>
            <w:vAlign w:val="center"/>
            <w:hideMark/>
          </w:tcPr>
          <w:p w14:paraId="4E4E54EA"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948,735.00</w:t>
            </w:r>
          </w:p>
        </w:tc>
        <w:tc>
          <w:tcPr>
            <w:tcW w:w="1485" w:type="dxa"/>
            <w:tcBorders>
              <w:top w:val="nil"/>
              <w:left w:val="nil"/>
              <w:bottom w:val="single" w:sz="8" w:space="0" w:color="auto"/>
              <w:right w:val="single" w:sz="8" w:space="0" w:color="auto"/>
            </w:tcBorders>
            <w:shd w:val="clear" w:color="auto" w:fill="FFFFFF"/>
            <w:vAlign w:val="center"/>
            <w:hideMark/>
          </w:tcPr>
          <w:p w14:paraId="2E1C78E3"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948,720.00</w:t>
            </w:r>
          </w:p>
        </w:tc>
        <w:tc>
          <w:tcPr>
            <w:tcW w:w="1485" w:type="dxa"/>
            <w:tcBorders>
              <w:top w:val="nil"/>
              <w:left w:val="nil"/>
              <w:bottom w:val="single" w:sz="8" w:space="0" w:color="auto"/>
              <w:right w:val="single" w:sz="8" w:space="0" w:color="auto"/>
            </w:tcBorders>
            <w:shd w:val="clear" w:color="auto" w:fill="FFFFFF"/>
            <w:vAlign w:val="center"/>
            <w:hideMark/>
          </w:tcPr>
          <w:p w14:paraId="15567B2D"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948,720.00</w:t>
            </w:r>
          </w:p>
        </w:tc>
      </w:tr>
      <w:tr w:rsidR="00EA0FD7" w:rsidRPr="00EA0FD7" w14:paraId="23BF743B" w14:textId="77777777" w:rsidTr="00EA0FD7">
        <w:trPr>
          <w:trHeight w:val="161"/>
        </w:trPr>
        <w:tc>
          <w:tcPr>
            <w:tcW w:w="911" w:type="dxa"/>
            <w:tcBorders>
              <w:top w:val="nil"/>
              <w:left w:val="single" w:sz="8" w:space="0" w:color="auto"/>
              <w:bottom w:val="single" w:sz="8" w:space="0" w:color="auto"/>
              <w:right w:val="single" w:sz="8" w:space="0" w:color="auto"/>
            </w:tcBorders>
            <w:noWrap/>
            <w:vAlign w:val="center"/>
            <w:hideMark/>
          </w:tcPr>
          <w:p w14:paraId="3621E903"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721200</w:t>
            </w:r>
          </w:p>
        </w:tc>
        <w:tc>
          <w:tcPr>
            <w:tcW w:w="3882" w:type="dxa"/>
            <w:tcBorders>
              <w:top w:val="nil"/>
              <w:left w:val="nil"/>
              <w:bottom w:val="single" w:sz="8" w:space="0" w:color="auto"/>
              <w:right w:val="single" w:sz="8" w:space="0" w:color="auto"/>
            </w:tcBorders>
            <w:noWrap/>
            <w:hideMark/>
          </w:tcPr>
          <w:p w14:paraId="4DF4D84E"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Остали приходи од имовине</w:t>
            </w:r>
          </w:p>
        </w:tc>
        <w:tc>
          <w:tcPr>
            <w:tcW w:w="1485" w:type="dxa"/>
            <w:tcBorders>
              <w:top w:val="nil"/>
              <w:left w:val="nil"/>
              <w:bottom w:val="single" w:sz="8" w:space="0" w:color="auto"/>
              <w:right w:val="single" w:sz="8" w:space="0" w:color="auto"/>
            </w:tcBorders>
            <w:shd w:val="clear" w:color="auto" w:fill="FFFFFF"/>
            <w:vAlign w:val="center"/>
            <w:hideMark/>
          </w:tcPr>
          <w:p w14:paraId="451AF55D"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2,294,812.03</w:t>
            </w:r>
          </w:p>
        </w:tc>
        <w:tc>
          <w:tcPr>
            <w:tcW w:w="1485" w:type="dxa"/>
            <w:tcBorders>
              <w:top w:val="nil"/>
              <w:left w:val="nil"/>
              <w:bottom w:val="single" w:sz="8" w:space="0" w:color="auto"/>
              <w:right w:val="single" w:sz="8" w:space="0" w:color="auto"/>
            </w:tcBorders>
            <w:shd w:val="clear" w:color="auto" w:fill="FFFFFF"/>
            <w:vAlign w:val="center"/>
            <w:hideMark/>
          </w:tcPr>
          <w:p w14:paraId="3643C023"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2,708,226.00</w:t>
            </w:r>
          </w:p>
        </w:tc>
        <w:tc>
          <w:tcPr>
            <w:tcW w:w="1485" w:type="dxa"/>
            <w:tcBorders>
              <w:top w:val="nil"/>
              <w:left w:val="nil"/>
              <w:bottom w:val="single" w:sz="8" w:space="0" w:color="auto"/>
              <w:right w:val="single" w:sz="8" w:space="0" w:color="auto"/>
            </w:tcBorders>
            <w:shd w:val="clear" w:color="auto" w:fill="FFFFFF"/>
            <w:vAlign w:val="center"/>
            <w:hideMark/>
          </w:tcPr>
          <w:p w14:paraId="602EBFE7"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735,398.19</w:t>
            </w:r>
          </w:p>
        </w:tc>
        <w:tc>
          <w:tcPr>
            <w:tcW w:w="1485" w:type="dxa"/>
            <w:tcBorders>
              <w:top w:val="nil"/>
              <w:left w:val="nil"/>
              <w:bottom w:val="single" w:sz="8" w:space="0" w:color="auto"/>
              <w:right w:val="single" w:sz="8" w:space="0" w:color="auto"/>
            </w:tcBorders>
            <w:shd w:val="clear" w:color="auto" w:fill="FFFFFF"/>
            <w:vAlign w:val="center"/>
            <w:hideMark/>
          </w:tcPr>
          <w:p w14:paraId="7C84DBCD"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1,382,184.00</w:t>
            </w:r>
          </w:p>
        </w:tc>
        <w:tc>
          <w:tcPr>
            <w:tcW w:w="1485" w:type="dxa"/>
            <w:tcBorders>
              <w:top w:val="nil"/>
              <w:left w:val="nil"/>
              <w:bottom w:val="single" w:sz="8" w:space="0" w:color="auto"/>
              <w:right w:val="single" w:sz="8" w:space="0" w:color="auto"/>
            </w:tcBorders>
            <w:shd w:val="clear" w:color="auto" w:fill="FFFFFF"/>
            <w:vAlign w:val="center"/>
            <w:hideMark/>
          </w:tcPr>
          <w:p w14:paraId="0FF15457"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1,334,812.00</w:t>
            </w:r>
          </w:p>
        </w:tc>
        <w:tc>
          <w:tcPr>
            <w:tcW w:w="1485" w:type="dxa"/>
            <w:tcBorders>
              <w:top w:val="nil"/>
              <w:left w:val="nil"/>
              <w:bottom w:val="single" w:sz="8" w:space="0" w:color="auto"/>
              <w:right w:val="single" w:sz="8" w:space="0" w:color="auto"/>
            </w:tcBorders>
            <w:shd w:val="clear" w:color="auto" w:fill="FFFFFF"/>
            <w:vAlign w:val="center"/>
            <w:hideMark/>
          </w:tcPr>
          <w:p w14:paraId="383D53AA"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1,313,992.00</w:t>
            </w:r>
          </w:p>
        </w:tc>
      </w:tr>
      <w:tr w:rsidR="00EA0FD7" w:rsidRPr="00EA0FD7" w14:paraId="06626141"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02DABC40"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721600</w:t>
            </w:r>
          </w:p>
        </w:tc>
        <w:tc>
          <w:tcPr>
            <w:tcW w:w="3882" w:type="dxa"/>
            <w:tcBorders>
              <w:top w:val="nil"/>
              <w:left w:val="nil"/>
              <w:bottom w:val="single" w:sz="8" w:space="0" w:color="auto"/>
              <w:right w:val="single" w:sz="8" w:space="0" w:color="auto"/>
            </w:tcBorders>
            <w:noWrap/>
            <w:hideMark/>
          </w:tcPr>
          <w:p w14:paraId="1C749B4D"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Приходи од приватизације станова и пословних простора</w:t>
            </w:r>
          </w:p>
        </w:tc>
        <w:tc>
          <w:tcPr>
            <w:tcW w:w="1485" w:type="dxa"/>
            <w:tcBorders>
              <w:top w:val="nil"/>
              <w:left w:val="nil"/>
              <w:bottom w:val="single" w:sz="8" w:space="0" w:color="auto"/>
              <w:right w:val="single" w:sz="8" w:space="0" w:color="auto"/>
            </w:tcBorders>
            <w:shd w:val="clear" w:color="auto" w:fill="FFFFFF"/>
            <w:vAlign w:val="center"/>
            <w:hideMark/>
          </w:tcPr>
          <w:p w14:paraId="4076875B"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64,646.21</w:t>
            </w:r>
          </w:p>
        </w:tc>
        <w:tc>
          <w:tcPr>
            <w:tcW w:w="1485" w:type="dxa"/>
            <w:tcBorders>
              <w:top w:val="nil"/>
              <w:left w:val="nil"/>
              <w:bottom w:val="single" w:sz="8" w:space="0" w:color="auto"/>
              <w:right w:val="single" w:sz="8" w:space="0" w:color="auto"/>
            </w:tcBorders>
            <w:shd w:val="clear" w:color="auto" w:fill="FFFFFF"/>
            <w:vAlign w:val="center"/>
            <w:hideMark/>
          </w:tcPr>
          <w:p w14:paraId="1E338940"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1,090,000.00</w:t>
            </w:r>
          </w:p>
        </w:tc>
        <w:tc>
          <w:tcPr>
            <w:tcW w:w="1485" w:type="dxa"/>
            <w:tcBorders>
              <w:top w:val="nil"/>
              <w:left w:val="nil"/>
              <w:bottom w:val="single" w:sz="8" w:space="0" w:color="auto"/>
              <w:right w:val="single" w:sz="8" w:space="0" w:color="auto"/>
            </w:tcBorders>
            <w:shd w:val="clear" w:color="auto" w:fill="FFFFFF"/>
            <w:vAlign w:val="center"/>
            <w:hideMark/>
          </w:tcPr>
          <w:p w14:paraId="3A2511E6"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10,568.76</w:t>
            </w:r>
          </w:p>
        </w:tc>
        <w:tc>
          <w:tcPr>
            <w:tcW w:w="1485" w:type="dxa"/>
            <w:tcBorders>
              <w:top w:val="nil"/>
              <w:left w:val="nil"/>
              <w:bottom w:val="single" w:sz="8" w:space="0" w:color="auto"/>
              <w:right w:val="single" w:sz="8" w:space="0" w:color="auto"/>
            </w:tcBorders>
            <w:shd w:val="clear" w:color="auto" w:fill="FFFFFF"/>
            <w:vAlign w:val="center"/>
            <w:hideMark/>
          </w:tcPr>
          <w:p w14:paraId="3B2C807E"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170,000.00</w:t>
            </w:r>
          </w:p>
        </w:tc>
        <w:tc>
          <w:tcPr>
            <w:tcW w:w="1485" w:type="dxa"/>
            <w:tcBorders>
              <w:top w:val="nil"/>
              <w:left w:val="nil"/>
              <w:bottom w:val="single" w:sz="8" w:space="0" w:color="auto"/>
              <w:right w:val="single" w:sz="8" w:space="0" w:color="auto"/>
            </w:tcBorders>
            <w:shd w:val="clear" w:color="auto" w:fill="FFFFFF"/>
            <w:vAlign w:val="center"/>
            <w:hideMark/>
          </w:tcPr>
          <w:p w14:paraId="354A36BE"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170,000.00</w:t>
            </w:r>
          </w:p>
        </w:tc>
        <w:tc>
          <w:tcPr>
            <w:tcW w:w="1485" w:type="dxa"/>
            <w:tcBorders>
              <w:top w:val="nil"/>
              <w:left w:val="nil"/>
              <w:bottom w:val="single" w:sz="8" w:space="0" w:color="auto"/>
              <w:right w:val="single" w:sz="8" w:space="0" w:color="auto"/>
            </w:tcBorders>
            <w:shd w:val="clear" w:color="auto" w:fill="FFFFFF"/>
            <w:vAlign w:val="center"/>
            <w:hideMark/>
          </w:tcPr>
          <w:p w14:paraId="7B22F01C"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170,000.00</w:t>
            </w:r>
          </w:p>
        </w:tc>
      </w:tr>
      <w:tr w:rsidR="00EA0FD7" w:rsidRPr="00EA0FD7" w14:paraId="7ED0626B"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0739B07E"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722100</w:t>
            </w:r>
          </w:p>
        </w:tc>
        <w:tc>
          <w:tcPr>
            <w:tcW w:w="3882" w:type="dxa"/>
            <w:tcBorders>
              <w:top w:val="nil"/>
              <w:left w:val="nil"/>
              <w:bottom w:val="single" w:sz="8" w:space="0" w:color="auto"/>
              <w:right w:val="single" w:sz="8" w:space="0" w:color="auto"/>
            </w:tcBorders>
            <w:shd w:val="clear" w:color="auto" w:fill="FFFFFF"/>
            <w:hideMark/>
          </w:tcPr>
          <w:p w14:paraId="4B3475E3"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Административне таксе</w:t>
            </w:r>
          </w:p>
        </w:tc>
        <w:tc>
          <w:tcPr>
            <w:tcW w:w="1485" w:type="dxa"/>
            <w:tcBorders>
              <w:top w:val="nil"/>
              <w:left w:val="nil"/>
              <w:bottom w:val="single" w:sz="8" w:space="0" w:color="auto"/>
              <w:right w:val="single" w:sz="8" w:space="0" w:color="auto"/>
            </w:tcBorders>
            <w:vAlign w:val="center"/>
            <w:hideMark/>
          </w:tcPr>
          <w:p w14:paraId="369B746F"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807,523.69</w:t>
            </w:r>
          </w:p>
        </w:tc>
        <w:tc>
          <w:tcPr>
            <w:tcW w:w="1485" w:type="dxa"/>
            <w:tcBorders>
              <w:top w:val="nil"/>
              <w:left w:val="nil"/>
              <w:bottom w:val="single" w:sz="8" w:space="0" w:color="auto"/>
              <w:right w:val="single" w:sz="8" w:space="0" w:color="auto"/>
            </w:tcBorders>
            <w:shd w:val="clear" w:color="auto" w:fill="FFFFFF"/>
            <w:vAlign w:val="center"/>
            <w:hideMark/>
          </w:tcPr>
          <w:p w14:paraId="04CEA08B"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718,080.00</w:t>
            </w:r>
          </w:p>
        </w:tc>
        <w:tc>
          <w:tcPr>
            <w:tcW w:w="1485" w:type="dxa"/>
            <w:tcBorders>
              <w:top w:val="nil"/>
              <w:left w:val="nil"/>
              <w:bottom w:val="single" w:sz="8" w:space="0" w:color="auto"/>
              <w:right w:val="single" w:sz="8" w:space="0" w:color="auto"/>
            </w:tcBorders>
            <w:shd w:val="clear" w:color="auto" w:fill="FFFFFF"/>
            <w:vAlign w:val="center"/>
            <w:hideMark/>
          </w:tcPr>
          <w:p w14:paraId="05F19C49"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198,919.79</w:t>
            </w:r>
          </w:p>
        </w:tc>
        <w:tc>
          <w:tcPr>
            <w:tcW w:w="1485" w:type="dxa"/>
            <w:tcBorders>
              <w:top w:val="nil"/>
              <w:left w:val="nil"/>
              <w:bottom w:val="single" w:sz="8" w:space="0" w:color="auto"/>
              <w:right w:val="single" w:sz="8" w:space="0" w:color="auto"/>
            </w:tcBorders>
            <w:shd w:val="clear" w:color="auto" w:fill="FFFFFF"/>
            <w:vAlign w:val="center"/>
            <w:hideMark/>
          </w:tcPr>
          <w:p w14:paraId="2105614E"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897,890.00</w:t>
            </w:r>
          </w:p>
        </w:tc>
        <w:tc>
          <w:tcPr>
            <w:tcW w:w="1485" w:type="dxa"/>
            <w:tcBorders>
              <w:top w:val="nil"/>
              <w:left w:val="nil"/>
              <w:bottom w:val="single" w:sz="8" w:space="0" w:color="auto"/>
              <w:right w:val="single" w:sz="8" w:space="0" w:color="auto"/>
            </w:tcBorders>
            <w:shd w:val="clear" w:color="auto" w:fill="FFFFFF"/>
            <w:vAlign w:val="center"/>
            <w:hideMark/>
          </w:tcPr>
          <w:p w14:paraId="6672BD6F"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1,014,520.00</w:t>
            </w:r>
          </w:p>
        </w:tc>
        <w:tc>
          <w:tcPr>
            <w:tcW w:w="1485" w:type="dxa"/>
            <w:tcBorders>
              <w:top w:val="nil"/>
              <w:left w:val="nil"/>
              <w:bottom w:val="single" w:sz="8" w:space="0" w:color="auto"/>
              <w:right w:val="single" w:sz="8" w:space="0" w:color="auto"/>
            </w:tcBorders>
            <w:shd w:val="clear" w:color="auto" w:fill="FFFFFF"/>
            <w:vAlign w:val="center"/>
            <w:hideMark/>
          </w:tcPr>
          <w:p w14:paraId="5ADA2BD5"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1,138,420.00</w:t>
            </w:r>
          </w:p>
        </w:tc>
      </w:tr>
      <w:tr w:rsidR="00EA0FD7" w:rsidRPr="00EA0FD7" w14:paraId="7F4CB274"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1B5C8D1F"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722200</w:t>
            </w:r>
          </w:p>
        </w:tc>
        <w:tc>
          <w:tcPr>
            <w:tcW w:w="3882" w:type="dxa"/>
            <w:tcBorders>
              <w:top w:val="nil"/>
              <w:left w:val="nil"/>
              <w:bottom w:val="single" w:sz="8" w:space="0" w:color="auto"/>
              <w:right w:val="single" w:sz="8" w:space="0" w:color="auto"/>
            </w:tcBorders>
            <w:noWrap/>
            <w:hideMark/>
          </w:tcPr>
          <w:p w14:paraId="489EA79E"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Судске таксе и судске накнаде</w:t>
            </w:r>
          </w:p>
        </w:tc>
        <w:tc>
          <w:tcPr>
            <w:tcW w:w="1485" w:type="dxa"/>
            <w:tcBorders>
              <w:top w:val="nil"/>
              <w:left w:val="nil"/>
              <w:bottom w:val="single" w:sz="8" w:space="0" w:color="auto"/>
              <w:right w:val="single" w:sz="8" w:space="0" w:color="auto"/>
            </w:tcBorders>
            <w:shd w:val="clear" w:color="auto" w:fill="FFFFFF"/>
            <w:vAlign w:val="center"/>
            <w:hideMark/>
          </w:tcPr>
          <w:p w14:paraId="09912B93"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1,292,577.05</w:t>
            </w:r>
          </w:p>
        </w:tc>
        <w:tc>
          <w:tcPr>
            <w:tcW w:w="1485" w:type="dxa"/>
            <w:tcBorders>
              <w:top w:val="nil"/>
              <w:left w:val="nil"/>
              <w:bottom w:val="single" w:sz="8" w:space="0" w:color="auto"/>
              <w:right w:val="single" w:sz="8" w:space="0" w:color="auto"/>
            </w:tcBorders>
            <w:shd w:val="clear" w:color="auto" w:fill="FFFFFF"/>
            <w:vAlign w:val="center"/>
            <w:hideMark/>
          </w:tcPr>
          <w:p w14:paraId="21414B58"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1,105,050.00</w:t>
            </w:r>
          </w:p>
        </w:tc>
        <w:tc>
          <w:tcPr>
            <w:tcW w:w="1485" w:type="dxa"/>
            <w:tcBorders>
              <w:top w:val="nil"/>
              <w:left w:val="nil"/>
              <w:bottom w:val="single" w:sz="8" w:space="0" w:color="auto"/>
              <w:right w:val="single" w:sz="8" w:space="0" w:color="auto"/>
            </w:tcBorders>
            <w:shd w:val="clear" w:color="auto" w:fill="FFFFFF"/>
            <w:vAlign w:val="center"/>
            <w:hideMark/>
          </w:tcPr>
          <w:p w14:paraId="60F4377F"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315,779.95</w:t>
            </w:r>
          </w:p>
        </w:tc>
        <w:tc>
          <w:tcPr>
            <w:tcW w:w="1485" w:type="dxa"/>
            <w:tcBorders>
              <w:top w:val="nil"/>
              <w:left w:val="nil"/>
              <w:bottom w:val="single" w:sz="8" w:space="0" w:color="auto"/>
              <w:right w:val="single" w:sz="8" w:space="0" w:color="auto"/>
            </w:tcBorders>
            <w:shd w:val="clear" w:color="auto" w:fill="FFFFFF"/>
            <w:vAlign w:val="center"/>
            <w:hideMark/>
          </w:tcPr>
          <w:p w14:paraId="1401FCC0"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1,325,550.00</w:t>
            </w:r>
          </w:p>
        </w:tc>
        <w:tc>
          <w:tcPr>
            <w:tcW w:w="1485" w:type="dxa"/>
            <w:tcBorders>
              <w:top w:val="nil"/>
              <w:left w:val="nil"/>
              <w:bottom w:val="single" w:sz="8" w:space="0" w:color="auto"/>
              <w:right w:val="single" w:sz="8" w:space="0" w:color="auto"/>
            </w:tcBorders>
            <w:shd w:val="clear" w:color="auto" w:fill="FFFFFF"/>
            <w:vAlign w:val="center"/>
            <w:hideMark/>
          </w:tcPr>
          <w:p w14:paraId="2B49FDA9"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1,396,050.00</w:t>
            </w:r>
          </w:p>
        </w:tc>
        <w:tc>
          <w:tcPr>
            <w:tcW w:w="1485" w:type="dxa"/>
            <w:tcBorders>
              <w:top w:val="nil"/>
              <w:left w:val="nil"/>
              <w:bottom w:val="single" w:sz="8" w:space="0" w:color="auto"/>
              <w:right w:val="single" w:sz="8" w:space="0" w:color="auto"/>
            </w:tcBorders>
            <w:shd w:val="clear" w:color="auto" w:fill="FFFFFF"/>
            <w:vAlign w:val="center"/>
            <w:hideMark/>
          </w:tcPr>
          <w:p w14:paraId="509500CE"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1,456,350.00</w:t>
            </w:r>
          </w:p>
        </w:tc>
      </w:tr>
      <w:tr w:rsidR="00EA0FD7" w:rsidRPr="00EA0FD7" w14:paraId="05369AB1"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3C670141"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722300</w:t>
            </w:r>
          </w:p>
        </w:tc>
        <w:tc>
          <w:tcPr>
            <w:tcW w:w="3882" w:type="dxa"/>
            <w:tcBorders>
              <w:top w:val="nil"/>
              <w:left w:val="nil"/>
              <w:bottom w:val="single" w:sz="8" w:space="0" w:color="auto"/>
              <w:right w:val="single" w:sz="8" w:space="0" w:color="auto"/>
            </w:tcBorders>
            <w:noWrap/>
            <w:hideMark/>
          </w:tcPr>
          <w:p w14:paraId="56A7F0DB"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Комуналне таксе</w:t>
            </w:r>
          </w:p>
        </w:tc>
        <w:tc>
          <w:tcPr>
            <w:tcW w:w="1485" w:type="dxa"/>
            <w:tcBorders>
              <w:top w:val="nil"/>
              <w:left w:val="nil"/>
              <w:bottom w:val="single" w:sz="8" w:space="0" w:color="auto"/>
              <w:right w:val="single" w:sz="8" w:space="0" w:color="auto"/>
            </w:tcBorders>
            <w:shd w:val="clear" w:color="auto" w:fill="FFFFFF"/>
            <w:vAlign w:val="center"/>
            <w:hideMark/>
          </w:tcPr>
          <w:p w14:paraId="03CFDE06"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396,230.64</w:t>
            </w:r>
          </w:p>
        </w:tc>
        <w:tc>
          <w:tcPr>
            <w:tcW w:w="1485" w:type="dxa"/>
            <w:tcBorders>
              <w:top w:val="nil"/>
              <w:left w:val="nil"/>
              <w:bottom w:val="single" w:sz="8" w:space="0" w:color="auto"/>
              <w:right w:val="single" w:sz="8" w:space="0" w:color="auto"/>
            </w:tcBorders>
            <w:shd w:val="clear" w:color="auto" w:fill="FFFFFF"/>
            <w:vAlign w:val="center"/>
            <w:hideMark/>
          </w:tcPr>
          <w:p w14:paraId="58854533"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355,140.00</w:t>
            </w:r>
          </w:p>
        </w:tc>
        <w:tc>
          <w:tcPr>
            <w:tcW w:w="1485" w:type="dxa"/>
            <w:tcBorders>
              <w:top w:val="nil"/>
              <w:left w:val="nil"/>
              <w:bottom w:val="single" w:sz="8" w:space="0" w:color="auto"/>
              <w:right w:val="single" w:sz="8" w:space="0" w:color="auto"/>
            </w:tcBorders>
            <w:shd w:val="clear" w:color="auto" w:fill="FFFFFF"/>
            <w:vAlign w:val="center"/>
            <w:hideMark/>
          </w:tcPr>
          <w:p w14:paraId="0BBC9823"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40,878.73</w:t>
            </w:r>
          </w:p>
        </w:tc>
        <w:tc>
          <w:tcPr>
            <w:tcW w:w="1485" w:type="dxa"/>
            <w:tcBorders>
              <w:top w:val="nil"/>
              <w:left w:val="nil"/>
              <w:bottom w:val="single" w:sz="8" w:space="0" w:color="auto"/>
              <w:right w:val="single" w:sz="8" w:space="0" w:color="auto"/>
            </w:tcBorders>
            <w:shd w:val="clear" w:color="auto" w:fill="FFFFFF"/>
            <w:vAlign w:val="center"/>
            <w:hideMark/>
          </w:tcPr>
          <w:p w14:paraId="5D252BB0"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400,070.00</w:t>
            </w:r>
          </w:p>
        </w:tc>
        <w:tc>
          <w:tcPr>
            <w:tcW w:w="1485" w:type="dxa"/>
            <w:tcBorders>
              <w:top w:val="nil"/>
              <w:left w:val="nil"/>
              <w:bottom w:val="single" w:sz="8" w:space="0" w:color="auto"/>
              <w:right w:val="single" w:sz="8" w:space="0" w:color="auto"/>
            </w:tcBorders>
            <w:shd w:val="clear" w:color="auto" w:fill="FFFFFF"/>
            <w:vAlign w:val="center"/>
            <w:hideMark/>
          </w:tcPr>
          <w:p w14:paraId="7609E8E2"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400,000.00</w:t>
            </w:r>
          </w:p>
        </w:tc>
        <w:tc>
          <w:tcPr>
            <w:tcW w:w="1485" w:type="dxa"/>
            <w:tcBorders>
              <w:top w:val="nil"/>
              <w:left w:val="nil"/>
              <w:bottom w:val="single" w:sz="8" w:space="0" w:color="auto"/>
              <w:right w:val="single" w:sz="8" w:space="0" w:color="auto"/>
            </w:tcBorders>
            <w:shd w:val="clear" w:color="auto" w:fill="FFFFFF"/>
            <w:vAlign w:val="center"/>
            <w:hideMark/>
          </w:tcPr>
          <w:p w14:paraId="75382028"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400,000.00</w:t>
            </w:r>
          </w:p>
        </w:tc>
      </w:tr>
      <w:tr w:rsidR="00EA0FD7" w:rsidRPr="00EA0FD7" w14:paraId="785EE955"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1AD92B08"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722400</w:t>
            </w:r>
          </w:p>
        </w:tc>
        <w:tc>
          <w:tcPr>
            <w:tcW w:w="3882" w:type="dxa"/>
            <w:tcBorders>
              <w:top w:val="nil"/>
              <w:left w:val="nil"/>
              <w:bottom w:val="single" w:sz="8" w:space="0" w:color="auto"/>
              <w:right w:val="single" w:sz="8" w:space="0" w:color="auto"/>
            </w:tcBorders>
            <w:noWrap/>
            <w:hideMark/>
          </w:tcPr>
          <w:p w14:paraId="18548443"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Остале буџетске накнаде и таксе</w:t>
            </w:r>
          </w:p>
        </w:tc>
        <w:tc>
          <w:tcPr>
            <w:tcW w:w="1485" w:type="dxa"/>
            <w:tcBorders>
              <w:top w:val="nil"/>
              <w:left w:val="nil"/>
              <w:bottom w:val="single" w:sz="8" w:space="0" w:color="auto"/>
              <w:right w:val="single" w:sz="8" w:space="0" w:color="auto"/>
            </w:tcBorders>
            <w:shd w:val="clear" w:color="auto" w:fill="FFFFFF"/>
            <w:vAlign w:val="center"/>
            <w:hideMark/>
          </w:tcPr>
          <w:p w14:paraId="7D62B436"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1,093,109.54</w:t>
            </w:r>
          </w:p>
        </w:tc>
        <w:tc>
          <w:tcPr>
            <w:tcW w:w="1485" w:type="dxa"/>
            <w:tcBorders>
              <w:top w:val="nil"/>
              <w:left w:val="nil"/>
              <w:bottom w:val="single" w:sz="8" w:space="0" w:color="auto"/>
              <w:right w:val="single" w:sz="8" w:space="0" w:color="auto"/>
            </w:tcBorders>
            <w:shd w:val="clear" w:color="auto" w:fill="FFFFFF"/>
            <w:vAlign w:val="center"/>
            <w:hideMark/>
          </w:tcPr>
          <w:p w14:paraId="4EA86C75"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1,365,850.00</w:t>
            </w:r>
          </w:p>
        </w:tc>
        <w:tc>
          <w:tcPr>
            <w:tcW w:w="1485" w:type="dxa"/>
            <w:tcBorders>
              <w:top w:val="nil"/>
              <w:left w:val="nil"/>
              <w:bottom w:val="single" w:sz="8" w:space="0" w:color="auto"/>
              <w:right w:val="single" w:sz="8" w:space="0" w:color="auto"/>
            </w:tcBorders>
            <w:shd w:val="clear" w:color="auto" w:fill="FFFFFF"/>
            <w:vAlign w:val="center"/>
            <w:hideMark/>
          </w:tcPr>
          <w:p w14:paraId="2E55B3A0"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310,922.70</w:t>
            </w:r>
          </w:p>
        </w:tc>
        <w:tc>
          <w:tcPr>
            <w:tcW w:w="1485" w:type="dxa"/>
            <w:tcBorders>
              <w:top w:val="nil"/>
              <w:left w:val="nil"/>
              <w:bottom w:val="single" w:sz="8" w:space="0" w:color="auto"/>
              <w:right w:val="single" w:sz="8" w:space="0" w:color="auto"/>
            </w:tcBorders>
            <w:shd w:val="clear" w:color="auto" w:fill="FFFFFF"/>
            <w:vAlign w:val="center"/>
            <w:hideMark/>
          </w:tcPr>
          <w:p w14:paraId="28D8C2EA"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1,030,600.00</w:t>
            </w:r>
          </w:p>
        </w:tc>
        <w:tc>
          <w:tcPr>
            <w:tcW w:w="1485" w:type="dxa"/>
            <w:tcBorders>
              <w:top w:val="nil"/>
              <w:left w:val="nil"/>
              <w:bottom w:val="single" w:sz="8" w:space="0" w:color="auto"/>
              <w:right w:val="single" w:sz="8" w:space="0" w:color="auto"/>
            </w:tcBorders>
            <w:shd w:val="clear" w:color="auto" w:fill="FFFFFF"/>
            <w:vAlign w:val="center"/>
            <w:hideMark/>
          </w:tcPr>
          <w:p w14:paraId="1EBA50EB"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1,049,800.00</w:t>
            </w:r>
          </w:p>
        </w:tc>
        <w:tc>
          <w:tcPr>
            <w:tcW w:w="1485" w:type="dxa"/>
            <w:tcBorders>
              <w:top w:val="nil"/>
              <w:left w:val="nil"/>
              <w:bottom w:val="single" w:sz="8" w:space="0" w:color="auto"/>
              <w:right w:val="single" w:sz="8" w:space="0" w:color="auto"/>
            </w:tcBorders>
            <w:shd w:val="clear" w:color="auto" w:fill="FFFFFF"/>
            <w:vAlign w:val="center"/>
            <w:hideMark/>
          </w:tcPr>
          <w:p w14:paraId="6CBF0CE7"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1,090,400.00</w:t>
            </w:r>
          </w:p>
        </w:tc>
      </w:tr>
      <w:tr w:rsidR="00EA0FD7" w:rsidRPr="00EA0FD7" w14:paraId="18109667"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6C2A65FA"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722500</w:t>
            </w:r>
          </w:p>
        </w:tc>
        <w:tc>
          <w:tcPr>
            <w:tcW w:w="3882" w:type="dxa"/>
            <w:tcBorders>
              <w:top w:val="nil"/>
              <w:left w:val="nil"/>
              <w:bottom w:val="single" w:sz="8" w:space="0" w:color="auto"/>
              <w:right w:val="single" w:sz="8" w:space="0" w:color="auto"/>
            </w:tcBorders>
            <w:noWrap/>
            <w:hideMark/>
          </w:tcPr>
          <w:p w14:paraId="31970AA7"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Посебне накнаде и таксе</w:t>
            </w:r>
          </w:p>
        </w:tc>
        <w:tc>
          <w:tcPr>
            <w:tcW w:w="1485" w:type="dxa"/>
            <w:tcBorders>
              <w:top w:val="nil"/>
              <w:left w:val="nil"/>
              <w:bottom w:val="single" w:sz="8" w:space="0" w:color="auto"/>
              <w:right w:val="single" w:sz="8" w:space="0" w:color="auto"/>
            </w:tcBorders>
            <w:shd w:val="clear" w:color="auto" w:fill="FFFFFF"/>
            <w:vAlign w:val="center"/>
            <w:hideMark/>
          </w:tcPr>
          <w:p w14:paraId="0A8072A0"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1,728,493.05</w:t>
            </w:r>
          </w:p>
        </w:tc>
        <w:tc>
          <w:tcPr>
            <w:tcW w:w="1485" w:type="dxa"/>
            <w:tcBorders>
              <w:top w:val="nil"/>
              <w:left w:val="nil"/>
              <w:bottom w:val="single" w:sz="8" w:space="0" w:color="auto"/>
              <w:right w:val="single" w:sz="8" w:space="0" w:color="auto"/>
            </w:tcBorders>
            <w:shd w:val="clear" w:color="auto" w:fill="FFFFFF"/>
            <w:vAlign w:val="center"/>
            <w:hideMark/>
          </w:tcPr>
          <w:p w14:paraId="7CBA2250"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1,740,600.00</w:t>
            </w:r>
          </w:p>
        </w:tc>
        <w:tc>
          <w:tcPr>
            <w:tcW w:w="1485" w:type="dxa"/>
            <w:tcBorders>
              <w:top w:val="nil"/>
              <w:left w:val="nil"/>
              <w:bottom w:val="single" w:sz="8" w:space="0" w:color="auto"/>
              <w:right w:val="single" w:sz="8" w:space="0" w:color="auto"/>
            </w:tcBorders>
            <w:shd w:val="clear" w:color="auto" w:fill="FFFFFF"/>
            <w:vAlign w:val="center"/>
            <w:hideMark/>
          </w:tcPr>
          <w:p w14:paraId="0BC34E21"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603,082.20</w:t>
            </w:r>
          </w:p>
        </w:tc>
        <w:tc>
          <w:tcPr>
            <w:tcW w:w="1485" w:type="dxa"/>
            <w:tcBorders>
              <w:top w:val="nil"/>
              <w:left w:val="nil"/>
              <w:bottom w:val="single" w:sz="8" w:space="0" w:color="auto"/>
              <w:right w:val="single" w:sz="8" w:space="0" w:color="auto"/>
            </w:tcBorders>
            <w:shd w:val="clear" w:color="auto" w:fill="FFFFFF"/>
            <w:vAlign w:val="center"/>
            <w:hideMark/>
          </w:tcPr>
          <w:p w14:paraId="5E98ED3A"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1,750,900.00</w:t>
            </w:r>
          </w:p>
        </w:tc>
        <w:tc>
          <w:tcPr>
            <w:tcW w:w="1485" w:type="dxa"/>
            <w:tcBorders>
              <w:top w:val="nil"/>
              <w:left w:val="nil"/>
              <w:bottom w:val="single" w:sz="8" w:space="0" w:color="auto"/>
              <w:right w:val="single" w:sz="8" w:space="0" w:color="auto"/>
            </w:tcBorders>
            <w:shd w:val="clear" w:color="auto" w:fill="FFFFFF"/>
            <w:vAlign w:val="center"/>
            <w:hideMark/>
          </w:tcPr>
          <w:p w14:paraId="2BD1AE7A"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1,764,400.00</w:t>
            </w:r>
          </w:p>
        </w:tc>
        <w:tc>
          <w:tcPr>
            <w:tcW w:w="1485" w:type="dxa"/>
            <w:tcBorders>
              <w:top w:val="nil"/>
              <w:left w:val="nil"/>
              <w:bottom w:val="single" w:sz="8" w:space="0" w:color="auto"/>
              <w:right w:val="single" w:sz="8" w:space="0" w:color="auto"/>
            </w:tcBorders>
            <w:shd w:val="clear" w:color="auto" w:fill="FFFFFF"/>
            <w:vAlign w:val="center"/>
            <w:hideMark/>
          </w:tcPr>
          <w:p w14:paraId="261F4115"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1,769,400.00</w:t>
            </w:r>
          </w:p>
        </w:tc>
      </w:tr>
      <w:tr w:rsidR="00EA0FD7" w:rsidRPr="00EA0FD7" w14:paraId="3DC128A2"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4F66A3BE"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722600</w:t>
            </w:r>
          </w:p>
        </w:tc>
        <w:tc>
          <w:tcPr>
            <w:tcW w:w="3882" w:type="dxa"/>
            <w:tcBorders>
              <w:top w:val="nil"/>
              <w:left w:val="nil"/>
              <w:bottom w:val="single" w:sz="8" w:space="0" w:color="auto"/>
              <w:right w:val="single" w:sz="8" w:space="0" w:color="auto"/>
            </w:tcBorders>
            <w:noWrap/>
            <w:hideMark/>
          </w:tcPr>
          <w:p w14:paraId="2FA47DF3"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Приходи од пружања јавних услуга</w:t>
            </w:r>
          </w:p>
        </w:tc>
        <w:tc>
          <w:tcPr>
            <w:tcW w:w="1485" w:type="dxa"/>
            <w:tcBorders>
              <w:top w:val="nil"/>
              <w:left w:val="nil"/>
              <w:bottom w:val="single" w:sz="8" w:space="0" w:color="auto"/>
              <w:right w:val="single" w:sz="8" w:space="0" w:color="auto"/>
            </w:tcBorders>
            <w:shd w:val="clear" w:color="auto" w:fill="FFFFFF"/>
            <w:vAlign w:val="center"/>
            <w:hideMark/>
          </w:tcPr>
          <w:p w14:paraId="5480A985"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1,321,841.30</w:t>
            </w:r>
          </w:p>
        </w:tc>
        <w:tc>
          <w:tcPr>
            <w:tcW w:w="1485" w:type="dxa"/>
            <w:tcBorders>
              <w:top w:val="nil"/>
              <w:left w:val="nil"/>
              <w:bottom w:val="single" w:sz="8" w:space="0" w:color="auto"/>
              <w:right w:val="single" w:sz="8" w:space="0" w:color="auto"/>
            </w:tcBorders>
            <w:shd w:val="clear" w:color="auto" w:fill="FFFFFF"/>
            <w:vAlign w:val="center"/>
            <w:hideMark/>
          </w:tcPr>
          <w:p w14:paraId="66F42FC7"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1,010,650.00</w:t>
            </w:r>
          </w:p>
        </w:tc>
        <w:tc>
          <w:tcPr>
            <w:tcW w:w="1485" w:type="dxa"/>
            <w:tcBorders>
              <w:top w:val="nil"/>
              <w:left w:val="nil"/>
              <w:bottom w:val="single" w:sz="8" w:space="0" w:color="auto"/>
              <w:right w:val="single" w:sz="8" w:space="0" w:color="auto"/>
            </w:tcBorders>
            <w:shd w:val="clear" w:color="auto" w:fill="FFFFFF"/>
            <w:vAlign w:val="center"/>
            <w:hideMark/>
          </w:tcPr>
          <w:p w14:paraId="40D9C4AD"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324,877.62</w:t>
            </w:r>
          </w:p>
        </w:tc>
        <w:tc>
          <w:tcPr>
            <w:tcW w:w="1485" w:type="dxa"/>
            <w:tcBorders>
              <w:top w:val="nil"/>
              <w:left w:val="nil"/>
              <w:bottom w:val="single" w:sz="8" w:space="0" w:color="auto"/>
              <w:right w:val="single" w:sz="8" w:space="0" w:color="auto"/>
            </w:tcBorders>
            <w:shd w:val="clear" w:color="auto" w:fill="FFFFFF"/>
            <w:vAlign w:val="center"/>
            <w:hideMark/>
          </w:tcPr>
          <w:p w14:paraId="7D5B0373"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1,177,231.00</w:t>
            </w:r>
          </w:p>
        </w:tc>
        <w:tc>
          <w:tcPr>
            <w:tcW w:w="1485" w:type="dxa"/>
            <w:tcBorders>
              <w:top w:val="nil"/>
              <w:left w:val="nil"/>
              <w:bottom w:val="single" w:sz="8" w:space="0" w:color="auto"/>
              <w:right w:val="single" w:sz="8" w:space="0" w:color="auto"/>
            </w:tcBorders>
            <w:shd w:val="clear" w:color="auto" w:fill="FFFFFF"/>
            <w:vAlign w:val="center"/>
            <w:hideMark/>
          </w:tcPr>
          <w:p w14:paraId="27A0547B"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1,177,181.00</w:t>
            </w:r>
          </w:p>
        </w:tc>
        <w:tc>
          <w:tcPr>
            <w:tcW w:w="1485" w:type="dxa"/>
            <w:tcBorders>
              <w:top w:val="nil"/>
              <w:left w:val="nil"/>
              <w:bottom w:val="single" w:sz="8" w:space="0" w:color="auto"/>
              <w:right w:val="single" w:sz="8" w:space="0" w:color="auto"/>
            </w:tcBorders>
            <w:shd w:val="clear" w:color="auto" w:fill="FFFFFF"/>
            <w:vAlign w:val="center"/>
            <w:hideMark/>
          </w:tcPr>
          <w:p w14:paraId="4CD5B658"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1,177,181.00</w:t>
            </w:r>
          </w:p>
        </w:tc>
      </w:tr>
      <w:tr w:rsidR="00EA0FD7" w:rsidRPr="00EA0FD7" w14:paraId="37A875FB"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3640A073"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722700</w:t>
            </w:r>
          </w:p>
        </w:tc>
        <w:tc>
          <w:tcPr>
            <w:tcW w:w="3882" w:type="dxa"/>
            <w:tcBorders>
              <w:top w:val="nil"/>
              <w:left w:val="nil"/>
              <w:bottom w:val="single" w:sz="8" w:space="0" w:color="auto"/>
              <w:right w:val="single" w:sz="8" w:space="0" w:color="auto"/>
            </w:tcBorders>
            <w:noWrap/>
            <w:hideMark/>
          </w:tcPr>
          <w:p w14:paraId="68582E32"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Непланиране уплате-приходи</w:t>
            </w:r>
          </w:p>
        </w:tc>
        <w:tc>
          <w:tcPr>
            <w:tcW w:w="1485" w:type="dxa"/>
            <w:tcBorders>
              <w:top w:val="nil"/>
              <w:left w:val="nil"/>
              <w:bottom w:val="single" w:sz="8" w:space="0" w:color="auto"/>
              <w:right w:val="single" w:sz="8" w:space="0" w:color="auto"/>
            </w:tcBorders>
            <w:shd w:val="clear" w:color="auto" w:fill="FFFFFF"/>
            <w:vAlign w:val="center"/>
            <w:hideMark/>
          </w:tcPr>
          <w:p w14:paraId="19F12CE0"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130,361.16</w:t>
            </w:r>
          </w:p>
        </w:tc>
        <w:tc>
          <w:tcPr>
            <w:tcW w:w="1485" w:type="dxa"/>
            <w:tcBorders>
              <w:top w:val="nil"/>
              <w:left w:val="nil"/>
              <w:bottom w:val="single" w:sz="8" w:space="0" w:color="auto"/>
              <w:right w:val="single" w:sz="8" w:space="0" w:color="auto"/>
            </w:tcBorders>
            <w:shd w:val="clear" w:color="auto" w:fill="FFFFFF"/>
            <w:vAlign w:val="center"/>
            <w:hideMark/>
          </w:tcPr>
          <w:p w14:paraId="545358C0"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88,953.16</w:t>
            </w:r>
          </w:p>
        </w:tc>
        <w:tc>
          <w:tcPr>
            <w:tcW w:w="1485" w:type="dxa"/>
            <w:tcBorders>
              <w:top w:val="nil"/>
              <w:left w:val="nil"/>
              <w:bottom w:val="single" w:sz="8" w:space="0" w:color="auto"/>
              <w:right w:val="single" w:sz="8" w:space="0" w:color="auto"/>
            </w:tcBorders>
            <w:shd w:val="clear" w:color="auto" w:fill="FFFFFF"/>
            <w:vAlign w:val="center"/>
            <w:hideMark/>
          </w:tcPr>
          <w:p w14:paraId="1C80B39D"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19,282.53</w:t>
            </w:r>
          </w:p>
        </w:tc>
        <w:tc>
          <w:tcPr>
            <w:tcW w:w="1485" w:type="dxa"/>
            <w:tcBorders>
              <w:top w:val="nil"/>
              <w:left w:val="nil"/>
              <w:bottom w:val="single" w:sz="8" w:space="0" w:color="auto"/>
              <w:right w:val="single" w:sz="8" w:space="0" w:color="auto"/>
            </w:tcBorders>
            <w:shd w:val="clear" w:color="auto" w:fill="FFFFFF"/>
            <w:vAlign w:val="center"/>
            <w:hideMark/>
          </w:tcPr>
          <w:p w14:paraId="10775D2A"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63,000.00</w:t>
            </w:r>
          </w:p>
        </w:tc>
        <w:tc>
          <w:tcPr>
            <w:tcW w:w="1485" w:type="dxa"/>
            <w:tcBorders>
              <w:top w:val="nil"/>
              <w:left w:val="nil"/>
              <w:bottom w:val="single" w:sz="8" w:space="0" w:color="auto"/>
              <w:right w:val="single" w:sz="8" w:space="0" w:color="auto"/>
            </w:tcBorders>
            <w:shd w:val="clear" w:color="auto" w:fill="FFFFFF"/>
            <w:vAlign w:val="center"/>
            <w:hideMark/>
          </w:tcPr>
          <w:p w14:paraId="4E3DC08A"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63,000.00</w:t>
            </w:r>
          </w:p>
        </w:tc>
        <w:tc>
          <w:tcPr>
            <w:tcW w:w="1485" w:type="dxa"/>
            <w:tcBorders>
              <w:top w:val="nil"/>
              <w:left w:val="nil"/>
              <w:bottom w:val="single" w:sz="8" w:space="0" w:color="auto"/>
              <w:right w:val="single" w:sz="8" w:space="0" w:color="auto"/>
            </w:tcBorders>
            <w:shd w:val="clear" w:color="auto" w:fill="FFFFFF"/>
            <w:vAlign w:val="center"/>
            <w:hideMark/>
          </w:tcPr>
          <w:p w14:paraId="32105563"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63,000.00</w:t>
            </w:r>
          </w:p>
        </w:tc>
      </w:tr>
      <w:tr w:rsidR="00EA0FD7" w:rsidRPr="00EA0FD7" w14:paraId="7531E584" w14:textId="77777777" w:rsidTr="00EA0FD7">
        <w:trPr>
          <w:trHeight w:val="198"/>
        </w:trPr>
        <w:tc>
          <w:tcPr>
            <w:tcW w:w="911" w:type="dxa"/>
            <w:tcBorders>
              <w:top w:val="nil"/>
              <w:left w:val="single" w:sz="8" w:space="0" w:color="auto"/>
              <w:bottom w:val="single" w:sz="8" w:space="0" w:color="auto"/>
              <w:right w:val="single" w:sz="8" w:space="0" w:color="auto"/>
            </w:tcBorders>
            <w:noWrap/>
            <w:vAlign w:val="center"/>
            <w:hideMark/>
          </w:tcPr>
          <w:p w14:paraId="54C2EECE"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723100</w:t>
            </w:r>
          </w:p>
        </w:tc>
        <w:tc>
          <w:tcPr>
            <w:tcW w:w="3882" w:type="dxa"/>
            <w:tcBorders>
              <w:top w:val="nil"/>
              <w:left w:val="nil"/>
              <w:bottom w:val="single" w:sz="8" w:space="0" w:color="auto"/>
              <w:right w:val="single" w:sz="8" w:space="0" w:color="auto"/>
            </w:tcBorders>
            <w:noWrap/>
            <w:hideMark/>
          </w:tcPr>
          <w:p w14:paraId="55503FC2"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Новчане казне</w:t>
            </w:r>
          </w:p>
        </w:tc>
        <w:tc>
          <w:tcPr>
            <w:tcW w:w="1485" w:type="dxa"/>
            <w:tcBorders>
              <w:top w:val="nil"/>
              <w:left w:val="nil"/>
              <w:bottom w:val="single" w:sz="8" w:space="0" w:color="auto"/>
              <w:right w:val="single" w:sz="8" w:space="0" w:color="auto"/>
            </w:tcBorders>
            <w:shd w:val="clear" w:color="auto" w:fill="FFFFFF"/>
            <w:vAlign w:val="center"/>
            <w:hideMark/>
          </w:tcPr>
          <w:p w14:paraId="02AAD70A"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1,680,600.83</w:t>
            </w:r>
          </w:p>
        </w:tc>
        <w:tc>
          <w:tcPr>
            <w:tcW w:w="1485" w:type="dxa"/>
            <w:tcBorders>
              <w:top w:val="nil"/>
              <w:left w:val="nil"/>
              <w:bottom w:val="single" w:sz="8" w:space="0" w:color="auto"/>
              <w:right w:val="single" w:sz="8" w:space="0" w:color="auto"/>
            </w:tcBorders>
            <w:shd w:val="clear" w:color="auto" w:fill="FFFFFF"/>
            <w:vAlign w:val="center"/>
            <w:hideMark/>
          </w:tcPr>
          <w:p w14:paraId="6F083AC6"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1,587,000.00</w:t>
            </w:r>
          </w:p>
        </w:tc>
        <w:tc>
          <w:tcPr>
            <w:tcW w:w="1485" w:type="dxa"/>
            <w:tcBorders>
              <w:top w:val="nil"/>
              <w:left w:val="nil"/>
              <w:bottom w:val="single" w:sz="8" w:space="0" w:color="auto"/>
              <w:right w:val="single" w:sz="8" w:space="0" w:color="auto"/>
            </w:tcBorders>
            <w:shd w:val="clear" w:color="auto" w:fill="FFFFFF"/>
            <w:vAlign w:val="center"/>
            <w:hideMark/>
          </w:tcPr>
          <w:p w14:paraId="29C3BB37"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384,659.22</w:t>
            </w:r>
          </w:p>
        </w:tc>
        <w:tc>
          <w:tcPr>
            <w:tcW w:w="1485" w:type="dxa"/>
            <w:tcBorders>
              <w:top w:val="nil"/>
              <w:left w:val="nil"/>
              <w:bottom w:val="single" w:sz="8" w:space="0" w:color="auto"/>
              <w:right w:val="single" w:sz="8" w:space="0" w:color="auto"/>
            </w:tcBorders>
            <w:shd w:val="clear" w:color="auto" w:fill="FFFFFF"/>
            <w:vAlign w:val="center"/>
            <w:hideMark/>
          </w:tcPr>
          <w:p w14:paraId="54F1EC25"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1,815,000.00</w:t>
            </w:r>
          </w:p>
        </w:tc>
        <w:tc>
          <w:tcPr>
            <w:tcW w:w="1485" w:type="dxa"/>
            <w:tcBorders>
              <w:top w:val="nil"/>
              <w:left w:val="nil"/>
              <w:bottom w:val="single" w:sz="8" w:space="0" w:color="auto"/>
              <w:right w:val="single" w:sz="8" w:space="0" w:color="auto"/>
            </w:tcBorders>
            <w:shd w:val="clear" w:color="auto" w:fill="FFFFFF"/>
            <w:vAlign w:val="center"/>
            <w:hideMark/>
          </w:tcPr>
          <w:p w14:paraId="5FFD2600"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1,824,000.00</w:t>
            </w:r>
          </w:p>
        </w:tc>
        <w:tc>
          <w:tcPr>
            <w:tcW w:w="1485" w:type="dxa"/>
            <w:tcBorders>
              <w:top w:val="nil"/>
              <w:left w:val="nil"/>
              <w:bottom w:val="single" w:sz="8" w:space="0" w:color="auto"/>
              <w:right w:val="single" w:sz="8" w:space="0" w:color="auto"/>
            </w:tcBorders>
            <w:shd w:val="clear" w:color="auto" w:fill="FFFFFF"/>
            <w:vAlign w:val="center"/>
            <w:hideMark/>
          </w:tcPr>
          <w:p w14:paraId="0DA7B0AF"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1,835,000.00</w:t>
            </w:r>
          </w:p>
        </w:tc>
      </w:tr>
      <w:tr w:rsidR="00EA0FD7" w:rsidRPr="00EA0FD7" w14:paraId="3E61548F" w14:textId="77777777" w:rsidTr="00EA0FD7">
        <w:trPr>
          <w:trHeight w:val="210"/>
        </w:trPr>
        <w:tc>
          <w:tcPr>
            <w:tcW w:w="911" w:type="dxa"/>
            <w:tcBorders>
              <w:top w:val="nil"/>
              <w:left w:val="single" w:sz="8" w:space="0" w:color="auto"/>
              <w:bottom w:val="single" w:sz="8" w:space="0" w:color="auto"/>
              <w:right w:val="single" w:sz="8" w:space="0" w:color="auto"/>
            </w:tcBorders>
            <w:noWrap/>
            <w:vAlign w:val="center"/>
            <w:hideMark/>
          </w:tcPr>
          <w:p w14:paraId="163EDEC9" w14:textId="77777777" w:rsidR="00EA0FD7" w:rsidRPr="00EA0FD7" w:rsidRDefault="00EA0FD7" w:rsidP="00EA0FD7">
            <w:pPr>
              <w:spacing w:after="0" w:line="240" w:lineRule="auto"/>
              <w:jc w:val="center"/>
              <w:rPr>
                <w:rFonts w:ascii="Arial" w:eastAsia="Times New Roman" w:hAnsi="Arial" w:cs="Arial"/>
                <w:sz w:val="16"/>
                <w:szCs w:val="16"/>
                <w:lang w:val="sr-Cyrl-RS"/>
              </w:rPr>
            </w:pPr>
            <w:r w:rsidRPr="00EA0FD7">
              <w:rPr>
                <w:rFonts w:ascii="Arial" w:eastAsia="Times New Roman" w:hAnsi="Arial" w:cs="Arial"/>
                <w:sz w:val="16"/>
                <w:szCs w:val="16"/>
                <w:lang w:val="sr-Cyrl-RS"/>
              </w:rPr>
              <w:t> </w:t>
            </w:r>
          </w:p>
        </w:tc>
        <w:tc>
          <w:tcPr>
            <w:tcW w:w="3882" w:type="dxa"/>
            <w:tcBorders>
              <w:top w:val="nil"/>
              <w:left w:val="nil"/>
              <w:bottom w:val="single" w:sz="8" w:space="0" w:color="auto"/>
              <w:right w:val="single" w:sz="8" w:space="0" w:color="auto"/>
            </w:tcBorders>
            <w:vAlign w:val="center"/>
            <w:hideMark/>
          </w:tcPr>
          <w:p w14:paraId="04F572CE" w14:textId="6817F922" w:rsidR="00EA0FD7" w:rsidRPr="00EA0FD7" w:rsidRDefault="00EA0FD7" w:rsidP="00EA0FD7">
            <w:pPr>
              <w:spacing w:after="0" w:line="240" w:lineRule="auto"/>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УКУПНО  ПОРЕСКИ И НЕПОРЕСКИ ПРИХОДИ (</w:t>
            </w:r>
            <w:r w:rsidR="00303EB7">
              <w:rPr>
                <w:rFonts w:ascii="Arial" w:eastAsia="Times New Roman" w:hAnsi="Arial" w:cs="Arial"/>
                <w:b/>
                <w:bCs/>
                <w:sz w:val="16"/>
                <w:szCs w:val="16"/>
              </w:rPr>
              <w:t>I</w:t>
            </w:r>
            <w:r w:rsidRPr="00EA0FD7">
              <w:rPr>
                <w:rFonts w:ascii="Arial" w:eastAsia="Times New Roman" w:hAnsi="Arial" w:cs="Arial"/>
                <w:b/>
                <w:bCs/>
                <w:sz w:val="16"/>
                <w:szCs w:val="16"/>
                <w:lang w:val="sr-Cyrl-RS"/>
              </w:rPr>
              <w:t xml:space="preserve"> + </w:t>
            </w:r>
            <w:r w:rsidR="00303EB7">
              <w:rPr>
                <w:rFonts w:ascii="Arial" w:eastAsia="Times New Roman" w:hAnsi="Arial" w:cs="Arial"/>
                <w:b/>
                <w:bCs/>
                <w:sz w:val="16"/>
                <w:szCs w:val="16"/>
              </w:rPr>
              <w:t>II</w:t>
            </w:r>
            <w:r w:rsidRPr="00EA0FD7">
              <w:rPr>
                <w:rFonts w:ascii="Arial" w:eastAsia="Times New Roman" w:hAnsi="Arial" w:cs="Arial"/>
                <w:b/>
                <w:bCs/>
                <w:sz w:val="16"/>
                <w:szCs w:val="16"/>
                <w:lang w:val="sr-Cyrl-RS"/>
              </w:rPr>
              <w:t>)</w:t>
            </w:r>
          </w:p>
        </w:tc>
        <w:tc>
          <w:tcPr>
            <w:tcW w:w="1485" w:type="dxa"/>
            <w:tcBorders>
              <w:top w:val="nil"/>
              <w:left w:val="nil"/>
              <w:bottom w:val="single" w:sz="8" w:space="0" w:color="auto"/>
              <w:right w:val="single" w:sz="8" w:space="0" w:color="auto"/>
            </w:tcBorders>
            <w:shd w:val="clear" w:color="auto" w:fill="FFFFFF"/>
            <w:vAlign w:val="center"/>
            <w:hideMark/>
          </w:tcPr>
          <w:p w14:paraId="5741FBA3"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235,933,000.37</w:t>
            </w:r>
          </w:p>
        </w:tc>
        <w:tc>
          <w:tcPr>
            <w:tcW w:w="1485" w:type="dxa"/>
            <w:tcBorders>
              <w:top w:val="nil"/>
              <w:left w:val="nil"/>
              <w:bottom w:val="single" w:sz="8" w:space="0" w:color="auto"/>
              <w:right w:val="single" w:sz="8" w:space="0" w:color="auto"/>
            </w:tcBorders>
            <w:shd w:val="clear" w:color="auto" w:fill="FFFFFF"/>
            <w:vAlign w:val="center"/>
            <w:hideMark/>
          </w:tcPr>
          <w:p w14:paraId="195F7BE7"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232,619,824.16</w:t>
            </w:r>
          </w:p>
        </w:tc>
        <w:tc>
          <w:tcPr>
            <w:tcW w:w="1485" w:type="dxa"/>
            <w:tcBorders>
              <w:top w:val="nil"/>
              <w:left w:val="nil"/>
              <w:bottom w:val="single" w:sz="8" w:space="0" w:color="auto"/>
              <w:right w:val="single" w:sz="8" w:space="0" w:color="auto"/>
            </w:tcBorders>
            <w:shd w:val="clear" w:color="auto" w:fill="FFFFFF"/>
            <w:vAlign w:val="center"/>
            <w:hideMark/>
          </w:tcPr>
          <w:p w14:paraId="7F20FEAB"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61,922,572.95</w:t>
            </w:r>
          </w:p>
        </w:tc>
        <w:tc>
          <w:tcPr>
            <w:tcW w:w="1485" w:type="dxa"/>
            <w:tcBorders>
              <w:top w:val="nil"/>
              <w:left w:val="nil"/>
              <w:bottom w:val="single" w:sz="8" w:space="0" w:color="auto"/>
              <w:right w:val="single" w:sz="8" w:space="0" w:color="auto"/>
            </w:tcBorders>
            <w:shd w:val="clear" w:color="auto" w:fill="FFFFFF"/>
            <w:vAlign w:val="center"/>
            <w:hideMark/>
          </w:tcPr>
          <w:p w14:paraId="2FD6D757"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271,653,160.00</w:t>
            </w:r>
          </w:p>
        </w:tc>
        <w:tc>
          <w:tcPr>
            <w:tcW w:w="1485" w:type="dxa"/>
            <w:tcBorders>
              <w:top w:val="nil"/>
              <w:left w:val="nil"/>
              <w:bottom w:val="single" w:sz="8" w:space="0" w:color="auto"/>
              <w:right w:val="single" w:sz="8" w:space="0" w:color="auto"/>
            </w:tcBorders>
            <w:shd w:val="clear" w:color="auto" w:fill="FFFFFF"/>
            <w:vAlign w:val="center"/>
            <w:hideMark/>
          </w:tcPr>
          <w:p w14:paraId="600FE9C3"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279,384,483.00</w:t>
            </w:r>
          </w:p>
        </w:tc>
        <w:tc>
          <w:tcPr>
            <w:tcW w:w="1485" w:type="dxa"/>
            <w:tcBorders>
              <w:top w:val="nil"/>
              <w:left w:val="nil"/>
              <w:bottom w:val="single" w:sz="8" w:space="0" w:color="auto"/>
              <w:right w:val="single" w:sz="8" w:space="0" w:color="auto"/>
            </w:tcBorders>
            <w:shd w:val="clear" w:color="auto" w:fill="FFFFFF"/>
            <w:vAlign w:val="center"/>
            <w:hideMark/>
          </w:tcPr>
          <w:p w14:paraId="5D87D0C7"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287,684,463.00</w:t>
            </w:r>
          </w:p>
        </w:tc>
      </w:tr>
      <w:tr w:rsidR="00EA0FD7" w:rsidRPr="00EA0FD7" w14:paraId="4A294443" w14:textId="77777777" w:rsidTr="00EA0FD7">
        <w:trPr>
          <w:trHeight w:val="210"/>
        </w:trPr>
        <w:tc>
          <w:tcPr>
            <w:tcW w:w="911" w:type="dxa"/>
            <w:tcBorders>
              <w:top w:val="nil"/>
              <w:left w:val="single" w:sz="8" w:space="0" w:color="auto"/>
              <w:bottom w:val="single" w:sz="8" w:space="0" w:color="auto"/>
              <w:right w:val="single" w:sz="8" w:space="0" w:color="auto"/>
            </w:tcBorders>
            <w:noWrap/>
            <w:vAlign w:val="center"/>
            <w:hideMark/>
          </w:tcPr>
          <w:p w14:paraId="4F89BAF8" w14:textId="77777777" w:rsidR="00303EB7" w:rsidRDefault="00303EB7" w:rsidP="00EA0FD7">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III</w:t>
            </w:r>
          </w:p>
          <w:p w14:paraId="36F5CBDD" w14:textId="0300C4C7" w:rsidR="00EA0FD7" w:rsidRPr="00EA0FD7" w:rsidRDefault="00EA0FD7" w:rsidP="00EA0FD7">
            <w:pPr>
              <w:spacing w:after="0" w:line="240" w:lineRule="auto"/>
              <w:jc w:val="center"/>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730000</w:t>
            </w:r>
          </w:p>
        </w:tc>
        <w:tc>
          <w:tcPr>
            <w:tcW w:w="3882" w:type="dxa"/>
            <w:tcBorders>
              <w:top w:val="nil"/>
              <w:left w:val="nil"/>
              <w:bottom w:val="single" w:sz="8" w:space="0" w:color="auto"/>
              <w:right w:val="single" w:sz="8" w:space="0" w:color="auto"/>
            </w:tcBorders>
            <w:hideMark/>
          </w:tcPr>
          <w:p w14:paraId="0E9AB5EE" w14:textId="77777777" w:rsidR="00EA0FD7" w:rsidRPr="00EA0FD7" w:rsidRDefault="00EA0FD7" w:rsidP="00EA0FD7">
            <w:pPr>
              <w:spacing w:after="0" w:line="240" w:lineRule="auto"/>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ТЕКУЋЕ ДОНАЦИЈЕ И ТРАНСФЕРИ</w:t>
            </w:r>
          </w:p>
        </w:tc>
        <w:tc>
          <w:tcPr>
            <w:tcW w:w="1485" w:type="dxa"/>
            <w:tcBorders>
              <w:top w:val="nil"/>
              <w:left w:val="nil"/>
              <w:bottom w:val="single" w:sz="8" w:space="0" w:color="auto"/>
              <w:right w:val="single" w:sz="8" w:space="0" w:color="auto"/>
            </w:tcBorders>
            <w:shd w:val="clear" w:color="auto" w:fill="FFFFFF"/>
            <w:vAlign w:val="center"/>
            <w:hideMark/>
          </w:tcPr>
          <w:p w14:paraId="60421A5D"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560,442.17</w:t>
            </w:r>
          </w:p>
        </w:tc>
        <w:tc>
          <w:tcPr>
            <w:tcW w:w="1485" w:type="dxa"/>
            <w:tcBorders>
              <w:top w:val="nil"/>
              <w:left w:val="nil"/>
              <w:bottom w:val="single" w:sz="8" w:space="0" w:color="auto"/>
              <w:right w:val="single" w:sz="8" w:space="0" w:color="auto"/>
            </w:tcBorders>
            <w:shd w:val="clear" w:color="auto" w:fill="FFFFFF"/>
            <w:vAlign w:val="center"/>
            <w:hideMark/>
          </w:tcPr>
          <w:p w14:paraId="62FA56BF"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145,205.46</w:t>
            </w:r>
          </w:p>
        </w:tc>
        <w:tc>
          <w:tcPr>
            <w:tcW w:w="1485" w:type="dxa"/>
            <w:tcBorders>
              <w:top w:val="nil"/>
              <w:left w:val="nil"/>
              <w:bottom w:val="single" w:sz="8" w:space="0" w:color="auto"/>
              <w:right w:val="single" w:sz="8" w:space="0" w:color="auto"/>
            </w:tcBorders>
            <w:shd w:val="clear" w:color="auto" w:fill="FFFFFF"/>
            <w:vAlign w:val="center"/>
            <w:hideMark/>
          </w:tcPr>
          <w:p w14:paraId="38DECBFB"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20,614.88</w:t>
            </w:r>
          </w:p>
        </w:tc>
        <w:tc>
          <w:tcPr>
            <w:tcW w:w="1485" w:type="dxa"/>
            <w:tcBorders>
              <w:top w:val="nil"/>
              <w:left w:val="nil"/>
              <w:bottom w:val="single" w:sz="8" w:space="0" w:color="auto"/>
              <w:right w:val="single" w:sz="8" w:space="0" w:color="auto"/>
            </w:tcBorders>
            <w:shd w:val="clear" w:color="auto" w:fill="FFFFFF"/>
            <w:vAlign w:val="center"/>
            <w:hideMark/>
          </w:tcPr>
          <w:p w14:paraId="564439EB"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10,500.00</w:t>
            </w:r>
          </w:p>
        </w:tc>
        <w:tc>
          <w:tcPr>
            <w:tcW w:w="1485" w:type="dxa"/>
            <w:tcBorders>
              <w:top w:val="nil"/>
              <w:left w:val="nil"/>
              <w:bottom w:val="single" w:sz="8" w:space="0" w:color="auto"/>
              <w:right w:val="single" w:sz="8" w:space="0" w:color="auto"/>
            </w:tcBorders>
            <w:shd w:val="clear" w:color="auto" w:fill="FFFFFF"/>
            <w:vAlign w:val="center"/>
            <w:hideMark/>
          </w:tcPr>
          <w:p w14:paraId="126ECF21"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10,500.00</w:t>
            </w:r>
          </w:p>
        </w:tc>
        <w:tc>
          <w:tcPr>
            <w:tcW w:w="1485" w:type="dxa"/>
            <w:tcBorders>
              <w:top w:val="nil"/>
              <w:left w:val="nil"/>
              <w:bottom w:val="single" w:sz="8" w:space="0" w:color="auto"/>
              <w:right w:val="single" w:sz="8" w:space="0" w:color="auto"/>
            </w:tcBorders>
            <w:shd w:val="clear" w:color="auto" w:fill="FFFFFF"/>
            <w:vAlign w:val="center"/>
            <w:hideMark/>
          </w:tcPr>
          <w:p w14:paraId="400CE7E6"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10,500.00</w:t>
            </w:r>
          </w:p>
        </w:tc>
      </w:tr>
      <w:tr w:rsidR="00EA0FD7" w:rsidRPr="00EA0FD7" w14:paraId="765AA7E8"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2C2C92C9"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731100</w:t>
            </w:r>
          </w:p>
        </w:tc>
        <w:tc>
          <w:tcPr>
            <w:tcW w:w="3882" w:type="dxa"/>
            <w:tcBorders>
              <w:top w:val="nil"/>
              <w:left w:val="nil"/>
              <w:bottom w:val="single" w:sz="8" w:space="0" w:color="auto"/>
              <w:right w:val="single" w:sz="8" w:space="0" w:color="auto"/>
            </w:tcBorders>
            <w:noWrap/>
            <w:hideMark/>
          </w:tcPr>
          <w:p w14:paraId="4507F7B2"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Донације из иностранства</w:t>
            </w:r>
          </w:p>
        </w:tc>
        <w:tc>
          <w:tcPr>
            <w:tcW w:w="1485" w:type="dxa"/>
            <w:tcBorders>
              <w:top w:val="nil"/>
              <w:left w:val="nil"/>
              <w:bottom w:val="single" w:sz="8" w:space="0" w:color="auto"/>
              <w:right w:val="single" w:sz="8" w:space="0" w:color="auto"/>
            </w:tcBorders>
            <w:shd w:val="clear" w:color="auto" w:fill="FFFFFF"/>
            <w:vAlign w:val="center"/>
            <w:hideMark/>
          </w:tcPr>
          <w:p w14:paraId="5DB636DD"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20,295.65</w:t>
            </w:r>
          </w:p>
        </w:tc>
        <w:tc>
          <w:tcPr>
            <w:tcW w:w="1485" w:type="dxa"/>
            <w:tcBorders>
              <w:top w:val="nil"/>
              <w:left w:val="nil"/>
              <w:bottom w:val="single" w:sz="8" w:space="0" w:color="auto"/>
              <w:right w:val="single" w:sz="8" w:space="0" w:color="auto"/>
            </w:tcBorders>
            <w:shd w:val="clear" w:color="auto" w:fill="FFFFFF"/>
            <w:vAlign w:val="center"/>
            <w:hideMark/>
          </w:tcPr>
          <w:p w14:paraId="326395E7"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15,396.00</w:t>
            </w:r>
          </w:p>
        </w:tc>
        <w:tc>
          <w:tcPr>
            <w:tcW w:w="1485" w:type="dxa"/>
            <w:tcBorders>
              <w:top w:val="nil"/>
              <w:left w:val="nil"/>
              <w:bottom w:val="single" w:sz="8" w:space="0" w:color="auto"/>
              <w:right w:val="single" w:sz="8" w:space="0" w:color="auto"/>
            </w:tcBorders>
            <w:shd w:val="clear" w:color="auto" w:fill="FFFFFF"/>
            <w:vAlign w:val="center"/>
            <w:hideMark/>
          </w:tcPr>
          <w:p w14:paraId="317A7BB0"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14,133.98</w:t>
            </w:r>
          </w:p>
        </w:tc>
        <w:tc>
          <w:tcPr>
            <w:tcW w:w="1485" w:type="dxa"/>
            <w:tcBorders>
              <w:top w:val="nil"/>
              <w:left w:val="nil"/>
              <w:bottom w:val="single" w:sz="8" w:space="0" w:color="auto"/>
              <w:right w:val="single" w:sz="8" w:space="0" w:color="auto"/>
            </w:tcBorders>
            <w:shd w:val="clear" w:color="auto" w:fill="FFFFFF"/>
            <w:vAlign w:val="center"/>
            <w:hideMark/>
          </w:tcPr>
          <w:p w14:paraId="42E7CE54"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500.00</w:t>
            </w:r>
          </w:p>
        </w:tc>
        <w:tc>
          <w:tcPr>
            <w:tcW w:w="1485" w:type="dxa"/>
            <w:tcBorders>
              <w:top w:val="nil"/>
              <w:left w:val="nil"/>
              <w:bottom w:val="single" w:sz="8" w:space="0" w:color="auto"/>
              <w:right w:val="single" w:sz="8" w:space="0" w:color="auto"/>
            </w:tcBorders>
            <w:shd w:val="clear" w:color="auto" w:fill="FFFFFF"/>
            <w:vAlign w:val="center"/>
            <w:hideMark/>
          </w:tcPr>
          <w:p w14:paraId="51E3399E"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500.00</w:t>
            </w:r>
          </w:p>
        </w:tc>
        <w:tc>
          <w:tcPr>
            <w:tcW w:w="1485" w:type="dxa"/>
            <w:tcBorders>
              <w:top w:val="nil"/>
              <w:left w:val="nil"/>
              <w:bottom w:val="single" w:sz="8" w:space="0" w:color="auto"/>
              <w:right w:val="single" w:sz="8" w:space="0" w:color="auto"/>
            </w:tcBorders>
            <w:shd w:val="clear" w:color="auto" w:fill="FFFFFF"/>
            <w:vAlign w:val="center"/>
            <w:hideMark/>
          </w:tcPr>
          <w:p w14:paraId="152638B8"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500.00</w:t>
            </w:r>
          </w:p>
        </w:tc>
      </w:tr>
      <w:tr w:rsidR="00EA0FD7" w:rsidRPr="00EA0FD7" w14:paraId="1E0AC0C9"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0EE870E9"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732100</w:t>
            </w:r>
          </w:p>
        </w:tc>
        <w:tc>
          <w:tcPr>
            <w:tcW w:w="3882" w:type="dxa"/>
            <w:tcBorders>
              <w:top w:val="nil"/>
              <w:left w:val="nil"/>
              <w:bottom w:val="single" w:sz="8" w:space="0" w:color="auto"/>
              <w:right w:val="single" w:sz="8" w:space="0" w:color="auto"/>
            </w:tcBorders>
            <w:noWrap/>
            <w:hideMark/>
          </w:tcPr>
          <w:p w14:paraId="0640576A"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Домаће донације</w:t>
            </w:r>
          </w:p>
        </w:tc>
        <w:tc>
          <w:tcPr>
            <w:tcW w:w="1485" w:type="dxa"/>
            <w:tcBorders>
              <w:top w:val="nil"/>
              <w:left w:val="nil"/>
              <w:bottom w:val="single" w:sz="8" w:space="0" w:color="auto"/>
              <w:right w:val="single" w:sz="8" w:space="0" w:color="auto"/>
            </w:tcBorders>
            <w:shd w:val="clear" w:color="auto" w:fill="FFFFFF"/>
            <w:vAlign w:val="center"/>
            <w:hideMark/>
          </w:tcPr>
          <w:p w14:paraId="6D663CE5"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540,146.52</w:t>
            </w:r>
          </w:p>
        </w:tc>
        <w:tc>
          <w:tcPr>
            <w:tcW w:w="1485" w:type="dxa"/>
            <w:tcBorders>
              <w:top w:val="nil"/>
              <w:left w:val="nil"/>
              <w:bottom w:val="single" w:sz="8" w:space="0" w:color="auto"/>
              <w:right w:val="single" w:sz="8" w:space="0" w:color="auto"/>
            </w:tcBorders>
            <w:shd w:val="clear" w:color="auto" w:fill="FFFFFF"/>
            <w:vAlign w:val="center"/>
            <w:hideMark/>
          </w:tcPr>
          <w:p w14:paraId="063B10A9"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49,809.46</w:t>
            </w:r>
          </w:p>
        </w:tc>
        <w:tc>
          <w:tcPr>
            <w:tcW w:w="1485" w:type="dxa"/>
            <w:tcBorders>
              <w:top w:val="nil"/>
              <w:left w:val="nil"/>
              <w:bottom w:val="single" w:sz="8" w:space="0" w:color="auto"/>
              <w:right w:val="single" w:sz="8" w:space="0" w:color="auto"/>
            </w:tcBorders>
            <w:shd w:val="clear" w:color="auto" w:fill="FFFFFF"/>
            <w:vAlign w:val="center"/>
            <w:hideMark/>
          </w:tcPr>
          <w:p w14:paraId="22FAD36D"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6,480.90</w:t>
            </w:r>
          </w:p>
        </w:tc>
        <w:tc>
          <w:tcPr>
            <w:tcW w:w="1485" w:type="dxa"/>
            <w:tcBorders>
              <w:top w:val="nil"/>
              <w:left w:val="nil"/>
              <w:bottom w:val="single" w:sz="8" w:space="0" w:color="auto"/>
              <w:right w:val="single" w:sz="8" w:space="0" w:color="auto"/>
            </w:tcBorders>
            <w:shd w:val="clear" w:color="auto" w:fill="FFFFFF"/>
            <w:vAlign w:val="center"/>
            <w:hideMark/>
          </w:tcPr>
          <w:p w14:paraId="0B8DC0A3"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10,000.00</w:t>
            </w:r>
          </w:p>
        </w:tc>
        <w:tc>
          <w:tcPr>
            <w:tcW w:w="1485" w:type="dxa"/>
            <w:tcBorders>
              <w:top w:val="nil"/>
              <w:left w:val="nil"/>
              <w:bottom w:val="single" w:sz="8" w:space="0" w:color="auto"/>
              <w:right w:val="single" w:sz="8" w:space="0" w:color="auto"/>
            </w:tcBorders>
            <w:shd w:val="clear" w:color="auto" w:fill="FFFFFF"/>
            <w:vAlign w:val="center"/>
            <w:hideMark/>
          </w:tcPr>
          <w:p w14:paraId="5823DDFE"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10,000.00</w:t>
            </w:r>
          </w:p>
        </w:tc>
        <w:tc>
          <w:tcPr>
            <w:tcW w:w="1485" w:type="dxa"/>
            <w:tcBorders>
              <w:top w:val="nil"/>
              <w:left w:val="nil"/>
              <w:bottom w:val="single" w:sz="8" w:space="0" w:color="auto"/>
              <w:right w:val="single" w:sz="8" w:space="0" w:color="auto"/>
            </w:tcBorders>
            <w:shd w:val="clear" w:color="auto" w:fill="FFFFFF"/>
            <w:vAlign w:val="center"/>
            <w:hideMark/>
          </w:tcPr>
          <w:p w14:paraId="73083CA0"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10,000.00</w:t>
            </w:r>
          </w:p>
        </w:tc>
      </w:tr>
      <w:tr w:rsidR="00EA0FD7" w:rsidRPr="00EA0FD7" w14:paraId="7292D64E" w14:textId="77777777" w:rsidTr="00EA0FD7">
        <w:trPr>
          <w:trHeight w:val="173"/>
        </w:trPr>
        <w:tc>
          <w:tcPr>
            <w:tcW w:w="911" w:type="dxa"/>
            <w:tcBorders>
              <w:top w:val="nil"/>
              <w:left w:val="single" w:sz="8" w:space="0" w:color="auto"/>
              <w:bottom w:val="single" w:sz="8" w:space="0" w:color="auto"/>
              <w:right w:val="single" w:sz="8" w:space="0" w:color="auto"/>
            </w:tcBorders>
            <w:noWrap/>
            <w:vAlign w:val="center"/>
            <w:hideMark/>
          </w:tcPr>
          <w:p w14:paraId="1D929FD6" w14:textId="77777777" w:rsidR="00EA0FD7" w:rsidRPr="00EA0FD7" w:rsidRDefault="00EA0FD7" w:rsidP="00EA0FD7">
            <w:pPr>
              <w:spacing w:after="0" w:line="240" w:lineRule="auto"/>
              <w:jc w:val="center"/>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732200</w:t>
            </w:r>
          </w:p>
        </w:tc>
        <w:tc>
          <w:tcPr>
            <w:tcW w:w="3882" w:type="dxa"/>
            <w:tcBorders>
              <w:top w:val="nil"/>
              <w:left w:val="nil"/>
              <w:bottom w:val="single" w:sz="8" w:space="0" w:color="auto"/>
              <w:right w:val="single" w:sz="8" w:space="0" w:color="auto"/>
            </w:tcBorders>
            <w:noWrap/>
            <w:hideMark/>
          </w:tcPr>
          <w:p w14:paraId="1D0A8CCA" w14:textId="77777777" w:rsidR="00EA0FD7" w:rsidRPr="00EA0FD7" w:rsidRDefault="00EA0FD7" w:rsidP="00EA0FD7">
            <w:pPr>
              <w:spacing w:after="0" w:line="240" w:lineRule="auto"/>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Домаћи трансфери</w:t>
            </w:r>
          </w:p>
        </w:tc>
        <w:tc>
          <w:tcPr>
            <w:tcW w:w="1485" w:type="dxa"/>
            <w:tcBorders>
              <w:top w:val="nil"/>
              <w:left w:val="nil"/>
              <w:bottom w:val="single" w:sz="8" w:space="0" w:color="auto"/>
              <w:right w:val="single" w:sz="8" w:space="0" w:color="auto"/>
            </w:tcBorders>
            <w:shd w:val="clear" w:color="auto" w:fill="FFFFFF"/>
            <w:vAlign w:val="center"/>
            <w:hideMark/>
          </w:tcPr>
          <w:p w14:paraId="38C7F621"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0.00</w:t>
            </w:r>
          </w:p>
        </w:tc>
        <w:tc>
          <w:tcPr>
            <w:tcW w:w="1485" w:type="dxa"/>
            <w:tcBorders>
              <w:top w:val="nil"/>
              <w:left w:val="nil"/>
              <w:bottom w:val="single" w:sz="8" w:space="0" w:color="auto"/>
              <w:right w:val="single" w:sz="8" w:space="0" w:color="auto"/>
            </w:tcBorders>
            <w:shd w:val="clear" w:color="auto" w:fill="FFFFFF"/>
            <w:vAlign w:val="center"/>
            <w:hideMark/>
          </w:tcPr>
          <w:p w14:paraId="6A3A142C"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80,000.00</w:t>
            </w:r>
          </w:p>
        </w:tc>
        <w:tc>
          <w:tcPr>
            <w:tcW w:w="1485" w:type="dxa"/>
            <w:tcBorders>
              <w:top w:val="nil"/>
              <w:left w:val="nil"/>
              <w:bottom w:val="single" w:sz="8" w:space="0" w:color="auto"/>
              <w:right w:val="single" w:sz="8" w:space="0" w:color="auto"/>
            </w:tcBorders>
            <w:shd w:val="clear" w:color="auto" w:fill="FFFFFF"/>
            <w:vAlign w:val="center"/>
            <w:hideMark/>
          </w:tcPr>
          <w:p w14:paraId="5124C110"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0.00</w:t>
            </w:r>
          </w:p>
        </w:tc>
        <w:tc>
          <w:tcPr>
            <w:tcW w:w="1485" w:type="dxa"/>
            <w:tcBorders>
              <w:top w:val="nil"/>
              <w:left w:val="nil"/>
              <w:bottom w:val="single" w:sz="8" w:space="0" w:color="auto"/>
              <w:right w:val="single" w:sz="8" w:space="0" w:color="auto"/>
            </w:tcBorders>
            <w:shd w:val="clear" w:color="auto" w:fill="FFFFFF"/>
            <w:vAlign w:val="center"/>
            <w:hideMark/>
          </w:tcPr>
          <w:p w14:paraId="0A0F5DEE"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0.00</w:t>
            </w:r>
          </w:p>
        </w:tc>
        <w:tc>
          <w:tcPr>
            <w:tcW w:w="1485" w:type="dxa"/>
            <w:tcBorders>
              <w:top w:val="nil"/>
              <w:left w:val="nil"/>
              <w:bottom w:val="single" w:sz="8" w:space="0" w:color="auto"/>
              <w:right w:val="single" w:sz="8" w:space="0" w:color="auto"/>
            </w:tcBorders>
            <w:shd w:val="clear" w:color="auto" w:fill="FFFFFF"/>
            <w:vAlign w:val="center"/>
            <w:hideMark/>
          </w:tcPr>
          <w:p w14:paraId="0A932225"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0.00</w:t>
            </w:r>
          </w:p>
        </w:tc>
        <w:tc>
          <w:tcPr>
            <w:tcW w:w="1485" w:type="dxa"/>
            <w:tcBorders>
              <w:top w:val="nil"/>
              <w:left w:val="nil"/>
              <w:bottom w:val="single" w:sz="8" w:space="0" w:color="auto"/>
              <w:right w:val="single" w:sz="8" w:space="0" w:color="auto"/>
            </w:tcBorders>
            <w:shd w:val="clear" w:color="auto" w:fill="FFFFFF"/>
            <w:vAlign w:val="center"/>
            <w:hideMark/>
          </w:tcPr>
          <w:p w14:paraId="49919F23" w14:textId="77777777" w:rsidR="00EA0FD7" w:rsidRPr="00EA0FD7" w:rsidRDefault="00EA0FD7" w:rsidP="00EA0FD7">
            <w:pPr>
              <w:spacing w:after="0" w:line="240" w:lineRule="auto"/>
              <w:jc w:val="right"/>
              <w:rPr>
                <w:rFonts w:ascii="Arial" w:eastAsia="Times New Roman" w:hAnsi="Arial" w:cs="Arial"/>
                <w:color w:val="0000FF"/>
                <w:sz w:val="15"/>
                <w:szCs w:val="15"/>
                <w:lang w:val="sr-Cyrl-RS"/>
              </w:rPr>
            </w:pPr>
            <w:r w:rsidRPr="00EA0FD7">
              <w:rPr>
                <w:rFonts w:ascii="Arial" w:eastAsia="Times New Roman" w:hAnsi="Arial" w:cs="Arial"/>
                <w:color w:val="0000FF"/>
                <w:sz w:val="15"/>
                <w:szCs w:val="15"/>
                <w:lang w:val="sr-Cyrl-RS"/>
              </w:rPr>
              <w:t>0.00</w:t>
            </w:r>
          </w:p>
        </w:tc>
      </w:tr>
      <w:tr w:rsidR="00EA0FD7" w:rsidRPr="00EA0FD7" w14:paraId="3BAFEFBC" w14:textId="77777777" w:rsidTr="00EA0FD7">
        <w:trPr>
          <w:trHeight w:val="371"/>
        </w:trPr>
        <w:tc>
          <w:tcPr>
            <w:tcW w:w="911" w:type="dxa"/>
            <w:tcBorders>
              <w:top w:val="nil"/>
              <w:left w:val="single" w:sz="8" w:space="0" w:color="auto"/>
              <w:bottom w:val="single" w:sz="8" w:space="0" w:color="auto"/>
              <w:right w:val="single" w:sz="8" w:space="0" w:color="auto"/>
            </w:tcBorders>
            <w:shd w:val="clear" w:color="auto" w:fill="C0C0C0"/>
            <w:noWrap/>
            <w:vAlign w:val="center"/>
            <w:hideMark/>
          </w:tcPr>
          <w:p w14:paraId="06347150" w14:textId="77777777" w:rsidR="00EA0FD7" w:rsidRPr="00EA0FD7" w:rsidRDefault="00EA0FD7" w:rsidP="00EA0FD7">
            <w:pPr>
              <w:spacing w:after="0" w:line="240" w:lineRule="auto"/>
              <w:jc w:val="center"/>
              <w:rPr>
                <w:rFonts w:ascii="Arial" w:eastAsia="Times New Roman" w:hAnsi="Arial" w:cs="Arial"/>
                <w:sz w:val="16"/>
                <w:szCs w:val="16"/>
                <w:lang w:val="sr-Cyrl-RS"/>
              </w:rPr>
            </w:pPr>
            <w:r w:rsidRPr="00EA0FD7">
              <w:rPr>
                <w:rFonts w:ascii="Arial" w:eastAsia="Times New Roman" w:hAnsi="Arial" w:cs="Arial"/>
                <w:sz w:val="16"/>
                <w:szCs w:val="16"/>
                <w:lang w:val="sr-Cyrl-RS"/>
              </w:rPr>
              <w:t> </w:t>
            </w:r>
          </w:p>
        </w:tc>
        <w:tc>
          <w:tcPr>
            <w:tcW w:w="3882" w:type="dxa"/>
            <w:tcBorders>
              <w:top w:val="nil"/>
              <w:left w:val="nil"/>
              <w:bottom w:val="single" w:sz="8" w:space="0" w:color="auto"/>
              <w:right w:val="single" w:sz="8" w:space="0" w:color="auto"/>
            </w:tcBorders>
            <w:shd w:val="clear" w:color="auto" w:fill="C0C0C0"/>
            <w:hideMark/>
          </w:tcPr>
          <w:p w14:paraId="24EBD106" w14:textId="61DBB753" w:rsidR="00EA0FD7" w:rsidRPr="00EA0FD7" w:rsidRDefault="00EA0FD7" w:rsidP="00EA0FD7">
            <w:pPr>
              <w:spacing w:after="0" w:line="240" w:lineRule="auto"/>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 xml:space="preserve">УКУПНО </w:t>
            </w:r>
            <w:r w:rsidRPr="00AE5455">
              <w:rPr>
                <w:rFonts w:ascii="Arial" w:eastAsia="Times New Roman" w:hAnsi="Arial" w:cs="Arial"/>
                <w:b/>
                <w:bCs/>
                <w:sz w:val="16"/>
                <w:szCs w:val="16"/>
                <w:lang w:val="sr-Cyrl-RS"/>
              </w:rPr>
              <w:t>ПОРЕСК</w:t>
            </w:r>
            <w:r w:rsidRPr="00EA0FD7">
              <w:rPr>
                <w:rFonts w:ascii="Arial" w:eastAsia="Times New Roman" w:hAnsi="Arial" w:cs="Arial"/>
                <w:b/>
                <w:bCs/>
                <w:sz w:val="16"/>
                <w:szCs w:val="16"/>
                <w:lang w:val="sr-Cyrl-RS"/>
              </w:rPr>
              <w:t>И ПРИХОДИ, НЕПОРЕСКИ ПРИХОДИ,ДОНАЦИЈЕ И ТРАНСФЕРИ  (</w:t>
            </w:r>
            <w:r w:rsidR="00303EB7">
              <w:rPr>
                <w:rFonts w:ascii="Arial" w:eastAsia="Times New Roman" w:hAnsi="Arial" w:cs="Arial"/>
                <w:b/>
                <w:bCs/>
                <w:sz w:val="16"/>
                <w:szCs w:val="16"/>
              </w:rPr>
              <w:t>I</w:t>
            </w:r>
            <w:r w:rsidRPr="00EA0FD7">
              <w:rPr>
                <w:rFonts w:ascii="Arial" w:eastAsia="Times New Roman" w:hAnsi="Arial" w:cs="Arial"/>
                <w:b/>
                <w:bCs/>
                <w:sz w:val="16"/>
                <w:szCs w:val="16"/>
                <w:lang w:val="sr-Cyrl-RS"/>
              </w:rPr>
              <w:t xml:space="preserve"> + </w:t>
            </w:r>
            <w:r w:rsidR="00303EB7">
              <w:rPr>
                <w:rFonts w:ascii="Arial" w:eastAsia="Times New Roman" w:hAnsi="Arial" w:cs="Arial"/>
                <w:b/>
                <w:bCs/>
                <w:sz w:val="16"/>
                <w:szCs w:val="16"/>
              </w:rPr>
              <w:t>II</w:t>
            </w:r>
            <w:r w:rsidRPr="00EA0FD7">
              <w:rPr>
                <w:rFonts w:ascii="Arial" w:eastAsia="Times New Roman" w:hAnsi="Arial" w:cs="Arial"/>
                <w:b/>
                <w:bCs/>
                <w:sz w:val="16"/>
                <w:szCs w:val="16"/>
                <w:lang w:val="sr-Cyrl-RS"/>
              </w:rPr>
              <w:t xml:space="preserve"> + </w:t>
            </w:r>
            <w:r w:rsidR="00303EB7">
              <w:rPr>
                <w:rFonts w:ascii="Arial" w:eastAsia="Times New Roman" w:hAnsi="Arial" w:cs="Arial"/>
                <w:b/>
                <w:bCs/>
                <w:sz w:val="16"/>
                <w:szCs w:val="16"/>
              </w:rPr>
              <w:t>III</w:t>
            </w:r>
            <w:r w:rsidRPr="00EA0FD7">
              <w:rPr>
                <w:rFonts w:ascii="Arial" w:eastAsia="Times New Roman" w:hAnsi="Arial" w:cs="Arial"/>
                <w:b/>
                <w:bCs/>
                <w:sz w:val="16"/>
                <w:szCs w:val="16"/>
                <w:lang w:val="sr-Cyrl-RS"/>
              </w:rPr>
              <w:t>)</w:t>
            </w:r>
          </w:p>
        </w:tc>
        <w:tc>
          <w:tcPr>
            <w:tcW w:w="1485" w:type="dxa"/>
            <w:tcBorders>
              <w:top w:val="nil"/>
              <w:left w:val="nil"/>
              <w:bottom w:val="single" w:sz="8" w:space="0" w:color="auto"/>
              <w:right w:val="single" w:sz="8" w:space="0" w:color="auto"/>
            </w:tcBorders>
            <w:shd w:val="clear" w:color="auto" w:fill="C0C0C0"/>
            <w:vAlign w:val="center"/>
            <w:hideMark/>
          </w:tcPr>
          <w:p w14:paraId="05BE872F"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236,493,442.54</w:t>
            </w:r>
          </w:p>
        </w:tc>
        <w:tc>
          <w:tcPr>
            <w:tcW w:w="1485" w:type="dxa"/>
            <w:tcBorders>
              <w:top w:val="nil"/>
              <w:left w:val="nil"/>
              <w:bottom w:val="single" w:sz="8" w:space="0" w:color="auto"/>
              <w:right w:val="single" w:sz="8" w:space="0" w:color="auto"/>
            </w:tcBorders>
            <w:shd w:val="clear" w:color="auto" w:fill="C0C0C0"/>
            <w:vAlign w:val="center"/>
            <w:hideMark/>
          </w:tcPr>
          <w:p w14:paraId="7954CBCB"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232,765,029.62</w:t>
            </w:r>
          </w:p>
        </w:tc>
        <w:tc>
          <w:tcPr>
            <w:tcW w:w="1485" w:type="dxa"/>
            <w:tcBorders>
              <w:top w:val="nil"/>
              <w:left w:val="nil"/>
              <w:bottom w:val="single" w:sz="8" w:space="0" w:color="auto"/>
              <w:right w:val="single" w:sz="8" w:space="0" w:color="auto"/>
            </w:tcBorders>
            <w:shd w:val="clear" w:color="auto" w:fill="C0C0C0"/>
            <w:vAlign w:val="center"/>
            <w:hideMark/>
          </w:tcPr>
          <w:p w14:paraId="451B3404"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61,943,187.83</w:t>
            </w:r>
          </w:p>
        </w:tc>
        <w:tc>
          <w:tcPr>
            <w:tcW w:w="1485" w:type="dxa"/>
            <w:tcBorders>
              <w:top w:val="nil"/>
              <w:left w:val="nil"/>
              <w:bottom w:val="single" w:sz="8" w:space="0" w:color="auto"/>
              <w:right w:val="single" w:sz="8" w:space="0" w:color="auto"/>
            </w:tcBorders>
            <w:shd w:val="clear" w:color="auto" w:fill="C0C0C0"/>
            <w:vAlign w:val="center"/>
            <w:hideMark/>
          </w:tcPr>
          <w:p w14:paraId="3FA74E4D"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271,663,660.00</w:t>
            </w:r>
          </w:p>
        </w:tc>
        <w:tc>
          <w:tcPr>
            <w:tcW w:w="1485" w:type="dxa"/>
            <w:tcBorders>
              <w:top w:val="nil"/>
              <w:left w:val="nil"/>
              <w:bottom w:val="single" w:sz="8" w:space="0" w:color="auto"/>
              <w:right w:val="single" w:sz="8" w:space="0" w:color="auto"/>
            </w:tcBorders>
            <w:shd w:val="clear" w:color="auto" w:fill="C0C0C0"/>
            <w:vAlign w:val="center"/>
            <w:hideMark/>
          </w:tcPr>
          <w:p w14:paraId="1073B971"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279,394,983.00</w:t>
            </w:r>
          </w:p>
        </w:tc>
        <w:tc>
          <w:tcPr>
            <w:tcW w:w="1485" w:type="dxa"/>
            <w:tcBorders>
              <w:top w:val="nil"/>
              <w:left w:val="nil"/>
              <w:bottom w:val="single" w:sz="8" w:space="0" w:color="auto"/>
              <w:right w:val="single" w:sz="8" w:space="0" w:color="auto"/>
            </w:tcBorders>
            <w:shd w:val="clear" w:color="auto" w:fill="C0C0C0"/>
            <w:vAlign w:val="center"/>
            <w:hideMark/>
          </w:tcPr>
          <w:p w14:paraId="429DD2E2"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287,694,963.00</w:t>
            </w:r>
          </w:p>
        </w:tc>
      </w:tr>
      <w:tr w:rsidR="00EA0FD7" w:rsidRPr="00EA0FD7" w14:paraId="7DAE47D3" w14:textId="77777777" w:rsidTr="00EA0FD7">
        <w:trPr>
          <w:trHeight w:val="198"/>
        </w:trPr>
        <w:tc>
          <w:tcPr>
            <w:tcW w:w="911" w:type="dxa"/>
            <w:tcBorders>
              <w:top w:val="nil"/>
              <w:left w:val="single" w:sz="8" w:space="0" w:color="auto"/>
              <w:bottom w:val="nil"/>
              <w:right w:val="single" w:sz="8" w:space="0" w:color="auto"/>
            </w:tcBorders>
            <w:noWrap/>
            <w:vAlign w:val="center"/>
            <w:hideMark/>
          </w:tcPr>
          <w:p w14:paraId="678CCBA6" w14:textId="560EBD22" w:rsidR="00EA0FD7" w:rsidRPr="00EA0FD7" w:rsidRDefault="00303EB7" w:rsidP="00EA0FD7">
            <w:pPr>
              <w:spacing w:after="0" w:line="240" w:lineRule="auto"/>
              <w:jc w:val="center"/>
              <w:rPr>
                <w:rFonts w:ascii="Arial" w:eastAsia="Times New Roman" w:hAnsi="Arial" w:cs="Arial"/>
                <w:b/>
                <w:bCs/>
                <w:sz w:val="16"/>
                <w:szCs w:val="16"/>
                <w:lang w:val="sr-Cyrl-RS"/>
              </w:rPr>
            </w:pPr>
            <w:r>
              <w:rPr>
                <w:rFonts w:ascii="Arial" w:eastAsia="Times New Roman" w:hAnsi="Arial" w:cs="Arial"/>
                <w:b/>
                <w:bCs/>
                <w:sz w:val="16"/>
                <w:szCs w:val="16"/>
              </w:rPr>
              <w:t>IV</w:t>
            </w:r>
            <w:r w:rsidR="00EA0FD7" w:rsidRPr="00EA0FD7">
              <w:rPr>
                <w:rFonts w:ascii="Arial" w:eastAsia="Times New Roman" w:hAnsi="Arial" w:cs="Arial"/>
                <w:b/>
                <w:bCs/>
                <w:sz w:val="16"/>
                <w:szCs w:val="16"/>
                <w:lang w:val="sr-Cyrl-RS"/>
              </w:rPr>
              <w:t xml:space="preserve"> </w:t>
            </w:r>
          </w:p>
        </w:tc>
        <w:tc>
          <w:tcPr>
            <w:tcW w:w="3882" w:type="dxa"/>
            <w:tcBorders>
              <w:top w:val="nil"/>
              <w:left w:val="nil"/>
              <w:bottom w:val="nil"/>
              <w:right w:val="single" w:sz="8" w:space="0" w:color="auto"/>
            </w:tcBorders>
            <w:hideMark/>
          </w:tcPr>
          <w:p w14:paraId="1F6D7CAB" w14:textId="77777777" w:rsidR="00EA0FD7" w:rsidRPr="00EA0FD7" w:rsidRDefault="00EA0FD7" w:rsidP="00EA0FD7">
            <w:pPr>
              <w:spacing w:after="0" w:line="240" w:lineRule="auto"/>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 xml:space="preserve">ФИНАНСИРАЊЕ                                                      </w:t>
            </w:r>
          </w:p>
        </w:tc>
        <w:tc>
          <w:tcPr>
            <w:tcW w:w="1485" w:type="dxa"/>
            <w:tcBorders>
              <w:top w:val="nil"/>
              <w:left w:val="nil"/>
              <w:bottom w:val="nil"/>
              <w:right w:val="single" w:sz="8" w:space="0" w:color="auto"/>
            </w:tcBorders>
            <w:vAlign w:val="center"/>
            <w:hideMark/>
          </w:tcPr>
          <w:p w14:paraId="46546C09"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8,794,836.48</w:t>
            </w:r>
          </w:p>
        </w:tc>
        <w:tc>
          <w:tcPr>
            <w:tcW w:w="1485" w:type="dxa"/>
            <w:tcBorders>
              <w:top w:val="nil"/>
              <w:left w:val="nil"/>
              <w:bottom w:val="nil"/>
              <w:right w:val="single" w:sz="8" w:space="0" w:color="auto"/>
            </w:tcBorders>
            <w:vAlign w:val="center"/>
            <w:hideMark/>
          </w:tcPr>
          <w:p w14:paraId="2FC16CC9"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34,253,309.89</w:t>
            </w:r>
          </w:p>
        </w:tc>
        <w:tc>
          <w:tcPr>
            <w:tcW w:w="1485" w:type="dxa"/>
            <w:tcBorders>
              <w:top w:val="nil"/>
              <w:left w:val="nil"/>
              <w:bottom w:val="nil"/>
              <w:right w:val="single" w:sz="8" w:space="0" w:color="auto"/>
            </w:tcBorders>
            <w:vAlign w:val="center"/>
            <w:hideMark/>
          </w:tcPr>
          <w:p w14:paraId="2A773ADB"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0.00</w:t>
            </w:r>
          </w:p>
        </w:tc>
        <w:tc>
          <w:tcPr>
            <w:tcW w:w="1485" w:type="dxa"/>
            <w:tcBorders>
              <w:top w:val="nil"/>
              <w:left w:val="nil"/>
              <w:bottom w:val="nil"/>
              <w:right w:val="single" w:sz="8" w:space="0" w:color="auto"/>
            </w:tcBorders>
            <w:vAlign w:val="center"/>
            <w:hideMark/>
          </w:tcPr>
          <w:p w14:paraId="3B19A340"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6,420,000.00</w:t>
            </w:r>
          </w:p>
        </w:tc>
        <w:tc>
          <w:tcPr>
            <w:tcW w:w="1485" w:type="dxa"/>
            <w:tcBorders>
              <w:top w:val="nil"/>
              <w:left w:val="nil"/>
              <w:bottom w:val="nil"/>
              <w:right w:val="single" w:sz="8" w:space="0" w:color="auto"/>
            </w:tcBorders>
            <w:vAlign w:val="center"/>
            <w:hideMark/>
          </w:tcPr>
          <w:p w14:paraId="619890DC"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6,360,000.00</w:t>
            </w:r>
          </w:p>
        </w:tc>
        <w:tc>
          <w:tcPr>
            <w:tcW w:w="1485" w:type="dxa"/>
            <w:tcBorders>
              <w:top w:val="nil"/>
              <w:left w:val="nil"/>
              <w:bottom w:val="nil"/>
              <w:right w:val="single" w:sz="8" w:space="0" w:color="auto"/>
            </w:tcBorders>
            <w:vAlign w:val="center"/>
            <w:hideMark/>
          </w:tcPr>
          <w:p w14:paraId="34FA341F"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6,290,000.00</w:t>
            </w:r>
          </w:p>
        </w:tc>
      </w:tr>
      <w:tr w:rsidR="00EA0FD7" w:rsidRPr="00EA0FD7" w14:paraId="1052C52C" w14:textId="77777777" w:rsidTr="00EA0FD7">
        <w:trPr>
          <w:trHeight w:val="223"/>
        </w:trPr>
        <w:tc>
          <w:tcPr>
            <w:tcW w:w="911" w:type="dxa"/>
            <w:tcBorders>
              <w:top w:val="single" w:sz="8" w:space="0" w:color="auto"/>
              <w:left w:val="single" w:sz="8" w:space="0" w:color="auto"/>
              <w:bottom w:val="single" w:sz="8" w:space="0" w:color="auto"/>
              <w:right w:val="single" w:sz="8" w:space="0" w:color="auto"/>
            </w:tcBorders>
            <w:noWrap/>
            <w:vAlign w:val="bottom"/>
            <w:hideMark/>
          </w:tcPr>
          <w:p w14:paraId="22065D32" w14:textId="77777777" w:rsidR="00EA0FD7" w:rsidRPr="00EA0FD7" w:rsidRDefault="00EA0FD7" w:rsidP="00EA0FD7">
            <w:pPr>
              <w:spacing w:after="0" w:line="240" w:lineRule="auto"/>
              <w:jc w:val="center"/>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814200</w:t>
            </w:r>
          </w:p>
        </w:tc>
        <w:tc>
          <w:tcPr>
            <w:tcW w:w="3882" w:type="dxa"/>
            <w:tcBorders>
              <w:top w:val="single" w:sz="8" w:space="0" w:color="auto"/>
              <w:left w:val="nil"/>
              <w:bottom w:val="single" w:sz="8" w:space="0" w:color="auto"/>
              <w:right w:val="single" w:sz="8" w:space="0" w:color="auto"/>
            </w:tcBorders>
            <w:shd w:val="clear" w:color="auto" w:fill="FFFFFF"/>
            <w:vAlign w:val="bottom"/>
            <w:hideMark/>
          </w:tcPr>
          <w:p w14:paraId="6931FE3C" w14:textId="77777777" w:rsidR="00EA0FD7" w:rsidRPr="00EA0FD7" w:rsidRDefault="00EA0FD7" w:rsidP="00EA0FD7">
            <w:pPr>
              <w:spacing w:after="0" w:line="240" w:lineRule="auto"/>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Примици од иностраног задуживања</w:t>
            </w:r>
          </w:p>
        </w:tc>
        <w:tc>
          <w:tcPr>
            <w:tcW w:w="1485" w:type="dxa"/>
            <w:tcBorders>
              <w:top w:val="single" w:sz="8" w:space="0" w:color="auto"/>
              <w:left w:val="nil"/>
              <w:bottom w:val="single" w:sz="8" w:space="0" w:color="auto"/>
              <w:right w:val="single" w:sz="8" w:space="0" w:color="auto"/>
            </w:tcBorders>
            <w:noWrap/>
            <w:vAlign w:val="bottom"/>
            <w:hideMark/>
          </w:tcPr>
          <w:p w14:paraId="3DF3310B"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2,431,116.25</w:t>
            </w:r>
          </w:p>
        </w:tc>
        <w:tc>
          <w:tcPr>
            <w:tcW w:w="1485" w:type="dxa"/>
            <w:tcBorders>
              <w:top w:val="single" w:sz="8" w:space="0" w:color="auto"/>
              <w:left w:val="nil"/>
              <w:bottom w:val="single" w:sz="8" w:space="0" w:color="auto"/>
              <w:right w:val="single" w:sz="8" w:space="0" w:color="auto"/>
            </w:tcBorders>
            <w:noWrap/>
            <w:vAlign w:val="bottom"/>
            <w:hideMark/>
          </w:tcPr>
          <w:p w14:paraId="35AD4664"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7,500,000.00</w:t>
            </w:r>
          </w:p>
        </w:tc>
        <w:tc>
          <w:tcPr>
            <w:tcW w:w="1485" w:type="dxa"/>
            <w:tcBorders>
              <w:top w:val="single" w:sz="8" w:space="0" w:color="auto"/>
              <w:left w:val="nil"/>
              <w:bottom w:val="single" w:sz="8" w:space="0" w:color="auto"/>
              <w:right w:val="single" w:sz="8" w:space="0" w:color="auto"/>
            </w:tcBorders>
            <w:noWrap/>
            <w:vAlign w:val="bottom"/>
            <w:hideMark/>
          </w:tcPr>
          <w:p w14:paraId="53724A89"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0.00</w:t>
            </w:r>
          </w:p>
        </w:tc>
        <w:tc>
          <w:tcPr>
            <w:tcW w:w="1485" w:type="dxa"/>
            <w:tcBorders>
              <w:top w:val="single" w:sz="8" w:space="0" w:color="auto"/>
              <w:left w:val="nil"/>
              <w:bottom w:val="single" w:sz="8" w:space="0" w:color="auto"/>
              <w:right w:val="single" w:sz="8" w:space="0" w:color="auto"/>
            </w:tcBorders>
            <w:noWrap/>
            <w:vAlign w:val="bottom"/>
            <w:hideMark/>
          </w:tcPr>
          <w:p w14:paraId="62A24C4C"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0.00</w:t>
            </w:r>
          </w:p>
        </w:tc>
        <w:tc>
          <w:tcPr>
            <w:tcW w:w="1485" w:type="dxa"/>
            <w:tcBorders>
              <w:top w:val="single" w:sz="8" w:space="0" w:color="auto"/>
              <w:left w:val="nil"/>
              <w:bottom w:val="single" w:sz="8" w:space="0" w:color="auto"/>
              <w:right w:val="single" w:sz="8" w:space="0" w:color="auto"/>
            </w:tcBorders>
            <w:noWrap/>
            <w:vAlign w:val="bottom"/>
            <w:hideMark/>
          </w:tcPr>
          <w:p w14:paraId="0755FA58"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0.00</w:t>
            </w:r>
          </w:p>
        </w:tc>
        <w:tc>
          <w:tcPr>
            <w:tcW w:w="1485" w:type="dxa"/>
            <w:tcBorders>
              <w:top w:val="single" w:sz="8" w:space="0" w:color="auto"/>
              <w:left w:val="nil"/>
              <w:bottom w:val="single" w:sz="8" w:space="0" w:color="auto"/>
              <w:right w:val="single" w:sz="8" w:space="0" w:color="auto"/>
            </w:tcBorders>
            <w:noWrap/>
            <w:vAlign w:val="bottom"/>
            <w:hideMark/>
          </w:tcPr>
          <w:p w14:paraId="0871C9AE"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0.00</w:t>
            </w:r>
          </w:p>
        </w:tc>
      </w:tr>
      <w:tr w:rsidR="00EA0FD7" w:rsidRPr="00EA0FD7" w14:paraId="5459CC40" w14:textId="77777777" w:rsidTr="00EA0FD7">
        <w:trPr>
          <w:trHeight w:val="470"/>
        </w:trPr>
        <w:tc>
          <w:tcPr>
            <w:tcW w:w="911" w:type="dxa"/>
            <w:tcBorders>
              <w:top w:val="nil"/>
              <w:left w:val="single" w:sz="8" w:space="0" w:color="auto"/>
              <w:bottom w:val="single" w:sz="8" w:space="0" w:color="auto"/>
              <w:right w:val="single" w:sz="8" w:space="0" w:color="auto"/>
            </w:tcBorders>
            <w:noWrap/>
            <w:vAlign w:val="bottom"/>
            <w:hideMark/>
          </w:tcPr>
          <w:p w14:paraId="5262DBDC" w14:textId="77777777" w:rsidR="00EA0FD7" w:rsidRPr="00EA0FD7" w:rsidRDefault="00EA0FD7" w:rsidP="00EA0FD7">
            <w:pPr>
              <w:spacing w:after="0" w:line="240" w:lineRule="auto"/>
              <w:jc w:val="center"/>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813300</w:t>
            </w:r>
          </w:p>
        </w:tc>
        <w:tc>
          <w:tcPr>
            <w:tcW w:w="3882" w:type="dxa"/>
            <w:tcBorders>
              <w:top w:val="nil"/>
              <w:left w:val="nil"/>
              <w:bottom w:val="single" w:sz="8" w:space="0" w:color="auto"/>
              <w:right w:val="single" w:sz="8" w:space="0" w:color="auto"/>
            </w:tcBorders>
            <w:shd w:val="clear" w:color="auto" w:fill="FFFFFF"/>
            <w:vAlign w:val="bottom"/>
            <w:hideMark/>
          </w:tcPr>
          <w:p w14:paraId="35996D93" w14:textId="77777777" w:rsidR="00EA0FD7" w:rsidRPr="00EA0FD7" w:rsidRDefault="00EA0FD7" w:rsidP="00EA0FD7">
            <w:pPr>
              <w:spacing w:after="0" w:line="240" w:lineRule="auto"/>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Примљене отплате од позајмљивања јавним предузећима</w:t>
            </w:r>
          </w:p>
        </w:tc>
        <w:tc>
          <w:tcPr>
            <w:tcW w:w="1485" w:type="dxa"/>
            <w:tcBorders>
              <w:top w:val="nil"/>
              <w:left w:val="nil"/>
              <w:bottom w:val="single" w:sz="8" w:space="0" w:color="auto"/>
              <w:right w:val="single" w:sz="8" w:space="0" w:color="auto"/>
            </w:tcBorders>
            <w:noWrap/>
            <w:vAlign w:val="bottom"/>
            <w:hideMark/>
          </w:tcPr>
          <w:p w14:paraId="5A0D7465"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6,363,720.23</w:t>
            </w:r>
          </w:p>
        </w:tc>
        <w:tc>
          <w:tcPr>
            <w:tcW w:w="1485" w:type="dxa"/>
            <w:tcBorders>
              <w:top w:val="nil"/>
              <w:left w:val="nil"/>
              <w:bottom w:val="single" w:sz="8" w:space="0" w:color="auto"/>
              <w:right w:val="single" w:sz="8" w:space="0" w:color="auto"/>
            </w:tcBorders>
            <w:noWrap/>
            <w:vAlign w:val="bottom"/>
            <w:hideMark/>
          </w:tcPr>
          <w:p w14:paraId="51373848"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6,480,000.00</w:t>
            </w:r>
          </w:p>
        </w:tc>
        <w:tc>
          <w:tcPr>
            <w:tcW w:w="1485" w:type="dxa"/>
            <w:tcBorders>
              <w:top w:val="nil"/>
              <w:left w:val="nil"/>
              <w:bottom w:val="single" w:sz="8" w:space="0" w:color="auto"/>
              <w:right w:val="single" w:sz="8" w:space="0" w:color="auto"/>
            </w:tcBorders>
            <w:noWrap/>
            <w:vAlign w:val="bottom"/>
            <w:hideMark/>
          </w:tcPr>
          <w:p w14:paraId="4E770A15"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0.00</w:t>
            </w:r>
          </w:p>
        </w:tc>
        <w:tc>
          <w:tcPr>
            <w:tcW w:w="1485" w:type="dxa"/>
            <w:tcBorders>
              <w:top w:val="nil"/>
              <w:left w:val="nil"/>
              <w:bottom w:val="single" w:sz="8" w:space="0" w:color="auto"/>
              <w:right w:val="single" w:sz="8" w:space="0" w:color="auto"/>
            </w:tcBorders>
            <w:noWrap/>
            <w:vAlign w:val="bottom"/>
            <w:hideMark/>
          </w:tcPr>
          <w:p w14:paraId="47CA9EFF"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6,420,000.00</w:t>
            </w:r>
          </w:p>
        </w:tc>
        <w:tc>
          <w:tcPr>
            <w:tcW w:w="1485" w:type="dxa"/>
            <w:tcBorders>
              <w:top w:val="nil"/>
              <w:left w:val="nil"/>
              <w:bottom w:val="single" w:sz="8" w:space="0" w:color="auto"/>
              <w:right w:val="single" w:sz="8" w:space="0" w:color="auto"/>
            </w:tcBorders>
            <w:noWrap/>
            <w:vAlign w:val="bottom"/>
            <w:hideMark/>
          </w:tcPr>
          <w:p w14:paraId="43426E89"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6,360,000.00</w:t>
            </w:r>
          </w:p>
        </w:tc>
        <w:tc>
          <w:tcPr>
            <w:tcW w:w="1485" w:type="dxa"/>
            <w:tcBorders>
              <w:top w:val="nil"/>
              <w:left w:val="nil"/>
              <w:bottom w:val="single" w:sz="8" w:space="0" w:color="auto"/>
              <w:right w:val="single" w:sz="8" w:space="0" w:color="auto"/>
            </w:tcBorders>
            <w:noWrap/>
            <w:vAlign w:val="bottom"/>
            <w:hideMark/>
          </w:tcPr>
          <w:p w14:paraId="669745B3"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6,290,000.00</w:t>
            </w:r>
          </w:p>
        </w:tc>
      </w:tr>
      <w:tr w:rsidR="00EA0FD7" w:rsidRPr="00EA0FD7" w14:paraId="0F300CBA" w14:textId="77777777" w:rsidTr="00EA0FD7">
        <w:trPr>
          <w:trHeight w:val="277"/>
        </w:trPr>
        <w:tc>
          <w:tcPr>
            <w:tcW w:w="911" w:type="dxa"/>
            <w:tcBorders>
              <w:top w:val="nil"/>
              <w:left w:val="single" w:sz="8" w:space="0" w:color="auto"/>
              <w:bottom w:val="single" w:sz="8" w:space="0" w:color="auto"/>
              <w:right w:val="single" w:sz="8" w:space="0" w:color="auto"/>
            </w:tcBorders>
            <w:noWrap/>
            <w:vAlign w:val="bottom"/>
            <w:hideMark/>
          </w:tcPr>
          <w:p w14:paraId="13FDA67E" w14:textId="77777777" w:rsidR="00EA0FD7" w:rsidRPr="00EA0FD7" w:rsidRDefault="00EA0FD7" w:rsidP="00EA0FD7">
            <w:pPr>
              <w:spacing w:after="0" w:line="240" w:lineRule="auto"/>
              <w:jc w:val="center"/>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591111</w:t>
            </w:r>
          </w:p>
        </w:tc>
        <w:tc>
          <w:tcPr>
            <w:tcW w:w="3882" w:type="dxa"/>
            <w:tcBorders>
              <w:top w:val="nil"/>
              <w:left w:val="nil"/>
              <w:bottom w:val="single" w:sz="8" w:space="0" w:color="auto"/>
              <w:right w:val="single" w:sz="8" w:space="0" w:color="auto"/>
            </w:tcBorders>
            <w:shd w:val="clear" w:color="auto" w:fill="FFFFFF"/>
            <w:vAlign w:val="bottom"/>
            <w:hideMark/>
          </w:tcPr>
          <w:p w14:paraId="04E8F131" w14:textId="77777777" w:rsidR="00EA0FD7" w:rsidRPr="00EA0FD7" w:rsidRDefault="00EA0FD7" w:rsidP="00EA0FD7">
            <w:pPr>
              <w:spacing w:after="0" w:line="240" w:lineRule="auto"/>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 xml:space="preserve">Вишак прихода над расходима из ранијих година </w:t>
            </w:r>
          </w:p>
        </w:tc>
        <w:tc>
          <w:tcPr>
            <w:tcW w:w="1485" w:type="dxa"/>
            <w:tcBorders>
              <w:top w:val="nil"/>
              <w:left w:val="nil"/>
              <w:bottom w:val="single" w:sz="8" w:space="0" w:color="auto"/>
              <w:right w:val="single" w:sz="8" w:space="0" w:color="auto"/>
            </w:tcBorders>
            <w:noWrap/>
            <w:vAlign w:val="bottom"/>
            <w:hideMark/>
          </w:tcPr>
          <w:p w14:paraId="777987DD"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0.00</w:t>
            </w:r>
          </w:p>
        </w:tc>
        <w:tc>
          <w:tcPr>
            <w:tcW w:w="1485" w:type="dxa"/>
            <w:tcBorders>
              <w:top w:val="nil"/>
              <w:left w:val="nil"/>
              <w:bottom w:val="single" w:sz="8" w:space="0" w:color="auto"/>
              <w:right w:val="single" w:sz="8" w:space="0" w:color="auto"/>
            </w:tcBorders>
            <w:noWrap/>
            <w:vAlign w:val="bottom"/>
            <w:hideMark/>
          </w:tcPr>
          <w:p w14:paraId="0C5E29CA"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20,273,309.89</w:t>
            </w:r>
          </w:p>
        </w:tc>
        <w:tc>
          <w:tcPr>
            <w:tcW w:w="1485" w:type="dxa"/>
            <w:tcBorders>
              <w:top w:val="nil"/>
              <w:left w:val="nil"/>
              <w:bottom w:val="single" w:sz="8" w:space="0" w:color="auto"/>
              <w:right w:val="single" w:sz="8" w:space="0" w:color="auto"/>
            </w:tcBorders>
            <w:noWrap/>
            <w:vAlign w:val="bottom"/>
            <w:hideMark/>
          </w:tcPr>
          <w:p w14:paraId="1375F1A5"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0.00</w:t>
            </w:r>
          </w:p>
        </w:tc>
        <w:tc>
          <w:tcPr>
            <w:tcW w:w="1485" w:type="dxa"/>
            <w:tcBorders>
              <w:top w:val="nil"/>
              <w:left w:val="nil"/>
              <w:bottom w:val="single" w:sz="8" w:space="0" w:color="auto"/>
              <w:right w:val="single" w:sz="8" w:space="0" w:color="auto"/>
            </w:tcBorders>
            <w:noWrap/>
            <w:vAlign w:val="bottom"/>
            <w:hideMark/>
          </w:tcPr>
          <w:p w14:paraId="2EC3F074"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0.00</w:t>
            </w:r>
          </w:p>
        </w:tc>
        <w:tc>
          <w:tcPr>
            <w:tcW w:w="1485" w:type="dxa"/>
            <w:tcBorders>
              <w:top w:val="nil"/>
              <w:left w:val="nil"/>
              <w:bottom w:val="single" w:sz="8" w:space="0" w:color="auto"/>
              <w:right w:val="single" w:sz="8" w:space="0" w:color="auto"/>
            </w:tcBorders>
            <w:noWrap/>
            <w:vAlign w:val="bottom"/>
            <w:hideMark/>
          </w:tcPr>
          <w:p w14:paraId="2DEC5DBF"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0.00</w:t>
            </w:r>
          </w:p>
        </w:tc>
        <w:tc>
          <w:tcPr>
            <w:tcW w:w="1485" w:type="dxa"/>
            <w:tcBorders>
              <w:top w:val="nil"/>
              <w:left w:val="nil"/>
              <w:bottom w:val="single" w:sz="8" w:space="0" w:color="auto"/>
              <w:right w:val="single" w:sz="8" w:space="0" w:color="auto"/>
            </w:tcBorders>
            <w:noWrap/>
            <w:vAlign w:val="bottom"/>
            <w:hideMark/>
          </w:tcPr>
          <w:p w14:paraId="5FD5266D" w14:textId="77777777" w:rsidR="00EA0FD7" w:rsidRPr="00EA0FD7" w:rsidRDefault="00EA0FD7" w:rsidP="00EA0FD7">
            <w:pPr>
              <w:spacing w:after="0" w:line="240" w:lineRule="auto"/>
              <w:jc w:val="right"/>
              <w:rPr>
                <w:rFonts w:ascii="Arial" w:eastAsia="Times New Roman" w:hAnsi="Arial" w:cs="Arial"/>
                <w:color w:val="FF0000"/>
                <w:sz w:val="16"/>
                <w:szCs w:val="16"/>
                <w:lang w:val="sr-Cyrl-RS"/>
              </w:rPr>
            </w:pPr>
            <w:r w:rsidRPr="00EA0FD7">
              <w:rPr>
                <w:rFonts w:ascii="Arial" w:eastAsia="Times New Roman" w:hAnsi="Arial" w:cs="Arial"/>
                <w:color w:val="FF0000"/>
                <w:sz w:val="16"/>
                <w:szCs w:val="16"/>
                <w:lang w:val="sr-Cyrl-RS"/>
              </w:rPr>
              <w:t>0.00</w:t>
            </w:r>
          </w:p>
        </w:tc>
      </w:tr>
      <w:tr w:rsidR="00EA0FD7" w:rsidRPr="00EA0FD7" w14:paraId="11FE855A" w14:textId="77777777" w:rsidTr="00EA0FD7">
        <w:trPr>
          <w:trHeight w:val="408"/>
        </w:trPr>
        <w:tc>
          <w:tcPr>
            <w:tcW w:w="911" w:type="dxa"/>
            <w:tcBorders>
              <w:top w:val="nil"/>
              <w:left w:val="single" w:sz="8" w:space="0" w:color="auto"/>
              <w:bottom w:val="single" w:sz="8" w:space="0" w:color="auto"/>
              <w:right w:val="single" w:sz="4" w:space="0" w:color="auto"/>
            </w:tcBorders>
            <w:shd w:val="clear" w:color="auto" w:fill="C0C0C0"/>
            <w:noWrap/>
            <w:vAlign w:val="bottom"/>
            <w:hideMark/>
          </w:tcPr>
          <w:p w14:paraId="4164E8F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lastRenderedPageBreak/>
              <w:t> </w:t>
            </w:r>
          </w:p>
        </w:tc>
        <w:tc>
          <w:tcPr>
            <w:tcW w:w="3882" w:type="dxa"/>
            <w:tcBorders>
              <w:top w:val="nil"/>
              <w:left w:val="nil"/>
              <w:bottom w:val="single" w:sz="8" w:space="0" w:color="auto"/>
              <w:right w:val="single" w:sz="4" w:space="0" w:color="auto"/>
            </w:tcBorders>
            <w:shd w:val="clear" w:color="auto" w:fill="C0C0C0"/>
            <w:vAlign w:val="bottom"/>
            <w:hideMark/>
          </w:tcPr>
          <w:p w14:paraId="574A9B81" w14:textId="4F86C749" w:rsidR="00EA0FD7" w:rsidRPr="00303EB7" w:rsidRDefault="00EA0FD7" w:rsidP="00EA0FD7">
            <w:pPr>
              <w:spacing w:after="0" w:line="240" w:lineRule="auto"/>
              <w:rPr>
                <w:rFonts w:ascii="Arial" w:eastAsia="Times New Roman" w:hAnsi="Arial" w:cs="Arial"/>
                <w:b/>
                <w:bCs/>
                <w:sz w:val="18"/>
                <w:szCs w:val="18"/>
              </w:rPr>
            </w:pPr>
            <w:r w:rsidRPr="00EA0FD7">
              <w:rPr>
                <w:rFonts w:ascii="Arial" w:eastAsia="Times New Roman" w:hAnsi="Arial" w:cs="Arial"/>
                <w:b/>
                <w:bCs/>
                <w:sz w:val="18"/>
                <w:szCs w:val="18"/>
                <w:lang w:val="sr-Cyrl-RS"/>
              </w:rPr>
              <w:t xml:space="preserve">СВЕУКУПНО ПРИХОДИ И ФИНАНСИРАЊЕ </w:t>
            </w:r>
            <w:r w:rsidRPr="00EA0FD7">
              <w:rPr>
                <w:rFonts w:ascii="Arial" w:eastAsia="Times New Roman" w:hAnsi="Arial" w:cs="Arial"/>
                <w:b/>
                <w:bCs/>
                <w:sz w:val="18"/>
                <w:szCs w:val="18"/>
                <w:lang w:val="sr-Cyrl-RS"/>
              </w:rPr>
              <w:br/>
              <w:t>(</w:t>
            </w:r>
            <w:r w:rsidR="00303EB7">
              <w:rPr>
                <w:rFonts w:ascii="Arial" w:eastAsia="Times New Roman" w:hAnsi="Arial" w:cs="Arial"/>
                <w:b/>
                <w:bCs/>
                <w:sz w:val="18"/>
                <w:szCs w:val="18"/>
              </w:rPr>
              <w:t>I</w:t>
            </w:r>
            <w:r w:rsidRPr="00EA0FD7">
              <w:rPr>
                <w:rFonts w:ascii="Arial" w:eastAsia="Times New Roman" w:hAnsi="Arial" w:cs="Arial"/>
                <w:b/>
                <w:bCs/>
                <w:sz w:val="18"/>
                <w:szCs w:val="18"/>
                <w:lang w:val="sr-Cyrl-RS"/>
              </w:rPr>
              <w:t>+</w:t>
            </w:r>
            <w:r w:rsidR="00303EB7">
              <w:rPr>
                <w:rFonts w:ascii="Arial" w:eastAsia="Times New Roman" w:hAnsi="Arial" w:cs="Arial"/>
                <w:b/>
                <w:bCs/>
                <w:sz w:val="18"/>
                <w:szCs w:val="18"/>
              </w:rPr>
              <w:t>II</w:t>
            </w:r>
            <w:r w:rsidRPr="00EA0FD7">
              <w:rPr>
                <w:rFonts w:ascii="Arial" w:eastAsia="Times New Roman" w:hAnsi="Arial" w:cs="Arial"/>
                <w:b/>
                <w:bCs/>
                <w:sz w:val="18"/>
                <w:szCs w:val="18"/>
                <w:lang w:val="sr-Cyrl-RS"/>
              </w:rPr>
              <w:t>+</w:t>
            </w:r>
            <w:r w:rsidR="00303EB7">
              <w:rPr>
                <w:rFonts w:ascii="Arial" w:eastAsia="Times New Roman" w:hAnsi="Arial" w:cs="Arial"/>
                <w:b/>
                <w:bCs/>
                <w:sz w:val="18"/>
                <w:szCs w:val="18"/>
              </w:rPr>
              <w:t>III</w:t>
            </w:r>
            <w:r w:rsidRPr="00EA0FD7">
              <w:rPr>
                <w:rFonts w:ascii="Arial" w:eastAsia="Times New Roman" w:hAnsi="Arial" w:cs="Arial"/>
                <w:b/>
                <w:bCs/>
                <w:sz w:val="18"/>
                <w:szCs w:val="18"/>
                <w:lang w:val="sr-Cyrl-RS"/>
              </w:rPr>
              <w:t>)+</w:t>
            </w:r>
            <w:r w:rsidR="00303EB7">
              <w:rPr>
                <w:rFonts w:ascii="Arial" w:eastAsia="Times New Roman" w:hAnsi="Arial" w:cs="Arial"/>
                <w:b/>
                <w:bCs/>
                <w:sz w:val="18"/>
                <w:szCs w:val="18"/>
              </w:rPr>
              <w:t>IV</w:t>
            </w:r>
          </w:p>
        </w:tc>
        <w:tc>
          <w:tcPr>
            <w:tcW w:w="1485" w:type="dxa"/>
            <w:tcBorders>
              <w:top w:val="nil"/>
              <w:left w:val="nil"/>
              <w:bottom w:val="single" w:sz="8" w:space="0" w:color="auto"/>
              <w:right w:val="single" w:sz="4" w:space="0" w:color="auto"/>
            </w:tcBorders>
            <w:shd w:val="clear" w:color="auto" w:fill="C0C0C0"/>
            <w:noWrap/>
            <w:vAlign w:val="bottom"/>
            <w:hideMark/>
          </w:tcPr>
          <w:p w14:paraId="643C982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245,288,279.02</w:t>
            </w:r>
          </w:p>
        </w:tc>
        <w:tc>
          <w:tcPr>
            <w:tcW w:w="1485" w:type="dxa"/>
            <w:tcBorders>
              <w:top w:val="nil"/>
              <w:left w:val="nil"/>
              <w:bottom w:val="single" w:sz="8" w:space="0" w:color="auto"/>
              <w:right w:val="single" w:sz="4" w:space="0" w:color="auto"/>
            </w:tcBorders>
            <w:shd w:val="clear" w:color="auto" w:fill="C0C0C0"/>
            <w:noWrap/>
            <w:vAlign w:val="bottom"/>
            <w:hideMark/>
          </w:tcPr>
          <w:p w14:paraId="03A5E66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267,018,339.51</w:t>
            </w:r>
          </w:p>
        </w:tc>
        <w:tc>
          <w:tcPr>
            <w:tcW w:w="1485" w:type="dxa"/>
            <w:tcBorders>
              <w:top w:val="nil"/>
              <w:left w:val="nil"/>
              <w:bottom w:val="single" w:sz="8" w:space="0" w:color="auto"/>
              <w:right w:val="single" w:sz="4" w:space="0" w:color="auto"/>
            </w:tcBorders>
            <w:shd w:val="clear" w:color="auto" w:fill="C0C0C0"/>
            <w:noWrap/>
            <w:vAlign w:val="bottom"/>
            <w:hideMark/>
          </w:tcPr>
          <w:p w14:paraId="0E85269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61,943,187.83</w:t>
            </w:r>
          </w:p>
        </w:tc>
        <w:tc>
          <w:tcPr>
            <w:tcW w:w="1485" w:type="dxa"/>
            <w:tcBorders>
              <w:top w:val="nil"/>
              <w:left w:val="nil"/>
              <w:bottom w:val="single" w:sz="8" w:space="0" w:color="auto"/>
              <w:right w:val="single" w:sz="4" w:space="0" w:color="auto"/>
            </w:tcBorders>
            <w:shd w:val="clear" w:color="auto" w:fill="C0C0C0"/>
            <w:noWrap/>
            <w:vAlign w:val="bottom"/>
            <w:hideMark/>
          </w:tcPr>
          <w:p w14:paraId="2526E7B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278,083,660.00</w:t>
            </w:r>
          </w:p>
        </w:tc>
        <w:tc>
          <w:tcPr>
            <w:tcW w:w="1485" w:type="dxa"/>
            <w:tcBorders>
              <w:top w:val="nil"/>
              <w:left w:val="nil"/>
              <w:bottom w:val="single" w:sz="8" w:space="0" w:color="auto"/>
              <w:right w:val="single" w:sz="4" w:space="0" w:color="auto"/>
            </w:tcBorders>
            <w:shd w:val="clear" w:color="auto" w:fill="C0C0C0"/>
            <w:noWrap/>
            <w:vAlign w:val="bottom"/>
            <w:hideMark/>
          </w:tcPr>
          <w:p w14:paraId="609353E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285,754,983.00</w:t>
            </w:r>
          </w:p>
        </w:tc>
        <w:tc>
          <w:tcPr>
            <w:tcW w:w="1485" w:type="dxa"/>
            <w:tcBorders>
              <w:top w:val="nil"/>
              <w:left w:val="nil"/>
              <w:bottom w:val="single" w:sz="8" w:space="0" w:color="auto"/>
              <w:right w:val="single" w:sz="4" w:space="0" w:color="auto"/>
            </w:tcBorders>
            <w:shd w:val="clear" w:color="auto" w:fill="C0C0C0"/>
            <w:noWrap/>
            <w:vAlign w:val="bottom"/>
            <w:hideMark/>
          </w:tcPr>
          <w:p w14:paraId="0F06C69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293,984,963.00</w:t>
            </w:r>
          </w:p>
        </w:tc>
      </w:tr>
    </w:tbl>
    <w:p w14:paraId="6C4E7B06"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sectPr w:rsidR="00EA0FD7" w:rsidRPr="00EA0FD7">
          <w:pgSz w:w="16834" w:h="11909" w:orient="landscape"/>
          <w:pgMar w:top="540" w:right="1282" w:bottom="1080" w:left="1411" w:header="706" w:footer="706" w:gutter="0"/>
          <w:cols w:space="720"/>
        </w:sectPr>
      </w:pPr>
    </w:p>
    <w:p w14:paraId="19D29143"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r w:rsidRPr="00752F04">
        <w:rPr>
          <w:rFonts w:ascii="Times New Roman" w:eastAsia="Times New Roman" w:hAnsi="Times New Roman" w:cs="Times New Roman"/>
          <w:b/>
          <w:bCs/>
          <w:sz w:val="24"/>
          <w:szCs w:val="24"/>
          <w:lang w:val="sr-Cyrl-RS" w:eastAsia="hr-HR"/>
        </w:rPr>
        <w:lastRenderedPageBreak/>
        <w:t>Финансијски</w:t>
      </w:r>
      <w:r w:rsidRPr="00EA0FD7">
        <w:rPr>
          <w:rFonts w:ascii="Times New Roman" w:eastAsia="Times New Roman" w:hAnsi="Times New Roman" w:cs="Times New Roman"/>
          <w:b/>
          <w:bCs/>
          <w:sz w:val="24"/>
          <w:szCs w:val="24"/>
          <w:lang w:val="sr-Cyrl-RS" w:eastAsia="hr-HR"/>
        </w:rPr>
        <w:t xml:space="preserve"> планови ванбуџетских фондова</w:t>
      </w:r>
      <w:r w:rsidRPr="00EA0FD7">
        <w:rPr>
          <w:rFonts w:ascii="Times New Roman" w:eastAsia="Times New Roman" w:hAnsi="Times New Roman" w:cs="Times New Roman"/>
          <w:b/>
          <w:sz w:val="24"/>
          <w:szCs w:val="24"/>
          <w:lang w:val="sr-Cyrl-RS" w:eastAsia="hr-HR"/>
        </w:rPr>
        <w:t xml:space="preserve"> и ванбуџетских корисника који су обвезници примјене буџетског рачуноводства (по извору финансирања)</w:t>
      </w:r>
    </w:p>
    <w:p w14:paraId="3E1B896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17270D5"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У Брчко дистрикту БиХ постоје два ванбуџетска фонда: Фонд здравственог осигурања и Завод за запошљавање и три ванбуџетска корисника који су обвезници примјене буџетског рачуноводства: Развојно-гарантни фонд, Завод за планирање, пројектовање и развој Брчко дистрикта БиХ и Радио-новинска и издавачка установа „Радио Брчко“ Брчко дистрикт БиХ.</w:t>
      </w:r>
    </w:p>
    <w:p w14:paraId="5E5F7B5C" w14:textId="77777777" w:rsidR="00EA0FD7" w:rsidRPr="00EA0FD7" w:rsidRDefault="00EA0FD7" w:rsidP="00EA0FD7">
      <w:pPr>
        <w:spacing w:after="0" w:line="240" w:lineRule="auto"/>
        <w:jc w:val="both"/>
        <w:rPr>
          <w:rFonts w:ascii="Times New Roman" w:eastAsia="Times New Roman" w:hAnsi="Times New Roman" w:cs="Times New Roman"/>
          <w:b/>
          <w:color w:val="FF0000"/>
          <w:sz w:val="24"/>
          <w:lang w:val="sr-Cyrl-RS" w:eastAsia="hr-HR"/>
        </w:rPr>
      </w:pPr>
    </w:p>
    <w:p w14:paraId="100C6C6A" w14:textId="77777777" w:rsidR="00EA0FD7" w:rsidRPr="00EA0FD7" w:rsidRDefault="00EA0FD7" w:rsidP="00EA0FD7">
      <w:pPr>
        <w:spacing w:after="0" w:line="240" w:lineRule="auto"/>
        <w:jc w:val="both"/>
        <w:rPr>
          <w:rFonts w:ascii="Times New Roman" w:eastAsia="Times New Roman" w:hAnsi="Times New Roman" w:cs="Times New Roman"/>
          <w:color w:val="FF0000"/>
          <w:sz w:val="24"/>
          <w:lang w:val="sr-Cyrl-RS" w:eastAsia="hr-HR"/>
        </w:rPr>
      </w:pPr>
      <w:r w:rsidRPr="00EA0FD7">
        <w:rPr>
          <w:rFonts w:ascii="Times New Roman" w:eastAsia="Times New Roman" w:hAnsi="Times New Roman" w:cs="Times New Roman"/>
          <w:sz w:val="24"/>
          <w:lang w:val="sr-Cyrl-RS" w:eastAsia="hr-HR"/>
        </w:rPr>
        <w:t>Фонд здравственог осигурања је у 2021. години остварио властите приходе у износу од</w:t>
      </w:r>
      <w:r w:rsidRPr="00EA0FD7">
        <w:rPr>
          <w:rFonts w:ascii="Times New Roman" w:eastAsia="Times New Roman" w:hAnsi="Times New Roman" w:cs="Times New Roman"/>
          <w:sz w:val="24"/>
          <w:lang w:val="sr-Cyrl-RS" w:eastAsia="sr-Latn-BA"/>
        </w:rPr>
        <w:t xml:space="preserve"> 34.485.236  </w:t>
      </w:r>
      <w:r w:rsidRPr="00EA0FD7">
        <w:rPr>
          <w:rFonts w:ascii="Times New Roman" w:eastAsia="Times New Roman" w:hAnsi="Times New Roman" w:cs="Times New Roman"/>
          <w:sz w:val="24"/>
          <w:lang w:val="sr-Cyrl-RS" w:eastAsia="hr-HR"/>
        </w:rPr>
        <w:t xml:space="preserve">КМ, док им је план за 2022. годину </w:t>
      </w:r>
      <w:r w:rsidRPr="00EA0FD7">
        <w:rPr>
          <w:rFonts w:ascii="Times New Roman" w:eastAsia="Times New Roman" w:hAnsi="Times New Roman" w:cs="Times New Roman"/>
          <w:sz w:val="24"/>
          <w:lang w:val="sr-Cyrl-RS" w:eastAsia="sr-Latn-BA"/>
        </w:rPr>
        <w:t>33.233.236</w:t>
      </w:r>
      <w:r w:rsidRPr="00EA0FD7">
        <w:rPr>
          <w:rFonts w:ascii="Times New Roman" w:eastAsia="Times New Roman" w:hAnsi="Times New Roman" w:cs="Times New Roman"/>
          <w:sz w:val="24"/>
          <w:lang w:val="sr-Cyrl-RS" w:eastAsia="hr-HR"/>
        </w:rPr>
        <w:t xml:space="preserve"> КМ, што је за 3,63% мање у односу на извршење 2021. године. У 2023. години процјењују се властити приходи у износу од </w:t>
      </w:r>
      <w:r w:rsidRPr="00EA0FD7">
        <w:rPr>
          <w:rFonts w:ascii="Times New Roman" w:eastAsia="Times New Roman" w:hAnsi="Times New Roman" w:cs="Times New Roman"/>
          <w:sz w:val="24"/>
          <w:lang w:val="sr-Cyrl-RS" w:eastAsia="sr-Latn-BA"/>
        </w:rPr>
        <w:t xml:space="preserve">32.971.267 </w:t>
      </w:r>
      <w:r w:rsidRPr="00EA0FD7">
        <w:rPr>
          <w:rFonts w:ascii="Times New Roman" w:eastAsia="Times New Roman" w:hAnsi="Times New Roman" w:cs="Times New Roman"/>
          <w:sz w:val="24"/>
          <w:lang w:val="sr-Cyrl-RS" w:eastAsia="hr-HR"/>
        </w:rPr>
        <w:t xml:space="preserve">КМ, што је за 0,79% мање у односу на план 2022. године. У 2024. години процјењују се властити приходи у износу од </w:t>
      </w:r>
      <w:r w:rsidRPr="00EA0FD7">
        <w:rPr>
          <w:rFonts w:ascii="Times New Roman" w:eastAsia="Times New Roman" w:hAnsi="Times New Roman" w:cs="Times New Roman"/>
          <w:sz w:val="24"/>
          <w:lang w:val="sr-Cyrl-RS" w:eastAsia="sr-Latn-BA"/>
        </w:rPr>
        <w:t xml:space="preserve">33.021.267 </w:t>
      </w:r>
      <w:r w:rsidRPr="00EA0FD7">
        <w:rPr>
          <w:rFonts w:ascii="Times New Roman" w:eastAsia="Times New Roman" w:hAnsi="Times New Roman" w:cs="Times New Roman"/>
          <w:sz w:val="24"/>
          <w:lang w:val="sr-Cyrl-RS" w:eastAsia="hr-HR"/>
        </w:rPr>
        <w:t xml:space="preserve">КМ, односно за 0,15% више у односу на план 2023. године, док се за 2025. годину процјењују властити приходи у износу од  </w:t>
      </w:r>
      <w:r w:rsidRPr="00EA0FD7">
        <w:rPr>
          <w:rFonts w:ascii="Times New Roman" w:eastAsia="Times New Roman" w:hAnsi="Times New Roman" w:cs="Times New Roman"/>
          <w:sz w:val="24"/>
          <w:lang w:val="sr-Cyrl-RS" w:eastAsia="sr-Latn-BA"/>
        </w:rPr>
        <w:t xml:space="preserve">33.071.267 </w:t>
      </w:r>
      <w:r w:rsidRPr="00EA0FD7">
        <w:rPr>
          <w:rFonts w:ascii="Times New Roman" w:eastAsia="Times New Roman" w:hAnsi="Times New Roman" w:cs="Times New Roman"/>
          <w:sz w:val="24"/>
          <w:lang w:val="sr-Cyrl-RS" w:eastAsia="hr-HR"/>
        </w:rPr>
        <w:t>КМ, или за 0,15% више у односу на план 2024. године.</w:t>
      </w:r>
    </w:p>
    <w:p w14:paraId="47A7D8E0" w14:textId="77777777" w:rsidR="00EA0FD7" w:rsidRPr="00EA0FD7" w:rsidRDefault="00EA0FD7" w:rsidP="00EA0FD7">
      <w:pPr>
        <w:spacing w:after="0" w:line="240" w:lineRule="auto"/>
        <w:jc w:val="both"/>
        <w:rPr>
          <w:rFonts w:ascii="Arial" w:eastAsia="Times New Roman" w:hAnsi="Arial" w:cs="Arial"/>
          <w:color w:val="FF0000"/>
          <w:sz w:val="24"/>
          <w:lang w:val="sr-Cyrl-RS" w:eastAsia="hr-HR"/>
        </w:rPr>
      </w:pPr>
    </w:p>
    <w:p w14:paraId="0D37F653" w14:textId="77777777" w:rsidR="00EA0FD7" w:rsidRPr="00EA0FD7" w:rsidRDefault="00EA0FD7" w:rsidP="00EA0FD7">
      <w:pPr>
        <w:spacing w:after="0" w:line="240" w:lineRule="auto"/>
        <w:jc w:val="both"/>
        <w:rPr>
          <w:rFonts w:ascii="Times New Roman" w:eastAsia="Times New Roman" w:hAnsi="Times New Roman" w:cs="Times New Roman"/>
          <w:b/>
          <w:bCs/>
          <w:color w:val="FFFFFF"/>
          <w:sz w:val="20"/>
          <w:szCs w:val="24"/>
          <w:lang w:val="sr-Cyrl-RS" w:eastAsia="sr-Latn-BA"/>
        </w:rPr>
      </w:pPr>
      <w:r w:rsidRPr="00EA0FD7">
        <w:rPr>
          <w:rFonts w:ascii="Times New Roman" w:eastAsia="Times New Roman" w:hAnsi="Times New Roman" w:cs="Times New Roman"/>
          <w:b/>
          <w:bCs/>
          <w:sz w:val="20"/>
          <w:szCs w:val="24"/>
          <w:lang w:val="sr-Cyrl-RS" w:eastAsia="hr-HR"/>
        </w:rPr>
        <w:t>Табела 3.8.</w:t>
      </w:r>
      <w:r w:rsidRPr="00EA0FD7">
        <w:rPr>
          <w:rFonts w:ascii="Times New Roman" w:eastAsia="Times New Roman" w:hAnsi="Times New Roman" w:cs="Times New Roman"/>
          <w:bCs/>
          <w:sz w:val="20"/>
          <w:szCs w:val="24"/>
          <w:lang w:val="sr-Cyrl-RS" w:eastAsia="hr-HR"/>
        </w:rPr>
        <w:t xml:space="preserve"> Финансијски план прихода </w:t>
      </w:r>
      <w:r w:rsidRPr="00EA0FD7">
        <w:rPr>
          <w:rFonts w:ascii="Times New Roman" w:eastAsia="Times New Roman" w:hAnsi="Times New Roman" w:cs="Times New Roman"/>
          <w:sz w:val="20"/>
          <w:szCs w:val="24"/>
          <w:lang w:val="sr-Cyrl-RS" w:eastAsia="hr-HR"/>
        </w:rPr>
        <w:t xml:space="preserve">Фонда здравственог осигурања за период 2023–2025. године   </w:t>
      </w:r>
      <w:r w:rsidRPr="00EA0FD7">
        <w:rPr>
          <w:rFonts w:ascii="Times New Roman" w:eastAsia="Times New Roman" w:hAnsi="Times New Roman" w:cs="Times New Roman"/>
          <w:b/>
          <w:bCs/>
          <w:color w:val="FFFFFF"/>
          <w:sz w:val="20"/>
          <w:szCs w:val="24"/>
          <w:lang w:val="sr-Cyrl-RS" w:eastAsia="sr-Latn-BA"/>
        </w:rPr>
        <w:t xml:space="preserve">   </w:t>
      </w:r>
    </w:p>
    <w:tbl>
      <w:tblPr>
        <w:tblW w:w="10160" w:type="dxa"/>
        <w:tblInd w:w="93" w:type="dxa"/>
        <w:tblLook w:val="04A0" w:firstRow="1" w:lastRow="0" w:firstColumn="1" w:lastColumn="0" w:noHBand="0" w:noVBand="1"/>
      </w:tblPr>
      <w:tblGrid>
        <w:gridCol w:w="1860"/>
        <w:gridCol w:w="1660"/>
        <w:gridCol w:w="1660"/>
        <w:gridCol w:w="1660"/>
        <w:gridCol w:w="1660"/>
        <w:gridCol w:w="1660"/>
      </w:tblGrid>
      <w:tr w:rsidR="00EA0FD7" w:rsidRPr="00EA0FD7" w14:paraId="29345811" w14:textId="77777777" w:rsidTr="00EA0FD7">
        <w:trPr>
          <w:trHeight w:val="450"/>
        </w:trPr>
        <w:tc>
          <w:tcPr>
            <w:tcW w:w="18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36F185AD"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Врста прихода</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6AA2082D"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Извршење</w:t>
            </w:r>
            <w:r w:rsidRPr="00EA0FD7">
              <w:rPr>
                <w:rFonts w:ascii="Arial" w:eastAsia="Times New Roman" w:hAnsi="Arial" w:cs="Arial"/>
                <w:b/>
                <w:bCs/>
                <w:color w:val="FFFFFF"/>
                <w:sz w:val="20"/>
                <w:szCs w:val="20"/>
                <w:lang w:val="sr-Cyrl-RS"/>
              </w:rPr>
              <w:br/>
              <w:t>2021</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65208761"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План</w:t>
            </w:r>
            <w:r w:rsidRPr="00EA0FD7">
              <w:rPr>
                <w:rFonts w:ascii="Arial" w:eastAsia="Times New Roman" w:hAnsi="Arial" w:cs="Arial"/>
                <w:b/>
                <w:bCs/>
                <w:color w:val="FFFFFF"/>
                <w:sz w:val="20"/>
                <w:szCs w:val="20"/>
                <w:lang w:val="sr-Cyrl-RS"/>
              </w:rPr>
              <w:br/>
              <w:t>2022</w:t>
            </w:r>
          </w:p>
        </w:tc>
        <w:tc>
          <w:tcPr>
            <w:tcW w:w="4980" w:type="dxa"/>
            <w:gridSpan w:val="3"/>
            <w:vMerge w:val="restart"/>
            <w:tcBorders>
              <w:top w:val="single" w:sz="8" w:space="0" w:color="auto"/>
              <w:left w:val="single" w:sz="8" w:space="0" w:color="auto"/>
              <w:bottom w:val="single" w:sz="8" w:space="0" w:color="000000"/>
              <w:right w:val="single" w:sz="8" w:space="0" w:color="000000"/>
            </w:tcBorders>
            <w:shd w:val="clear" w:color="auto" w:fill="808080"/>
            <w:vAlign w:val="center"/>
            <w:hideMark/>
          </w:tcPr>
          <w:p w14:paraId="2BF676B2"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Финансијски план</w:t>
            </w:r>
          </w:p>
        </w:tc>
      </w:tr>
      <w:tr w:rsidR="00EA0FD7" w:rsidRPr="00EA0FD7" w14:paraId="1B0A59F7" w14:textId="77777777" w:rsidTr="00EA0FD7">
        <w:trPr>
          <w:trHeight w:val="45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235001"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C1094F"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18EF876"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14:paraId="74DE9BC2"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r>
      <w:tr w:rsidR="00EA0FD7" w:rsidRPr="00EA0FD7" w14:paraId="54E1FE56" w14:textId="77777777" w:rsidTr="00EA0FD7">
        <w:trPr>
          <w:trHeight w:val="14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2A0F33"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39619C1"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066CF43"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1660" w:type="dxa"/>
            <w:tcBorders>
              <w:top w:val="nil"/>
              <w:left w:val="nil"/>
              <w:bottom w:val="single" w:sz="8" w:space="0" w:color="auto"/>
              <w:right w:val="single" w:sz="8" w:space="0" w:color="auto"/>
            </w:tcBorders>
            <w:shd w:val="clear" w:color="auto" w:fill="808080"/>
            <w:vAlign w:val="center"/>
            <w:hideMark/>
          </w:tcPr>
          <w:p w14:paraId="132A287E"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2023</w:t>
            </w:r>
          </w:p>
        </w:tc>
        <w:tc>
          <w:tcPr>
            <w:tcW w:w="1660" w:type="dxa"/>
            <w:tcBorders>
              <w:top w:val="nil"/>
              <w:left w:val="nil"/>
              <w:bottom w:val="single" w:sz="8" w:space="0" w:color="auto"/>
              <w:right w:val="single" w:sz="8" w:space="0" w:color="auto"/>
            </w:tcBorders>
            <w:shd w:val="clear" w:color="auto" w:fill="808080"/>
            <w:vAlign w:val="center"/>
            <w:hideMark/>
          </w:tcPr>
          <w:p w14:paraId="53601382"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2024</w:t>
            </w:r>
          </w:p>
        </w:tc>
        <w:tc>
          <w:tcPr>
            <w:tcW w:w="1660" w:type="dxa"/>
            <w:tcBorders>
              <w:top w:val="nil"/>
              <w:left w:val="nil"/>
              <w:bottom w:val="single" w:sz="8" w:space="0" w:color="auto"/>
              <w:right w:val="single" w:sz="8" w:space="0" w:color="auto"/>
            </w:tcBorders>
            <w:shd w:val="clear" w:color="auto" w:fill="808080"/>
            <w:vAlign w:val="center"/>
            <w:hideMark/>
          </w:tcPr>
          <w:p w14:paraId="27D942BC"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2025</w:t>
            </w:r>
          </w:p>
        </w:tc>
      </w:tr>
      <w:tr w:rsidR="00EA0FD7" w:rsidRPr="00EA0FD7" w14:paraId="3A54CDB2"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7CE7137D" w14:textId="77777777" w:rsidR="00EA0FD7" w:rsidRPr="00EA0FD7" w:rsidRDefault="00EA0FD7" w:rsidP="00EA0FD7">
            <w:pPr>
              <w:spacing w:after="0" w:line="240" w:lineRule="auto"/>
              <w:jc w:val="both"/>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Властити приходи</w:t>
            </w:r>
          </w:p>
        </w:tc>
        <w:tc>
          <w:tcPr>
            <w:tcW w:w="1660" w:type="dxa"/>
            <w:tcBorders>
              <w:top w:val="nil"/>
              <w:left w:val="nil"/>
              <w:bottom w:val="single" w:sz="8" w:space="0" w:color="auto"/>
              <w:right w:val="single" w:sz="8" w:space="0" w:color="auto"/>
            </w:tcBorders>
            <w:shd w:val="clear" w:color="auto" w:fill="FFFFFF"/>
            <w:vAlign w:val="center"/>
            <w:hideMark/>
          </w:tcPr>
          <w:p w14:paraId="47E391FA"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34,485,236</w:t>
            </w:r>
          </w:p>
        </w:tc>
        <w:tc>
          <w:tcPr>
            <w:tcW w:w="1660" w:type="dxa"/>
            <w:tcBorders>
              <w:top w:val="nil"/>
              <w:left w:val="nil"/>
              <w:bottom w:val="single" w:sz="8" w:space="0" w:color="auto"/>
              <w:right w:val="single" w:sz="8" w:space="0" w:color="auto"/>
            </w:tcBorders>
            <w:shd w:val="clear" w:color="auto" w:fill="FFFFFF"/>
            <w:vAlign w:val="center"/>
            <w:hideMark/>
          </w:tcPr>
          <w:p w14:paraId="00640F7F"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33,233,236</w:t>
            </w:r>
          </w:p>
        </w:tc>
        <w:tc>
          <w:tcPr>
            <w:tcW w:w="1660" w:type="dxa"/>
            <w:tcBorders>
              <w:top w:val="nil"/>
              <w:left w:val="nil"/>
              <w:bottom w:val="single" w:sz="8" w:space="0" w:color="auto"/>
              <w:right w:val="single" w:sz="8" w:space="0" w:color="auto"/>
            </w:tcBorders>
            <w:shd w:val="clear" w:color="auto" w:fill="FFFFFF"/>
            <w:vAlign w:val="center"/>
            <w:hideMark/>
          </w:tcPr>
          <w:p w14:paraId="19B32F4A"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32,971,267</w:t>
            </w:r>
          </w:p>
        </w:tc>
        <w:tc>
          <w:tcPr>
            <w:tcW w:w="1660" w:type="dxa"/>
            <w:tcBorders>
              <w:top w:val="nil"/>
              <w:left w:val="nil"/>
              <w:bottom w:val="single" w:sz="8" w:space="0" w:color="auto"/>
              <w:right w:val="single" w:sz="8" w:space="0" w:color="auto"/>
            </w:tcBorders>
            <w:shd w:val="clear" w:color="auto" w:fill="FFFFFF"/>
            <w:vAlign w:val="center"/>
            <w:hideMark/>
          </w:tcPr>
          <w:p w14:paraId="0A29ED8C"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33,021,267</w:t>
            </w:r>
          </w:p>
        </w:tc>
        <w:tc>
          <w:tcPr>
            <w:tcW w:w="1660" w:type="dxa"/>
            <w:tcBorders>
              <w:top w:val="nil"/>
              <w:left w:val="nil"/>
              <w:bottom w:val="single" w:sz="8" w:space="0" w:color="auto"/>
              <w:right w:val="single" w:sz="8" w:space="0" w:color="auto"/>
            </w:tcBorders>
            <w:shd w:val="clear" w:color="auto" w:fill="FFFFFF"/>
            <w:vAlign w:val="center"/>
            <w:hideMark/>
          </w:tcPr>
          <w:p w14:paraId="058AD688"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33,071,267</w:t>
            </w:r>
          </w:p>
        </w:tc>
      </w:tr>
      <w:tr w:rsidR="00EA0FD7" w:rsidRPr="00EA0FD7" w14:paraId="1718219F"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6263EABA" w14:textId="77777777" w:rsidR="00EA0FD7" w:rsidRPr="00EA0FD7" w:rsidRDefault="00EA0FD7" w:rsidP="00752F04">
            <w:pPr>
              <w:spacing w:after="0" w:line="240" w:lineRule="auto"/>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Приходи из буџета</w:t>
            </w:r>
          </w:p>
        </w:tc>
        <w:tc>
          <w:tcPr>
            <w:tcW w:w="1660" w:type="dxa"/>
            <w:tcBorders>
              <w:top w:val="nil"/>
              <w:left w:val="nil"/>
              <w:bottom w:val="single" w:sz="8" w:space="0" w:color="auto"/>
              <w:right w:val="single" w:sz="8" w:space="0" w:color="auto"/>
            </w:tcBorders>
            <w:shd w:val="clear" w:color="auto" w:fill="FFFFFF"/>
            <w:vAlign w:val="center"/>
            <w:hideMark/>
          </w:tcPr>
          <w:p w14:paraId="2E30D569"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11,557,022</w:t>
            </w:r>
          </w:p>
        </w:tc>
        <w:tc>
          <w:tcPr>
            <w:tcW w:w="1660" w:type="dxa"/>
            <w:tcBorders>
              <w:top w:val="nil"/>
              <w:left w:val="nil"/>
              <w:bottom w:val="single" w:sz="8" w:space="0" w:color="auto"/>
              <w:right w:val="single" w:sz="8" w:space="0" w:color="auto"/>
            </w:tcBorders>
            <w:shd w:val="clear" w:color="auto" w:fill="FFFFFF"/>
            <w:vAlign w:val="center"/>
            <w:hideMark/>
          </w:tcPr>
          <w:p w14:paraId="2277EFF1"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15,148,764</w:t>
            </w:r>
          </w:p>
        </w:tc>
        <w:tc>
          <w:tcPr>
            <w:tcW w:w="1660" w:type="dxa"/>
            <w:tcBorders>
              <w:top w:val="nil"/>
              <w:left w:val="nil"/>
              <w:bottom w:val="single" w:sz="8" w:space="0" w:color="auto"/>
              <w:right w:val="single" w:sz="8" w:space="0" w:color="auto"/>
            </w:tcBorders>
            <w:shd w:val="clear" w:color="auto" w:fill="FFFFFF"/>
            <w:vAlign w:val="center"/>
            <w:hideMark/>
          </w:tcPr>
          <w:p w14:paraId="6E3CBF5F"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13,578,733</w:t>
            </w:r>
          </w:p>
        </w:tc>
        <w:tc>
          <w:tcPr>
            <w:tcW w:w="1660" w:type="dxa"/>
            <w:tcBorders>
              <w:top w:val="nil"/>
              <w:left w:val="nil"/>
              <w:bottom w:val="single" w:sz="8" w:space="0" w:color="auto"/>
              <w:right w:val="single" w:sz="8" w:space="0" w:color="auto"/>
            </w:tcBorders>
            <w:shd w:val="clear" w:color="auto" w:fill="FFFFFF"/>
            <w:vAlign w:val="center"/>
            <w:hideMark/>
          </w:tcPr>
          <w:p w14:paraId="2B86A303"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13,578,733</w:t>
            </w:r>
          </w:p>
        </w:tc>
        <w:tc>
          <w:tcPr>
            <w:tcW w:w="1660" w:type="dxa"/>
            <w:tcBorders>
              <w:top w:val="nil"/>
              <w:left w:val="nil"/>
              <w:bottom w:val="single" w:sz="8" w:space="0" w:color="auto"/>
              <w:right w:val="single" w:sz="8" w:space="0" w:color="auto"/>
            </w:tcBorders>
            <w:shd w:val="clear" w:color="auto" w:fill="FFFFFF"/>
            <w:vAlign w:val="center"/>
            <w:hideMark/>
          </w:tcPr>
          <w:p w14:paraId="67287B89"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13,578,733</w:t>
            </w:r>
          </w:p>
        </w:tc>
      </w:tr>
      <w:tr w:rsidR="00EA0FD7" w:rsidRPr="00EA0FD7" w14:paraId="083C53F4"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hideMark/>
          </w:tcPr>
          <w:p w14:paraId="13CE84FD" w14:textId="77777777" w:rsidR="00EA0FD7" w:rsidRPr="00EA0FD7" w:rsidRDefault="00EA0FD7" w:rsidP="00EA0FD7">
            <w:pPr>
              <w:spacing w:after="0" w:line="240" w:lineRule="auto"/>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Приходи из кредитних средстава</w:t>
            </w:r>
          </w:p>
        </w:tc>
        <w:tc>
          <w:tcPr>
            <w:tcW w:w="1660" w:type="dxa"/>
            <w:tcBorders>
              <w:top w:val="nil"/>
              <w:left w:val="nil"/>
              <w:bottom w:val="single" w:sz="8" w:space="0" w:color="auto"/>
              <w:right w:val="single" w:sz="8" w:space="0" w:color="auto"/>
            </w:tcBorders>
            <w:shd w:val="clear" w:color="auto" w:fill="FFFFFF"/>
            <w:vAlign w:val="center"/>
            <w:hideMark/>
          </w:tcPr>
          <w:p w14:paraId="74D0A889"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03DE8CAE"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0BC79AE6"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038E1910"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7D64346E"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r>
      <w:tr w:rsidR="00EA0FD7" w:rsidRPr="00EA0FD7" w14:paraId="2C98CC42"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0D6D7203" w14:textId="77777777" w:rsidR="00EA0FD7" w:rsidRPr="00EA0FD7" w:rsidRDefault="00EA0FD7" w:rsidP="00EA0FD7">
            <w:pPr>
              <w:spacing w:after="0" w:line="240" w:lineRule="auto"/>
              <w:jc w:val="both"/>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Донације</w:t>
            </w:r>
          </w:p>
        </w:tc>
        <w:tc>
          <w:tcPr>
            <w:tcW w:w="1660" w:type="dxa"/>
            <w:tcBorders>
              <w:top w:val="nil"/>
              <w:left w:val="nil"/>
              <w:bottom w:val="single" w:sz="8" w:space="0" w:color="auto"/>
              <w:right w:val="single" w:sz="8" w:space="0" w:color="auto"/>
            </w:tcBorders>
            <w:shd w:val="clear" w:color="auto" w:fill="FFFFFF"/>
            <w:vAlign w:val="center"/>
            <w:hideMark/>
          </w:tcPr>
          <w:p w14:paraId="3ABBA3AC"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4B82DB5F"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762695D6"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414F3A23"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17763340"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r>
      <w:tr w:rsidR="00EA0FD7" w:rsidRPr="00EA0FD7" w14:paraId="6AB97847"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7CE0C7AE" w14:textId="77777777" w:rsidR="00EA0FD7" w:rsidRPr="00EA0FD7" w:rsidRDefault="00EA0FD7" w:rsidP="00EA0FD7">
            <w:pPr>
              <w:spacing w:after="0" w:line="240" w:lineRule="auto"/>
              <w:jc w:val="both"/>
              <w:rPr>
                <w:rFonts w:ascii="Arial" w:eastAsia="Times New Roman" w:hAnsi="Arial" w:cs="Arial"/>
                <w:b/>
                <w:bCs/>
                <w:color w:val="000000"/>
                <w:sz w:val="20"/>
                <w:szCs w:val="20"/>
                <w:lang w:val="sr-Cyrl-RS"/>
              </w:rPr>
            </w:pPr>
            <w:r w:rsidRPr="00EA0FD7">
              <w:rPr>
                <w:rFonts w:ascii="Arial" w:eastAsia="Times New Roman" w:hAnsi="Arial" w:cs="Arial"/>
                <w:b/>
                <w:bCs/>
                <w:color w:val="000000"/>
                <w:sz w:val="20"/>
                <w:szCs w:val="20"/>
                <w:lang w:val="sr-Cyrl-RS"/>
              </w:rPr>
              <w:t>УКУПНО:</w:t>
            </w:r>
          </w:p>
        </w:tc>
        <w:tc>
          <w:tcPr>
            <w:tcW w:w="1660" w:type="dxa"/>
            <w:tcBorders>
              <w:top w:val="nil"/>
              <w:left w:val="nil"/>
              <w:bottom w:val="single" w:sz="8" w:space="0" w:color="auto"/>
              <w:right w:val="single" w:sz="8" w:space="0" w:color="auto"/>
            </w:tcBorders>
            <w:shd w:val="clear" w:color="auto" w:fill="FFFFFF"/>
            <w:vAlign w:val="center"/>
            <w:hideMark/>
          </w:tcPr>
          <w:p w14:paraId="565957E5" w14:textId="77777777" w:rsidR="00EA0FD7" w:rsidRPr="00EA0FD7" w:rsidRDefault="00EA0FD7" w:rsidP="00EA0FD7">
            <w:pPr>
              <w:spacing w:after="0" w:line="240" w:lineRule="auto"/>
              <w:jc w:val="right"/>
              <w:rPr>
                <w:rFonts w:ascii="Arial" w:eastAsia="Times New Roman" w:hAnsi="Arial" w:cs="Arial"/>
                <w:b/>
                <w:bCs/>
                <w:color w:val="000000"/>
                <w:sz w:val="20"/>
                <w:szCs w:val="20"/>
                <w:lang w:val="sr-Cyrl-RS"/>
              </w:rPr>
            </w:pPr>
            <w:r w:rsidRPr="00EA0FD7">
              <w:rPr>
                <w:rFonts w:ascii="Arial" w:eastAsia="Times New Roman" w:hAnsi="Arial" w:cs="Arial"/>
                <w:b/>
                <w:bCs/>
                <w:color w:val="000000"/>
                <w:sz w:val="20"/>
                <w:szCs w:val="20"/>
                <w:lang w:val="sr-Cyrl-RS"/>
              </w:rPr>
              <w:t>46,042,258</w:t>
            </w:r>
          </w:p>
        </w:tc>
        <w:tc>
          <w:tcPr>
            <w:tcW w:w="1660" w:type="dxa"/>
            <w:tcBorders>
              <w:top w:val="nil"/>
              <w:left w:val="nil"/>
              <w:bottom w:val="single" w:sz="8" w:space="0" w:color="auto"/>
              <w:right w:val="single" w:sz="8" w:space="0" w:color="auto"/>
            </w:tcBorders>
            <w:shd w:val="clear" w:color="auto" w:fill="FFFFFF"/>
            <w:vAlign w:val="center"/>
            <w:hideMark/>
          </w:tcPr>
          <w:p w14:paraId="3C8DC56E" w14:textId="77777777" w:rsidR="00EA0FD7" w:rsidRPr="00EA0FD7" w:rsidRDefault="00EA0FD7" w:rsidP="00EA0FD7">
            <w:pPr>
              <w:spacing w:after="0" w:line="240" w:lineRule="auto"/>
              <w:jc w:val="right"/>
              <w:rPr>
                <w:rFonts w:ascii="Arial" w:eastAsia="Times New Roman" w:hAnsi="Arial" w:cs="Arial"/>
                <w:b/>
                <w:bCs/>
                <w:color w:val="000000"/>
                <w:sz w:val="20"/>
                <w:szCs w:val="20"/>
                <w:lang w:val="sr-Cyrl-RS"/>
              </w:rPr>
            </w:pPr>
            <w:r w:rsidRPr="00EA0FD7">
              <w:rPr>
                <w:rFonts w:ascii="Arial" w:eastAsia="Times New Roman" w:hAnsi="Arial" w:cs="Arial"/>
                <w:b/>
                <w:bCs/>
                <w:color w:val="000000"/>
                <w:sz w:val="20"/>
                <w:szCs w:val="20"/>
                <w:lang w:val="sr-Cyrl-RS"/>
              </w:rPr>
              <w:t>48,382,000</w:t>
            </w:r>
          </w:p>
        </w:tc>
        <w:tc>
          <w:tcPr>
            <w:tcW w:w="1660" w:type="dxa"/>
            <w:tcBorders>
              <w:top w:val="nil"/>
              <w:left w:val="nil"/>
              <w:bottom w:val="single" w:sz="8" w:space="0" w:color="auto"/>
              <w:right w:val="single" w:sz="8" w:space="0" w:color="auto"/>
            </w:tcBorders>
            <w:shd w:val="clear" w:color="auto" w:fill="FFFFFF"/>
            <w:vAlign w:val="center"/>
            <w:hideMark/>
          </w:tcPr>
          <w:p w14:paraId="25DBF39D" w14:textId="77777777" w:rsidR="00EA0FD7" w:rsidRPr="00EA0FD7" w:rsidRDefault="00EA0FD7" w:rsidP="00EA0FD7">
            <w:pPr>
              <w:spacing w:after="0" w:line="240" w:lineRule="auto"/>
              <w:jc w:val="right"/>
              <w:rPr>
                <w:rFonts w:ascii="Arial" w:eastAsia="Times New Roman" w:hAnsi="Arial" w:cs="Arial"/>
                <w:b/>
                <w:bCs/>
                <w:color w:val="000000"/>
                <w:sz w:val="20"/>
                <w:szCs w:val="20"/>
                <w:lang w:val="sr-Cyrl-RS"/>
              </w:rPr>
            </w:pPr>
            <w:r w:rsidRPr="00EA0FD7">
              <w:rPr>
                <w:rFonts w:ascii="Arial" w:eastAsia="Times New Roman" w:hAnsi="Arial" w:cs="Arial"/>
                <w:b/>
                <w:bCs/>
                <w:color w:val="000000"/>
                <w:sz w:val="20"/>
                <w:szCs w:val="20"/>
                <w:lang w:val="sr-Cyrl-RS"/>
              </w:rPr>
              <w:t>46,550,000</w:t>
            </w:r>
          </w:p>
        </w:tc>
        <w:tc>
          <w:tcPr>
            <w:tcW w:w="1660" w:type="dxa"/>
            <w:tcBorders>
              <w:top w:val="nil"/>
              <w:left w:val="nil"/>
              <w:bottom w:val="single" w:sz="8" w:space="0" w:color="auto"/>
              <w:right w:val="single" w:sz="8" w:space="0" w:color="auto"/>
            </w:tcBorders>
            <w:shd w:val="clear" w:color="auto" w:fill="FFFFFF"/>
            <w:vAlign w:val="center"/>
            <w:hideMark/>
          </w:tcPr>
          <w:p w14:paraId="021DA209" w14:textId="77777777" w:rsidR="00EA0FD7" w:rsidRPr="00EA0FD7" w:rsidRDefault="00EA0FD7" w:rsidP="00EA0FD7">
            <w:pPr>
              <w:spacing w:after="0" w:line="240" w:lineRule="auto"/>
              <w:jc w:val="right"/>
              <w:rPr>
                <w:rFonts w:ascii="Arial" w:eastAsia="Times New Roman" w:hAnsi="Arial" w:cs="Arial"/>
                <w:b/>
                <w:bCs/>
                <w:color w:val="000000"/>
                <w:sz w:val="20"/>
                <w:szCs w:val="20"/>
                <w:lang w:val="sr-Cyrl-RS"/>
              </w:rPr>
            </w:pPr>
            <w:r w:rsidRPr="00EA0FD7">
              <w:rPr>
                <w:rFonts w:ascii="Arial" w:eastAsia="Times New Roman" w:hAnsi="Arial" w:cs="Arial"/>
                <w:b/>
                <w:bCs/>
                <w:color w:val="000000"/>
                <w:sz w:val="20"/>
                <w:szCs w:val="20"/>
                <w:lang w:val="sr-Cyrl-RS"/>
              </w:rPr>
              <w:t>46,600,000</w:t>
            </w:r>
          </w:p>
        </w:tc>
        <w:tc>
          <w:tcPr>
            <w:tcW w:w="1660" w:type="dxa"/>
            <w:tcBorders>
              <w:top w:val="nil"/>
              <w:left w:val="nil"/>
              <w:bottom w:val="single" w:sz="8" w:space="0" w:color="auto"/>
              <w:right w:val="single" w:sz="8" w:space="0" w:color="auto"/>
            </w:tcBorders>
            <w:shd w:val="clear" w:color="auto" w:fill="FFFFFF"/>
            <w:vAlign w:val="center"/>
            <w:hideMark/>
          </w:tcPr>
          <w:p w14:paraId="45DDD822" w14:textId="77777777" w:rsidR="00EA0FD7" w:rsidRPr="00EA0FD7" w:rsidRDefault="00EA0FD7" w:rsidP="00EA0FD7">
            <w:pPr>
              <w:spacing w:after="0" w:line="240" w:lineRule="auto"/>
              <w:jc w:val="right"/>
              <w:rPr>
                <w:rFonts w:ascii="Arial" w:eastAsia="Times New Roman" w:hAnsi="Arial" w:cs="Arial"/>
                <w:b/>
                <w:bCs/>
                <w:color w:val="000000"/>
                <w:sz w:val="20"/>
                <w:szCs w:val="20"/>
                <w:lang w:val="sr-Cyrl-RS"/>
              </w:rPr>
            </w:pPr>
            <w:r w:rsidRPr="00EA0FD7">
              <w:rPr>
                <w:rFonts w:ascii="Arial" w:eastAsia="Times New Roman" w:hAnsi="Arial" w:cs="Arial"/>
                <w:b/>
                <w:bCs/>
                <w:color w:val="000000"/>
                <w:sz w:val="20"/>
                <w:szCs w:val="20"/>
                <w:lang w:val="sr-Cyrl-RS"/>
              </w:rPr>
              <w:t>46,650,000</w:t>
            </w:r>
          </w:p>
        </w:tc>
      </w:tr>
    </w:tbl>
    <w:p w14:paraId="68482A29"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33865617"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43A1791C" w14:textId="77777777" w:rsidR="00EA0FD7" w:rsidRPr="00EA0FD7" w:rsidRDefault="00EA0FD7" w:rsidP="00EA0FD7">
      <w:pPr>
        <w:spacing w:after="0" w:line="240" w:lineRule="auto"/>
        <w:jc w:val="both"/>
        <w:rPr>
          <w:rFonts w:ascii="Times New Roman" w:eastAsia="Times New Roman" w:hAnsi="Times New Roman" w:cs="Times New Roman"/>
          <w:color w:val="FF0000"/>
          <w:sz w:val="24"/>
          <w:lang w:val="sr-Cyrl-RS" w:eastAsia="hr-HR"/>
        </w:rPr>
      </w:pPr>
      <w:r w:rsidRPr="00EA0FD7">
        <w:rPr>
          <w:rFonts w:ascii="Times New Roman" w:eastAsia="Times New Roman" w:hAnsi="Times New Roman" w:cs="Times New Roman"/>
          <w:sz w:val="24"/>
          <w:lang w:val="sr-Cyrl-RS" w:eastAsia="hr-HR"/>
        </w:rPr>
        <w:t>Завод за запошљавање је у 2021. години остварио властите приходе у износу од</w:t>
      </w:r>
      <w:r w:rsidRPr="00EA0FD7">
        <w:rPr>
          <w:rFonts w:ascii="Times New Roman" w:eastAsia="Times New Roman" w:hAnsi="Times New Roman" w:cs="Times New Roman"/>
          <w:bCs/>
          <w:sz w:val="24"/>
          <w:lang w:val="sr-Cyrl-RS" w:eastAsia="hr-HR"/>
        </w:rPr>
        <w:t xml:space="preserve"> 3.765.415 </w:t>
      </w:r>
      <w:r w:rsidRPr="00EA0FD7">
        <w:rPr>
          <w:rFonts w:ascii="Times New Roman" w:eastAsia="Times New Roman" w:hAnsi="Times New Roman" w:cs="Times New Roman"/>
          <w:sz w:val="24"/>
          <w:lang w:val="sr-Cyrl-RS" w:eastAsia="hr-HR"/>
        </w:rPr>
        <w:t xml:space="preserve">КМ, док им је план за 2022. годину 4.175.360 КМ, односно 10,89% више у односу на извршење из 2021. године. У 2023. години процјењују се властити приходи у износу од </w:t>
      </w:r>
      <w:r w:rsidRPr="00EA0FD7">
        <w:rPr>
          <w:rFonts w:ascii="Times New Roman" w:eastAsia="Times New Roman" w:hAnsi="Times New Roman" w:cs="Times New Roman"/>
          <w:sz w:val="24"/>
          <w:lang w:val="sr-Cyrl-RS" w:eastAsia="sr-Latn-BA"/>
        </w:rPr>
        <w:t xml:space="preserve">4.274.000 </w:t>
      </w:r>
      <w:r w:rsidRPr="00EA0FD7">
        <w:rPr>
          <w:rFonts w:ascii="Times New Roman" w:eastAsia="Times New Roman" w:hAnsi="Times New Roman" w:cs="Times New Roman"/>
          <w:sz w:val="24"/>
          <w:lang w:val="sr-Cyrl-RS" w:eastAsia="hr-HR"/>
        </w:rPr>
        <w:t xml:space="preserve">КМ, што је за 2,36% више у односу на план 2022. године. У 2024. и 2025. години  процјењују се властити приходи у износу од </w:t>
      </w:r>
      <w:r w:rsidRPr="00EA0FD7">
        <w:rPr>
          <w:rFonts w:ascii="Times New Roman" w:eastAsia="Times New Roman" w:hAnsi="Times New Roman" w:cs="Times New Roman"/>
          <w:sz w:val="24"/>
          <w:lang w:val="sr-Cyrl-RS" w:eastAsia="sr-Latn-BA"/>
        </w:rPr>
        <w:t xml:space="preserve">4.199.000 </w:t>
      </w:r>
      <w:r w:rsidRPr="00EA0FD7">
        <w:rPr>
          <w:rFonts w:ascii="Times New Roman" w:eastAsia="Times New Roman" w:hAnsi="Times New Roman" w:cs="Times New Roman"/>
          <w:sz w:val="24"/>
          <w:lang w:val="sr-Cyrl-RS" w:eastAsia="hr-HR"/>
        </w:rPr>
        <w:t xml:space="preserve">КМ, односно за 1,75% мање у односу на план 2023. године. </w:t>
      </w:r>
    </w:p>
    <w:p w14:paraId="24B00F53"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1148A910"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b/>
          <w:bCs/>
          <w:sz w:val="20"/>
          <w:szCs w:val="20"/>
          <w:lang w:val="sr-Cyrl-RS" w:eastAsia="hr-HR"/>
        </w:rPr>
        <w:t>Табела 3.9</w:t>
      </w:r>
      <w:r w:rsidRPr="00EA0FD7">
        <w:rPr>
          <w:rFonts w:ascii="Times New Roman" w:eastAsia="Times New Roman" w:hAnsi="Times New Roman" w:cs="Times New Roman"/>
          <w:bCs/>
          <w:sz w:val="20"/>
          <w:szCs w:val="20"/>
          <w:lang w:val="sr-Cyrl-RS" w:eastAsia="hr-HR"/>
        </w:rPr>
        <w:t xml:space="preserve"> Финансијски план прихода Завода за запошљавање</w:t>
      </w:r>
      <w:r w:rsidRPr="00EA0FD7">
        <w:rPr>
          <w:rFonts w:ascii="Times New Roman" w:eastAsia="Times New Roman" w:hAnsi="Times New Roman" w:cs="Times New Roman"/>
          <w:sz w:val="20"/>
          <w:szCs w:val="20"/>
          <w:lang w:val="sr-Cyrl-RS" w:eastAsia="hr-HR"/>
        </w:rPr>
        <w:t xml:space="preserve"> за период 2023–2025. године</w:t>
      </w:r>
    </w:p>
    <w:tbl>
      <w:tblPr>
        <w:tblW w:w="10160" w:type="dxa"/>
        <w:tblInd w:w="93" w:type="dxa"/>
        <w:tblLook w:val="04A0" w:firstRow="1" w:lastRow="0" w:firstColumn="1" w:lastColumn="0" w:noHBand="0" w:noVBand="1"/>
      </w:tblPr>
      <w:tblGrid>
        <w:gridCol w:w="1860"/>
        <w:gridCol w:w="1660"/>
        <w:gridCol w:w="1660"/>
        <w:gridCol w:w="1660"/>
        <w:gridCol w:w="1660"/>
        <w:gridCol w:w="1660"/>
      </w:tblGrid>
      <w:tr w:rsidR="00EA0FD7" w:rsidRPr="00EA0FD7" w14:paraId="00E5AEC9" w14:textId="77777777" w:rsidTr="00EA0FD7">
        <w:trPr>
          <w:trHeight w:val="450"/>
        </w:trPr>
        <w:tc>
          <w:tcPr>
            <w:tcW w:w="18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2B8A9059"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Врста прихода</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7DD06F62"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Извршење</w:t>
            </w:r>
            <w:r w:rsidRPr="00EA0FD7">
              <w:rPr>
                <w:rFonts w:ascii="Arial" w:eastAsia="Times New Roman" w:hAnsi="Arial" w:cs="Arial"/>
                <w:b/>
                <w:bCs/>
                <w:color w:val="FFFFFF"/>
                <w:sz w:val="20"/>
                <w:szCs w:val="20"/>
                <w:lang w:val="sr-Cyrl-RS"/>
              </w:rPr>
              <w:br/>
              <w:t>2021</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404E06A0"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План</w:t>
            </w:r>
            <w:r w:rsidRPr="00EA0FD7">
              <w:rPr>
                <w:rFonts w:ascii="Arial" w:eastAsia="Times New Roman" w:hAnsi="Arial" w:cs="Arial"/>
                <w:b/>
                <w:bCs/>
                <w:color w:val="FFFFFF"/>
                <w:sz w:val="20"/>
                <w:szCs w:val="20"/>
                <w:lang w:val="sr-Cyrl-RS"/>
              </w:rPr>
              <w:br/>
              <w:t>2022</w:t>
            </w:r>
          </w:p>
        </w:tc>
        <w:tc>
          <w:tcPr>
            <w:tcW w:w="4980" w:type="dxa"/>
            <w:gridSpan w:val="3"/>
            <w:vMerge w:val="restart"/>
            <w:tcBorders>
              <w:top w:val="single" w:sz="8" w:space="0" w:color="auto"/>
              <w:left w:val="single" w:sz="8" w:space="0" w:color="auto"/>
              <w:bottom w:val="single" w:sz="8" w:space="0" w:color="000000"/>
              <w:right w:val="single" w:sz="8" w:space="0" w:color="000000"/>
            </w:tcBorders>
            <w:shd w:val="clear" w:color="auto" w:fill="808080"/>
            <w:vAlign w:val="center"/>
            <w:hideMark/>
          </w:tcPr>
          <w:p w14:paraId="0C610411"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Финансијски план</w:t>
            </w:r>
          </w:p>
        </w:tc>
      </w:tr>
      <w:tr w:rsidR="00EA0FD7" w:rsidRPr="00EA0FD7" w14:paraId="1AD4CB1F" w14:textId="77777777" w:rsidTr="00EA0FD7">
        <w:trPr>
          <w:trHeight w:val="45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6F07C0"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C89031A"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F48E42D"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14:paraId="0A668A50"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r>
      <w:tr w:rsidR="00EA0FD7" w:rsidRPr="00EA0FD7" w14:paraId="1F8FD814" w14:textId="77777777" w:rsidTr="00EA0FD7">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081369B"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18CA0D"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A0C245F"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1660" w:type="dxa"/>
            <w:tcBorders>
              <w:top w:val="nil"/>
              <w:left w:val="nil"/>
              <w:bottom w:val="single" w:sz="8" w:space="0" w:color="auto"/>
              <w:right w:val="single" w:sz="8" w:space="0" w:color="auto"/>
            </w:tcBorders>
            <w:shd w:val="clear" w:color="auto" w:fill="808080"/>
            <w:vAlign w:val="center"/>
            <w:hideMark/>
          </w:tcPr>
          <w:p w14:paraId="1EDC2D93"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2023</w:t>
            </w:r>
          </w:p>
        </w:tc>
        <w:tc>
          <w:tcPr>
            <w:tcW w:w="1660" w:type="dxa"/>
            <w:tcBorders>
              <w:top w:val="nil"/>
              <w:left w:val="nil"/>
              <w:bottom w:val="single" w:sz="8" w:space="0" w:color="auto"/>
              <w:right w:val="single" w:sz="8" w:space="0" w:color="auto"/>
            </w:tcBorders>
            <w:shd w:val="clear" w:color="auto" w:fill="808080"/>
            <w:vAlign w:val="center"/>
            <w:hideMark/>
          </w:tcPr>
          <w:p w14:paraId="7FCD2ACD"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2024</w:t>
            </w:r>
          </w:p>
        </w:tc>
        <w:tc>
          <w:tcPr>
            <w:tcW w:w="1660" w:type="dxa"/>
            <w:tcBorders>
              <w:top w:val="nil"/>
              <w:left w:val="nil"/>
              <w:bottom w:val="single" w:sz="8" w:space="0" w:color="auto"/>
              <w:right w:val="single" w:sz="8" w:space="0" w:color="auto"/>
            </w:tcBorders>
            <w:shd w:val="clear" w:color="auto" w:fill="808080"/>
            <w:vAlign w:val="center"/>
            <w:hideMark/>
          </w:tcPr>
          <w:p w14:paraId="7CF008D5"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2025</w:t>
            </w:r>
          </w:p>
        </w:tc>
      </w:tr>
      <w:tr w:rsidR="00EA0FD7" w:rsidRPr="00EA0FD7" w14:paraId="1A8A79E9"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6C61451D" w14:textId="77777777" w:rsidR="00EA0FD7" w:rsidRPr="00EA0FD7" w:rsidRDefault="00EA0FD7" w:rsidP="00EA0FD7">
            <w:pPr>
              <w:spacing w:after="0" w:line="240" w:lineRule="auto"/>
              <w:jc w:val="both"/>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Властити приходи</w:t>
            </w:r>
          </w:p>
        </w:tc>
        <w:tc>
          <w:tcPr>
            <w:tcW w:w="1660" w:type="dxa"/>
            <w:tcBorders>
              <w:top w:val="nil"/>
              <w:left w:val="nil"/>
              <w:bottom w:val="single" w:sz="8" w:space="0" w:color="auto"/>
              <w:right w:val="single" w:sz="8" w:space="0" w:color="auto"/>
            </w:tcBorders>
            <w:shd w:val="clear" w:color="auto" w:fill="FFFFFF"/>
            <w:vAlign w:val="center"/>
            <w:hideMark/>
          </w:tcPr>
          <w:p w14:paraId="6AA55F2C"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3,765,415</w:t>
            </w:r>
          </w:p>
        </w:tc>
        <w:tc>
          <w:tcPr>
            <w:tcW w:w="1660" w:type="dxa"/>
            <w:tcBorders>
              <w:top w:val="nil"/>
              <w:left w:val="nil"/>
              <w:bottom w:val="single" w:sz="8" w:space="0" w:color="auto"/>
              <w:right w:val="single" w:sz="8" w:space="0" w:color="auto"/>
            </w:tcBorders>
            <w:shd w:val="clear" w:color="auto" w:fill="FFFFFF"/>
            <w:vAlign w:val="center"/>
            <w:hideMark/>
          </w:tcPr>
          <w:p w14:paraId="6540FBB7"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4,175,360</w:t>
            </w:r>
          </w:p>
        </w:tc>
        <w:tc>
          <w:tcPr>
            <w:tcW w:w="1660" w:type="dxa"/>
            <w:tcBorders>
              <w:top w:val="nil"/>
              <w:left w:val="nil"/>
              <w:bottom w:val="single" w:sz="8" w:space="0" w:color="auto"/>
              <w:right w:val="single" w:sz="8" w:space="0" w:color="auto"/>
            </w:tcBorders>
            <w:shd w:val="clear" w:color="auto" w:fill="FFFFFF"/>
            <w:vAlign w:val="center"/>
            <w:hideMark/>
          </w:tcPr>
          <w:p w14:paraId="0905886E"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4,274,000</w:t>
            </w:r>
          </w:p>
        </w:tc>
        <w:tc>
          <w:tcPr>
            <w:tcW w:w="1660" w:type="dxa"/>
            <w:tcBorders>
              <w:top w:val="nil"/>
              <w:left w:val="nil"/>
              <w:bottom w:val="single" w:sz="8" w:space="0" w:color="auto"/>
              <w:right w:val="single" w:sz="8" w:space="0" w:color="auto"/>
            </w:tcBorders>
            <w:shd w:val="clear" w:color="auto" w:fill="FFFFFF"/>
            <w:vAlign w:val="center"/>
            <w:hideMark/>
          </w:tcPr>
          <w:p w14:paraId="344F9B7C"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4,199,000</w:t>
            </w:r>
          </w:p>
        </w:tc>
        <w:tc>
          <w:tcPr>
            <w:tcW w:w="1660" w:type="dxa"/>
            <w:tcBorders>
              <w:top w:val="nil"/>
              <w:left w:val="nil"/>
              <w:bottom w:val="single" w:sz="8" w:space="0" w:color="auto"/>
              <w:right w:val="single" w:sz="8" w:space="0" w:color="auto"/>
            </w:tcBorders>
            <w:shd w:val="clear" w:color="auto" w:fill="FFFFFF"/>
            <w:vAlign w:val="center"/>
            <w:hideMark/>
          </w:tcPr>
          <w:p w14:paraId="6D0CAE60"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4,199,000</w:t>
            </w:r>
          </w:p>
        </w:tc>
      </w:tr>
      <w:tr w:rsidR="00EA0FD7" w:rsidRPr="00EA0FD7" w14:paraId="0C27A832"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4D739BD0" w14:textId="77777777" w:rsidR="00EA0FD7" w:rsidRPr="00EA0FD7" w:rsidRDefault="00EA0FD7" w:rsidP="00EA0FD7">
            <w:pPr>
              <w:spacing w:after="0" w:line="240" w:lineRule="auto"/>
              <w:jc w:val="both"/>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Приходи из буџета</w:t>
            </w:r>
          </w:p>
        </w:tc>
        <w:tc>
          <w:tcPr>
            <w:tcW w:w="1660" w:type="dxa"/>
            <w:tcBorders>
              <w:top w:val="nil"/>
              <w:left w:val="nil"/>
              <w:bottom w:val="single" w:sz="8" w:space="0" w:color="auto"/>
              <w:right w:val="single" w:sz="8" w:space="0" w:color="auto"/>
            </w:tcBorders>
            <w:shd w:val="clear" w:color="auto" w:fill="FFFFFF"/>
            <w:vAlign w:val="center"/>
            <w:hideMark/>
          </w:tcPr>
          <w:p w14:paraId="672D4EEE"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955,500</w:t>
            </w:r>
          </w:p>
        </w:tc>
        <w:tc>
          <w:tcPr>
            <w:tcW w:w="1660" w:type="dxa"/>
            <w:tcBorders>
              <w:top w:val="nil"/>
              <w:left w:val="nil"/>
              <w:bottom w:val="single" w:sz="8" w:space="0" w:color="auto"/>
              <w:right w:val="single" w:sz="8" w:space="0" w:color="auto"/>
            </w:tcBorders>
            <w:shd w:val="clear" w:color="auto" w:fill="FFFFFF"/>
            <w:vAlign w:val="center"/>
            <w:hideMark/>
          </w:tcPr>
          <w:p w14:paraId="5039EE88"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2,156,686</w:t>
            </w:r>
          </w:p>
        </w:tc>
        <w:tc>
          <w:tcPr>
            <w:tcW w:w="1660" w:type="dxa"/>
            <w:tcBorders>
              <w:top w:val="nil"/>
              <w:left w:val="nil"/>
              <w:bottom w:val="single" w:sz="8" w:space="0" w:color="auto"/>
              <w:right w:val="single" w:sz="8" w:space="0" w:color="auto"/>
            </w:tcBorders>
            <w:shd w:val="clear" w:color="auto" w:fill="FFFFFF"/>
            <w:vAlign w:val="center"/>
            <w:hideMark/>
          </w:tcPr>
          <w:p w14:paraId="5980AABA"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1,000,000</w:t>
            </w:r>
          </w:p>
        </w:tc>
        <w:tc>
          <w:tcPr>
            <w:tcW w:w="1660" w:type="dxa"/>
            <w:tcBorders>
              <w:top w:val="nil"/>
              <w:left w:val="nil"/>
              <w:bottom w:val="single" w:sz="8" w:space="0" w:color="auto"/>
              <w:right w:val="single" w:sz="8" w:space="0" w:color="auto"/>
            </w:tcBorders>
            <w:shd w:val="clear" w:color="auto" w:fill="FFFFFF"/>
            <w:vAlign w:val="center"/>
            <w:hideMark/>
          </w:tcPr>
          <w:p w14:paraId="38227AD0"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1,000,000</w:t>
            </w:r>
          </w:p>
        </w:tc>
        <w:tc>
          <w:tcPr>
            <w:tcW w:w="1660" w:type="dxa"/>
            <w:tcBorders>
              <w:top w:val="nil"/>
              <w:left w:val="nil"/>
              <w:bottom w:val="single" w:sz="8" w:space="0" w:color="auto"/>
              <w:right w:val="single" w:sz="8" w:space="0" w:color="auto"/>
            </w:tcBorders>
            <w:shd w:val="clear" w:color="auto" w:fill="FFFFFF"/>
            <w:vAlign w:val="center"/>
            <w:hideMark/>
          </w:tcPr>
          <w:p w14:paraId="1DCE3DDA"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1,000,000</w:t>
            </w:r>
          </w:p>
        </w:tc>
      </w:tr>
      <w:tr w:rsidR="00EA0FD7" w:rsidRPr="00EA0FD7" w14:paraId="1CE5F509"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hideMark/>
          </w:tcPr>
          <w:p w14:paraId="686C2B07" w14:textId="77777777" w:rsidR="00EA0FD7" w:rsidRPr="00EA0FD7" w:rsidRDefault="00EA0FD7" w:rsidP="00EA0FD7">
            <w:pPr>
              <w:spacing w:after="0" w:line="240" w:lineRule="auto"/>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Приходи из кредитних средстава</w:t>
            </w:r>
          </w:p>
        </w:tc>
        <w:tc>
          <w:tcPr>
            <w:tcW w:w="1660" w:type="dxa"/>
            <w:tcBorders>
              <w:top w:val="nil"/>
              <w:left w:val="nil"/>
              <w:bottom w:val="single" w:sz="8" w:space="0" w:color="auto"/>
              <w:right w:val="single" w:sz="8" w:space="0" w:color="auto"/>
            </w:tcBorders>
            <w:shd w:val="clear" w:color="auto" w:fill="FFFFFF"/>
            <w:vAlign w:val="center"/>
            <w:hideMark/>
          </w:tcPr>
          <w:p w14:paraId="18BB9379"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6F1539F5"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1C5D6444"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45DC4CB6"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2F77AAF3"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r>
      <w:tr w:rsidR="00EA0FD7" w:rsidRPr="00EA0FD7" w14:paraId="37BBFB09"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3CF61C0F" w14:textId="77777777" w:rsidR="00EA0FD7" w:rsidRPr="00EA0FD7" w:rsidRDefault="00EA0FD7" w:rsidP="00EA0FD7">
            <w:pPr>
              <w:spacing w:after="0" w:line="240" w:lineRule="auto"/>
              <w:jc w:val="both"/>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lastRenderedPageBreak/>
              <w:t>Донације</w:t>
            </w:r>
          </w:p>
        </w:tc>
        <w:tc>
          <w:tcPr>
            <w:tcW w:w="1660" w:type="dxa"/>
            <w:tcBorders>
              <w:top w:val="nil"/>
              <w:left w:val="nil"/>
              <w:bottom w:val="single" w:sz="8" w:space="0" w:color="auto"/>
              <w:right w:val="single" w:sz="8" w:space="0" w:color="auto"/>
            </w:tcBorders>
            <w:shd w:val="clear" w:color="auto" w:fill="FFFFFF"/>
            <w:vAlign w:val="center"/>
            <w:hideMark/>
          </w:tcPr>
          <w:p w14:paraId="489F315B"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48,000</w:t>
            </w:r>
          </w:p>
        </w:tc>
        <w:tc>
          <w:tcPr>
            <w:tcW w:w="1660" w:type="dxa"/>
            <w:tcBorders>
              <w:top w:val="nil"/>
              <w:left w:val="nil"/>
              <w:bottom w:val="single" w:sz="8" w:space="0" w:color="auto"/>
              <w:right w:val="single" w:sz="8" w:space="0" w:color="auto"/>
            </w:tcBorders>
            <w:shd w:val="clear" w:color="auto" w:fill="FFFFFF"/>
            <w:vAlign w:val="center"/>
            <w:hideMark/>
          </w:tcPr>
          <w:p w14:paraId="1E355BF5"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36,000</w:t>
            </w:r>
          </w:p>
        </w:tc>
        <w:tc>
          <w:tcPr>
            <w:tcW w:w="1660" w:type="dxa"/>
            <w:tcBorders>
              <w:top w:val="nil"/>
              <w:left w:val="nil"/>
              <w:bottom w:val="single" w:sz="8" w:space="0" w:color="auto"/>
              <w:right w:val="single" w:sz="8" w:space="0" w:color="auto"/>
            </w:tcBorders>
            <w:shd w:val="clear" w:color="auto" w:fill="FFFFFF"/>
            <w:vAlign w:val="center"/>
            <w:hideMark/>
          </w:tcPr>
          <w:p w14:paraId="00158F10"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36,000</w:t>
            </w:r>
          </w:p>
        </w:tc>
        <w:tc>
          <w:tcPr>
            <w:tcW w:w="1660" w:type="dxa"/>
            <w:tcBorders>
              <w:top w:val="nil"/>
              <w:left w:val="nil"/>
              <w:bottom w:val="single" w:sz="8" w:space="0" w:color="auto"/>
              <w:right w:val="single" w:sz="8" w:space="0" w:color="auto"/>
            </w:tcBorders>
            <w:shd w:val="clear" w:color="auto" w:fill="FFFFFF"/>
            <w:vAlign w:val="center"/>
            <w:hideMark/>
          </w:tcPr>
          <w:p w14:paraId="561E101C"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36,000</w:t>
            </w:r>
          </w:p>
        </w:tc>
        <w:tc>
          <w:tcPr>
            <w:tcW w:w="1660" w:type="dxa"/>
            <w:tcBorders>
              <w:top w:val="nil"/>
              <w:left w:val="nil"/>
              <w:bottom w:val="single" w:sz="8" w:space="0" w:color="auto"/>
              <w:right w:val="single" w:sz="8" w:space="0" w:color="auto"/>
            </w:tcBorders>
            <w:shd w:val="clear" w:color="auto" w:fill="FFFFFF"/>
            <w:vAlign w:val="center"/>
            <w:hideMark/>
          </w:tcPr>
          <w:p w14:paraId="5A5CDDF6"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36,000</w:t>
            </w:r>
          </w:p>
        </w:tc>
      </w:tr>
      <w:tr w:rsidR="00EA0FD7" w:rsidRPr="00EA0FD7" w14:paraId="4CB2F10F"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419A6BD9" w14:textId="77777777" w:rsidR="00EA0FD7" w:rsidRPr="00EA0FD7" w:rsidRDefault="00EA0FD7" w:rsidP="00EA0FD7">
            <w:pPr>
              <w:spacing w:after="0" w:line="240" w:lineRule="auto"/>
              <w:jc w:val="both"/>
              <w:rPr>
                <w:rFonts w:ascii="Arial" w:eastAsia="Times New Roman" w:hAnsi="Arial" w:cs="Arial"/>
                <w:b/>
                <w:bCs/>
                <w:color w:val="000000"/>
                <w:lang w:val="sr-Cyrl-RS"/>
              </w:rPr>
            </w:pPr>
            <w:r w:rsidRPr="00EA0FD7">
              <w:rPr>
                <w:rFonts w:ascii="Arial" w:eastAsia="Times New Roman" w:hAnsi="Arial" w:cs="Arial"/>
                <w:b/>
                <w:bCs/>
                <w:color w:val="000000"/>
                <w:lang w:val="sr-Cyrl-RS"/>
              </w:rPr>
              <w:t>УКУПНО:</w:t>
            </w:r>
          </w:p>
        </w:tc>
        <w:tc>
          <w:tcPr>
            <w:tcW w:w="1660" w:type="dxa"/>
            <w:tcBorders>
              <w:top w:val="nil"/>
              <w:left w:val="nil"/>
              <w:bottom w:val="single" w:sz="8" w:space="0" w:color="auto"/>
              <w:right w:val="single" w:sz="8" w:space="0" w:color="auto"/>
            </w:tcBorders>
            <w:shd w:val="clear" w:color="auto" w:fill="FFFFFF"/>
            <w:vAlign w:val="center"/>
            <w:hideMark/>
          </w:tcPr>
          <w:p w14:paraId="5C284D08"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4,768,915</w:t>
            </w:r>
          </w:p>
        </w:tc>
        <w:tc>
          <w:tcPr>
            <w:tcW w:w="1660" w:type="dxa"/>
            <w:tcBorders>
              <w:top w:val="nil"/>
              <w:left w:val="nil"/>
              <w:bottom w:val="single" w:sz="8" w:space="0" w:color="auto"/>
              <w:right w:val="single" w:sz="8" w:space="0" w:color="auto"/>
            </w:tcBorders>
            <w:shd w:val="clear" w:color="auto" w:fill="FFFFFF"/>
            <w:vAlign w:val="center"/>
            <w:hideMark/>
          </w:tcPr>
          <w:p w14:paraId="112006A6"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6,368,046</w:t>
            </w:r>
          </w:p>
        </w:tc>
        <w:tc>
          <w:tcPr>
            <w:tcW w:w="1660" w:type="dxa"/>
            <w:tcBorders>
              <w:top w:val="nil"/>
              <w:left w:val="nil"/>
              <w:bottom w:val="single" w:sz="8" w:space="0" w:color="auto"/>
              <w:right w:val="single" w:sz="8" w:space="0" w:color="auto"/>
            </w:tcBorders>
            <w:shd w:val="clear" w:color="auto" w:fill="FFFFFF"/>
            <w:vAlign w:val="center"/>
            <w:hideMark/>
          </w:tcPr>
          <w:p w14:paraId="14ABC082"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5,310,000</w:t>
            </w:r>
          </w:p>
        </w:tc>
        <w:tc>
          <w:tcPr>
            <w:tcW w:w="1660" w:type="dxa"/>
            <w:tcBorders>
              <w:top w:val="nil"/>
              <w:left w:val="nil"/>
              <w:bottom w:val="single" w:sz="8" w:space="0" w:color="auto"/>
              <w:right w:val="single" w:sz="8" w:space="0" w:color="auto"/>
            </w:tcBorders>
            <w:shd w:val="clear" w:color="auto" w:fill="FFFFFF"/>
            <w:vAlign w:val="center"/>
            <w:hideMark/>
          </w:tcPr>
          <w:p w14:paraId="1C050987"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5,235,000</w:t>
            </w:r>
          </w:p>
        </w:tc>
        <w:tc>
          <w:tcPr>
            <w:tcW w:w="1660" w:type="dxa"/>
            <w:tcBorders>
              <w:top w:val="nil"/>
              <w:left w:val="nil"/>
              <w:bottom w:val="single" w:sz="8" w:space="0" w:color="auto"/>
              <w:right w:val="single" w:sz="8" w:space="0" w:color="auto"/>
            </w:tcBorders>
            <w:shd w:val="clear" w:color="auto" w:fill="FFFFFF"/>
            <w:vAlign w:val="center"/>
            <w:hideMark/>
          </w:tcPr>
          <w:p w14:paraId="084B52C4"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5,235,000</w:t>
            </w:r>
          </w:p>
        </w:tc>
      </w:tr>
    </w:tbl>
    <w:p w14:paraId="07D6ADB6"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p>
    <w:p w14:paraId="51D2C9C0"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Развојно-гарантни фонд у 2021. години није остварио властите приходе. Такође, властите приходе није планирао ни у 2022. години, као ни у наредном трогодишњем периоду.</w:t>
      </w:r>
    </w:p>
    <w:p w14:paraId="1E92B227" w14:textId="77777777" w:rsidR="00EA0FD7" w:rsidRPr="00EA0FD7" w:rsidRDefault="00EA0FD7" w:rsidP="00EA0FD7">
      <w:pPr>
        <w:spacing w:after="0" w:line="240" w:lineRule="auto"/>
        <w:jc w:val="both"/>
        <w:rPr>
          <w:rFonts w:ascii="Times New Roman" w:eastAsia="Times New Roman" w:hAnsi="Times New Roman" w:cs="Times New Roman"/>
          <w:color w:val="FF0000"/>
          <w:sz w:val="24"/>
          <w:lang w:val="sr-Cyrl-RS" w:eastAsia="hr-HR"/>
        </w:rPr>
      </w:pPr>
    </w:p>
    <w:p w14:paraId="7CC94F1E" w14:textId="77777777" w:rsidR="00EA0FD7" w:rsidRPr="00EA0FD7" w:rsidRDefault="00EA0FD7" w:rsidP="00EA0FD7">
      <w:pPr>
        <w:spacing w:after="0" w:line="240" w:lineRule="auto"/>
        <w:jc w:val="both"/>
        <w:rPr>
          <w:rFonts w:ascii="Times New Roman" w:eastAsia="Times New Roman" w:hAnsi="Times New Roman" w:cs="Times New Roman"/>
          <w:sz w:val="21"/>
          <w:szCs w:val="21"/>
          <w:lang w:val="sr-Cyrl-RS" w:eastAsia="hr-HR"/>
        </w:rPr>
      </w:pPr>
      <w:r w:rsidRPr="00EA0FD7">
        <w:rPr>
          <w:rFonts w:ascii="Times New Roman" w:eastAsia="Times New Roman" w:hAnsi="Times New Roman" w:cs="Times New Roman"/>
          <w:b/>
          <w:bCs/>
          <w:sz w:val="21"/>
          <w:szCs w:val="21"/>
          <w:lang w:val="sr-Cyrl-RS" w:eastAsia="hr-HR"/>
        </w:rPr>
        <w:t>Табела 3.10.</w:t>
      </w:r>
      <w:r w:rsidRPr="00EA0FD7">
        <w:rPr>
          <w:rFonts w:ascii="Times New Roman" w:eastAsia="Times New Roman" w:hAnsi="Times New Roman" w:cs="Times New Roman"/>
          <w:bCs/>
          <w:sz w:val="21"/>
          <w:szCs w:val="21"/>
          <w:lang w:val="sr-Cyrl-RS" w:eastAsia="hr-HR"/>
        </w:rPr>
        <w:t xml:space="preserve"> Финансијски план прихода Развојно-гарантног фонда за период</w:t>
      </w:r>
      <w:r w:rsidRPr="00EA0FD7">
        <w:rPr>
          <w:rFonts w:ascii="Times New Roman" w:eastAsia="Times New Roman" w:hAnsi="Times New Roman" w:cs="Times New Roman"/>
          <w:sz w:val="21"/>
          <w:szCs w:val="21"/>
          <w:lang w:val="sr-Cyrl-RS" w:eastAsia="hr-HR"/>
        </w:rPr>
        <w:t xml:space="preserve"> 2023–2025. године</w:t>
      </w:r>
    </w:p>
    <w:tbl>
      <w:tblPr>
        <w:tblW w:w="10160" w:type="dxa"/>
        <w:tblInd w:w="93" w:type="dxa"/>
        <w:tblLook w:val="04A0" w:firstRow="1" w:lastRow="0" w:firstColumn="1" w:lastColumn="0" w:noHBand="0" w:noVBand="1"/>
      </w:tblPr>
      <w:tblGrid>
        <w:gridCol w:w="1860"/>
        <w:gridCol w:w="1660"/>
        <w:gridCol w:w="1660"/>
        <w:gridCol w:w="1660"/>
        <w:gridCol w:w="1660"/>
        <w:gridCol w:w="1660"/>
      </w:tblGrid>
      <w:tr w:rsidR="00EA0FD7" w:rsidRPr="00EA0FD7" w14:paraId="3097475B" w14:textId="77777777" w:rsidTr="00EA0FD7">
        <w:trPr>
          <w:trHeight w:val="450"/>
        </w:trPr>
        <w:tc>
          <w:tcPr>
            <w:tcW w:w="18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51ED20A4"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Врста прихода</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110A1F67"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Извршење</w:t>
            </w:r>
            <w:r w:rsidRPr="00EA0FD7">
              <w:rPr>
                <w:rFonts w:ascii="Arial" w:eastAsia="Times New Roman" w:hAnsi="Arial" w:cs="Arial"/>
                <w:b/>
                <w:bCs/>
                <w:color w:val="FFFFFF"/>
                <w:sz w:val="20"/>
                <w:szCs w:val="20"/>
                <w:lang w:val="sr-Cyrl-RS"/>
              </w:rPr>
              <w:br/>
              <w:t>2021</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4C637481"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План</w:t>
            </w:r>
            <w:r w:rsidRPr="00EA0FD7">
              <w:rPr>
                <w:rFonts w:ascii="Arial" w:eastAsia="Times New Roman" w:hAnsi="Arial" w:cs="Arial"/>
                <w:b/>
                <w:bCs/>
                <w:color w:val="FFFFFF"/>
                <w:sz w:val="20"/>
                <w:szCs w:val="20"/>
                <w:lang w:val="sr-Cyrl-RS"/>
              </w:rPr>
              <w:br/>
              <w:t>2022</w:t>
            </w:r>
          </w:p>
        </w:tc>
        <w:tc>
          <w:tcPr>
            <w:tcW w:w="4980" w:type="dxa"/>
            <w:gridSpan w:val="3"/>
            <w:vMerge w:val="restart"/>
            <w:tcBorders>
              <w:top w:val="single" w:sz="8" w:space="0" w:color="auto"/>
              <w:left w:val="single" w:sz="8" w:space="0" w:color="auto"/>
              <w:bottom w:val="single" w:sz="8" w:space="0" w:color="000000"/>
              <w:right w:val="single" w:sz="8" w:space="0" w:color="000000"/>
            </w:tcBorders>
            <w:shd w:val="clear" w:color="auto" w:fill="808080"/>
            <w:vAlign w:val="center"/>
            <w:hideMark/>
          </w:tcPr>
          <w:p w14:paraId="1E795AA6"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Финансијски план</w:t>
            </w:r>
          </w:p>
        </w:tc>
      </w:tr>
      <w:tr w:rsidR="00EA0FD7" w:rsidRPr="00EA0FD7" w14:paraId="16F9EC33" w14:textId="77777777" w:rsidTr="00EA0FD7">
        <w:trPr>
          <w:trHeight w:val="45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699389D"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F1DAE9C"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C06CC4"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14:paraId="111969BB"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r>
      <w:tr w:rsidR="00EA0FD7" w:rsidRPr="00EA0FD7" w14:paraId="50D61CF2" w14:textId="77777777" w:rsidTr="00EA0FD7">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E71C06"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2ACE33"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A3540F6" w14:textId="77777777" w:rsidR="00EA0FD7" w:rsidRPr="00EA0FD7" w:rsidRDefault="00EA0FD7" w:rsidP="00EA0FD7">
            <w:pPr>
              <w:spacing w:after="0" w:line="240" w:lineRule="auto"/>
              <w:rPr>
                <w:rFonts w:ascii="Arial" w:eastAsia="Times New Roman" w:hAnsi="Arial" w:cs="Arial"/>
                <w:b/>
                <w:bCs/>
                <w:color w:val="FFFFFF"/>
                <w:sz w:val="20"/>
                <w:szCs w:val="20"/>
                <w:lang w:val="sr-Cyrl-RS"/>
              </w:rPr>
            </w:pPr>
          </w:p>
        </w:tc>
        <w:tc>
          <w:tcPr>
            <w:tcW w:w="1660" w:type="dxa"/>
            <w:tcBorders>
              <w:top w:val="nil"/>
              <w:left w:val="nil"/>
              <w:bottom w:val="single" w:sz="8" w:space="0" w:color="auto"/>
              <w:right w:val="single" w:sz="8" w:space="0" w:color="auto"/>
            </w:tcBorders>
            <w:shd w:val="clear" w:color="auto" w:fill="808080"/>
            <w:vAlign w:val="center"/>
            <w:hideMark/>
          </w:tcPr>
          <w:p w14:paraId="0809ED52"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2023</w:t>
            </w:r>
          </w:p>
        </w:tc>
        <w:tc>
          <w:tcPr>
            <w:tcW w:w="1660" w:type="dxa"/>
            <w:tcBorders>
              <w:top w:val="nil"/>
              <w:left w:val="nil"/>
              <w:bottom w:val="single" w:sz="8" w:space="0" w:color="auto"/>
              <w:right w:val="single" w:sz="8" w:space="0" w:color="auto"/>
            </w:tcBorders>
            <w:shd w:val="clear" w:color="auto" w:fill="808080"/>
            <w:vAlign w:val="center"/>
            <w:hideMark/>
          </w:tcPr>
          <w:p w14:paraId="7FE20EFE"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2024</w:t>
            </w:r>
          </w:p>
        </w:tc>
        <w:tc>
          <w:tcPr>
            <w:tcW w:w="1660" w:type="dxa"/>
            <w:tcBorders>
              <w:top w:val="nil"/>
              <w:left w:val="nil"/>
              <w:bottom w:val="single" w:sz="8" w:space="0" w:color="auto"/>
              <w:right w:val="single" w:sz="8" w:space="0" w:color="auto"/>
            </w:tcBorders>
            <w:shd w:val="clear" w:color="auto" w:fill="808080"/>
            <w:vAlign w:val="center"/>
            <w:hideMark/>
          </w:tcPr>
          <w:p w14:paraId="1E662CEC"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2025</w:t>
            </w:r>
          </w:p>
        </w:tc>
      </w:tr>
      <w:tr w:rsidR="00EA0FD7" w:rsidRPr="00EA0FD7" w14:paraId="5D6ED466"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41214721" w14:textId="77777777" w:rsidR="00EA0FD7" w:rsidRPr="00EA0FD7" w:rsidRDefault="00EA0FD7" w:rsidP="00EA0FD7">
            <w:pPr>
              <w:spacing w:after="0" w:line="240" w:lineRule="auto"/>
              <w:jc w:val="both"/>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Властити приходи</w:t>
            </w:r>
          </w:p>
        </w:tc>
        <w:tc>
          <w:tcPr>
            <w:tcW w:w="1660" w:type="dxa"/>
            <w:tcBorders>
              <w:top w:val="nil"/>
              <w:left w:val="nil"/>
              <w:bottom w:val="single" w:sz="8" w:space="0" w:color="auto"/>
              <w:right w:val="single" w:sz="8" w:space="0" w:color="auto"/>
            </w:tcBorders>
            <w:shd w:val="clear" w:color="auto" w:fill="FFFFFF"/>
            <w:vAlign w:val="center"/>
            <w:hideMark/>
          </w:tcPr>
          <w:p w14:paraId="34B2A750"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44C9783C"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00167D47"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79D0BA59"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5789D2F5"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r>
      <w:tr w:rsidR="00EA0FD7" w:rsidRPr="00EA0FD7" w14:paraId="1039D963"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7FD72D42" w14:textId="77777777" w:rsidR="00EA0FD7" w:rsidRPr="00EA0FD7" w:rsidRDefault="00EA0FD7" w:rsidP="00752F04">
            <w:pPr>
              <w:spacing w:after="0" w:line="240" w:lineRule="auto"/>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Приходи из буџета</w:t>
            </w:r>
          </w:p>
        </w:tc>
        <w:tc>
          <w:tcPr>
            <w:tcW w:w="1660" w:type="dxa"/>
            <w:tcBorders>
              <w:top w:val="nil"/>
              <w:left w:val="nil"/>
              <w:bottom w:val="single" w:sz="8" w:space="0" w:color="auto"/>
              <w:right w:val="single" w:sz="8" w:space="0" w:color="auto"/>
            </w:tcBorders>
            <w:shd w:val="clear" w:color="auto" w:fill="FFFFFF"/>
            <w:vAlign w:val="center"/>
            <w:hideMark/>
          </w:tcPr>
          <w:p w14:paraId="7CF045DE"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1,564,794</w:t>
            </w:r>
          </w:p>
        </w:tc>
        <w:tc>
          <w:tcPr>
            <w:tcW w:w="1660" w:type="dxa"/>
            <w:tcBorders>
              <w:top w:val="nil"/>
              <w:left w:val="nil"/>
              <w:bottom w:val="single" w:sz="8" w:space="0" w:color="auto"/>
              <w:right w:val="single" w:sz="8" w:space="0" w:color="auto"/>
            </w:tcBorders>
            <w:shd w:val="clear" w:color="auto" w:fill="FFFFFF"/>
            <w:vAlign w:val="center"/>
            <w:hideMark/>
          </w:tcPr>
          <w:p w14:paraId="28B55075"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2,100,000</w:t>
            </w:r>
          </w:p>
        </w:tc>
        <w:tc>
          <w:tcPr>
            <w:tcW w:w="1660" w:type="dxa"/>
            <w:tcBorders>
              <w:top w:val="nil"/>
              <w:left w:val="nil"/>
              <w:bottom w:val="single" w:sz="8" w:space="0" w:color="auto"/>
              <w:right w:val="single" w:sz="8" w:space="0" w:color="auto"/>
            </w:tcBorders>
            <w:shd w:val="clear" w:color="auto" w:fill="FFFFFF"/>
            <w:vAlign w:val="center"/>
            <w:hideMark/>
          </w:tcPr>
          <w:p w14:paraId="4EDC6741"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2,425,000</w:t>
            </w:r>
          </w:p>
        </w:tc>
        <w:tc>
          <w:tcPr>
            <w:tcW w:w="1660" w:type="dxa"/>
            <w:tcBorders>
              <w:top w:val="nil"/>
              <w:left w:val="nil"/>
              <w:bottom w:val="single" w:sz="8" w:space="0" w:color="auto"/>
              <w:right w:val="single" w:sz="8" w:space="0" w:color="auto"/>
            </w:tcBorders>
            <w:shd w:val="clear" w:color="auto" w:fill="FFFFFF"/>
            <w:vAlign w:val="center"/>
            <w:hideMark/>
          </w:tcPr>
          <w:p w14:paraId="7871FEC7"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2,475,000</w:t>
            </w:r>
          </w:p>
        </w:tc>
        <w:tc>
          <w:tcPr>
            <w:tcW w:w="1660" w:type="dxa"/>
            <w:tcBorders>
              <w:top w:val="nil"/>
              <w:left w:val="nil"/>
              <w:bottom w:val="single" w:sz="8" w:space="0" w:color="auto"/>
              <w:right w:val="single" w:sz="8" w:space="0" w:color="auto"/>
            </w:tcBorders>
            <w:shd w:val="clear" w:color="auto" w:fill="FFFFFF"/>
            <w:vAlign w:val="center"/>
            <w:hideMark/>
          </w:tcPr>
          <w:p w14:paraId="48481426"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2,505,000</w:t>
            </w:r>
          </w:p>
        </w:tc>
      </w:tr>
      <w:tr w:rsidR="00EA0FD7" w:rsidRPr="00EA0FD7" w14:paraId="6337F0F1"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hideMark/>
          </w:tcPr>
          <w:p w14:paraId="16556DCE" w14:textId="77777777" w:rsidR="00EA0FD7" w:rsidRPr="00EA0FD7" w:rsidRDefault="00EA0FD7" w:rsidP="00EA0FD7">
            <w:pPr>
              <w:spacing w:after="0" w:line="240" w:lineRule="auto"/>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Приходи из кредитних средстава</w:t>
            </w:r>
          </w:p>
        </w:tc>
        <w:tc>
          <w:tcPr>
            <w:tcW w:w="1660" w:type="dxa"/>
            <w:tcBorders>
              <w:top w:val="nil"/>
              <w:left w:val="nil"/>
              <w:bottom w:val="single" w:sz="8" w:space="0" w:color="auto"/>
              <w:right w:val="single" w:sz="8" w:space="0" w:color="auto"/>
            </w:tcBorders>
            <w:shd w:val="clear" w:color="auto" w:fill="FFFFFF"/>
            <w:vAlign w:val="center"/>
            <w:hideMark/>
          </w:tcPr>
          <w:p w14:paraId="66622C35"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5F46EC2E"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3EDF9560"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22725699"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1770F371"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r>
      <w:tr w:rsidR="00EA0FD7" w:rsidRPr="00EA0FD7" w14:paraId="2826DDDE"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742344E9" w14:textId="77777777" w:rsidR="00EA0FD7" w:rsidRPr="00EA0FD7" w:rsidRDefault="00EA0FD7" w:rsidP="00EA0FD7">
            <w:pPr>
              <w:spacing w:after="0" w:line="240" w:lineRule="auto"/>
              <w:jc w:val="both"/>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Донације</w:t>
            </w:r>
          </w:p>
        </w:tc>
        <w:tc>
          <w:tcPr>
            <w:tcW w:w="1660" w:type="dxa"/>
            <w:tcBorders>
              <w:top w:val="nil"/>
              <w:left w:val="nil"/>
              <w:bottom w:val="single" w:sz="8" w:space="0" w:color="auto"/>
              <w:right w:val="single" w:sz="8" w:space="0" w:color="auto"/>
            </w:tcBorders>
            <w:shd w:val="clear" w:color="auto" w:fill="FFFFFF"/>
            <w:vAlign w:val="center"/>
            <w:hideMark/>
          </w:tcPr>
          <w:p w14:paraId="0817860D"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097E4750"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4C829071"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47EC2AB9"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4A2FD5B8"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r>
      <w:tr w:rsidR="00EA0FD7" w:rsidRPr="00EA0FD7" w14:paraId="4A85869D"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761A684F" w14:textId="77777777" w:rsidR="00EA0FD7" w:rsidRPr="00EA0FD7" w:rsidRDefault="00EA0FD7" w:rsidP="00EA0FD7">
            <w:pPr>
              <w:spacing w:after="0" w:line="240" w:lineRule="auto"/>
              <w:jc w:val="both"/>
              <w:rPr>
                <w:rFonts w:ascii="Arial" w:eastAsia="Times New Roman" w:hAnsi="Arial" w:cs="Arial"/>
                <w:b/>
                <w:bCs/>
                <w:color w:val="000000"/>
                <w:lang w:val="sr-Cyrl-RS"/>
              </w:rPr>
            </w:pPr>
            <w:r w:rsidRPr="00EA0FD7">
              <w:rPr>
                <w:rFonts w:ascii="Arial" w:eastAsia="Times New Roman" w:hAnsi="Arial" w:cs="Arial"/>
                <w:b/>
                <w:bCs/>
                <w:color w:val="000000"/>
                <w:lang w:val="sr-Cyrl-RS"/>
              </w:rPr>
              <w:t>УКУПНО:</w:t>
            </w:r>
          </w:p>
        </w:tc>
        <w:tc>
          <w:tcPr>
            <w:tcW w:w="1660" w:type="dxa"/>
            <w:tcBorders>
              <w:top w:val="nil"/>
              <w:left w:val="nil"/>
              <w:bottom w:val="single" w:sz="8" w:space="0" w:color="auto"/>
              <w:right w:val="single" w:sz="8" w:space="0" w:color="auto"/>
            </w:tcBorders>
            <w:shd w:val="clear" w:color="auto" w:fill="FFFFFF"/>
            <w:vAlign w:val="center"/>
            <w:hideMark/>
          </w:tcPr>
          <w:p w14:paraId="6E2096A8"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1,564,794</w:t>
            </w:r>
          </w:p>
        </w:tc>
        <w:tc>
          <w:tcPr>
            <w:tcW w:w="1660" w:type="dxa"/>
            <w:tcBorders>
              <w:top w:val="nil"/>
              <w:left w:val="nil"/>
              <w:bottom w:val="single" w:sz="8" w:space="0" w:color="auto"/>
              <w:right w:val="single" w:sz="8" w:space="0" w:color="auto"/>
            </w:tcBorders>
            <w:shd w:val="clear" w:color="auto" w:fill="FFFFFF"/>
            <w:vAlign w:val="center"/>
            <w:hideMark/>
          </w:tcPr>
          <w:p w14:paraId="7340A3E3"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2,100,000</w:t>
            </w:r>
          </w:p>
        </w:tc>
        <w:tc>
          <w:tcPr>
            <w:tcW w:w="1660" w:type="dxa"/>
            <w:tcBorders>
              <w:top w:val="nil"/>
              <w:left w:val="nil"/>
              <w:bottom w:val="single" w:sz="8" w:space="0" w:color="auto"/>
              <w:right w:val="single" w:sz="8" w:space="0" w:color="auto"/>
            </w:tcBorders>
            <w:shd w:val="clear" w:color="auto" w:fill="FFFFFF"/>
            <w:vAlign w:val="center"/>
            <w:hideMark/>
          </w:tcPr>
          <w:p w14:paraId="11DC3B39"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2,425,000</w:t>
            </w:r>
          </w:p>
        </w:tc>
        <w:tc>
          <w:tcPr>
            <w:tcW w:w="1660" w:type="dxa"/>
            <w:tcBorders>
              <w:top w:val="nil"/>
              <w:left w:val="nil"/>
              <w:bottom w:val="single" w:sz="8" w:space="0" w:color="auto"/>
              <w:right w:val="single" w:sz="8" w:space="0" w:color="auto"/>
            </w:tcBorders>
            <w:shd w:val="clear" w:color="auto" w:fill="FFFFFF"/>
            <w:vAlign w:val="center"/>
            <w:hideMark/>
          </w:tcPr>
          <w:p w14:paraId="48D8A1A5"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2,475,000</w:t>
            </w:r>
          </w:p>
        </w:tc>
        <w:tc>
          <w:tcPr>
            <w:tcW w:w="1660" w:type="dxa"/>
            <w:tcBorders>
              <w:top w:val="nil"/>
              <w:left w:val="nil"/>
              <w:bottom w:val="single" w:sz="8" w:space="0" w:color="auto"/>
              <w:right w:val="single" w:sz="8" w:space="0" w:color="auto"/>
            </w:tcBorders>
            <w:shd w:val="clear" w:color="auto" w:fill="FFFFFF"/>
            <w:vAlign w:val="center"/>
            <w:hideMark/>
          </w:tcPr>
          <w:p w14:paraId="39BE09AA"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2,505,000</w:t>
            </w:r>
          </w:p>
        </w:tc>
      </w:tr>
    </w:tbl>
    <w:p w14:paraId="7F8A164A" w14:textId="77777777" w:rsidR="00EA0FD7" w:rsidRPr="00EA0FD7" w:rsidRDefault="00EA0FD7" w:rsidP="00EA0FD7">
      <w:pPr>
        <w:spacing w:after="0" w:line="240" w:lineRule="auto"/>
        <w:jc w:val="both"/>
        <w:rPr>
          <w:rFonts w:ascii="Arial" w:eastAsia="Times New Roman" w:hAnsi="Arial" w:cs="Arial"/>
          <w:color w:val="FF0000"/>
          <w:sz w:val="24"/>
          <w:lang w:val="sr-Cyrl-RS" w:eastAsia="hr-HR"/>
        </w:rPr>
      </w:pPr>
    </w:p>
    <w:p w14:paraId="6F860C3E"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Завод за планирање, пројектовање и развој Брчко дистрикта БиХ у 2021. години није остварио властите приходе. Такође, властите приходе није планирао ни у 2022. години, као ни у наредном трогодишњем периоду.</w:t>
      </w:r>
    </w:p>
    <w:p w14:paraId="04908E01"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38A469FF"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b/>
          <w:bCs/>
          <w:sz w:val="20"/>
          <w:szCs w:val="20"/>
          <w:lang w:val="sr-Cyrl-RS" w:eastAsia="hr-HR"/>
        </w:rPr>
        <w:t>Табела 3.11.</w:t>
      </w:r>
      <w:r w:rsidRPr="00EA0FD7">
        <w:rPr>
          <w:rFonts w:ascii="Times New Roman" w:eastAsia="Times New Roman" w:hAnsi="Times New Roman" w:cs="Times New Roman"/>
          <w:bCs/>
          <w:sz w:val="20"/>
          <w:szCs w:val="20"/>
          <w:lang w:val="sr-Cyrl-RS" w:eastAsia="hr-HR"/>
        </w:rPr>
        <w:t xml:space="preserve"> Финансијски план прихода Завод за планирање, пројектовање и развој Брчко дистрикта БиХ за период</w:t>
      </w:r>
      <w:r w:rsidRPr="00EA0FD7">
        <w:rPr>
          <w:rFonts w:ascii="Times New Roman" w:eastAsia="Times New Roman" w:hAnsi="Times New Roman" w:cs="Times New Roman"/>
          <w:sz w:val="20"/>
          <w:szCs w:val="20"/>
          <w:lang w:val="sr-Cyrl-RS" w:eastAsia="hr-HR"/>
        </w:rPr>
        <w:t xml:space="preserve"> </w:t>
      </w:r>
    </w:p>
    <w:p w14:paraId="168326DE"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                      2023–2025. године</w:t>
      </w:r>
    </w:p>
    <w:tbl>
      <w:tblPr>
        <w:tblW w:w="10160" w:type="dxa"/>
        <w:tblInd w:w="93" w:type="dxa"/>
        <w:tblLook w:val="04A0" w:firstRow="1" w:lastRow="0" w:firstColumn="1" w:lastColumn="0" w:noHBand="0" w:noVBand="1"/>
      </w:tblPr>
      <w:tblGrid>
        <w:gridCol w:w="1860"/>
        <w:gridCol w:w="1660"/>
        <w:gridCol w:w="1660"/>
        <w:gridCol w:w="1660"/>
        <w:gridCol w:w="1660"/>
        <w:gridCol w:w="1660"/>
      </w:tblGrid>
      <w:tr w:rsidR="00EA0FD7" w:rsidRPr="00EA0FD7" w14:paraId="3D211832" w14:textId="77777777" w:rsidTr="00EA0FD7">
        <w:trPr>
          <w:trHeight w:val="450"/>
        </w:trPr>
        <w:tc>
          <w:tcPr>
            <w:tcW w:w="18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4076D436"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Врста прихода</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29B7F2FC"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Извршење</w:t>
            </w:r>
            <w:r w:rsidRPr="00EA0FD7">
              <w:rPr>
                <w:rFonts w:ascii="Arial" w:eastAsia="Times New Roman" w:hAnsi="Arial" w:cs="Arial"/>
                <w:b/>
                <w:bCs/>
                <w:color w:val="FFFFFF"/>
                <w:lang w:val="sr-Cyrl-RS"/>
              </w:rPr>
              <w:br/>
              <w:t>2021</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10F17F72"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План</w:t>
            </w:r>
            <w:r w:rsidRPr="00EA0FD7">
              <w:rPr>
                <w:rFonts w:ascii="Arial" w:eastAsia="Times New Roman" w:hAnsi="Arial" w:cs="Arial"/>
                <w:b/>
                <w:bCs/>
                <w:color w:val="FFFFFF"/>
                <w:lang w:val="sr-Cyrl-RS"/>
              </w:rPr>
              <w:br/>
              <w:t>2022</w:t>
            </w:r>
          </w:p>
        </w:tc>
        <w:tc>
          <w:tcPr>
            <w:tcW w:w="4980" w:type="dxa"/>
            <w:gridSpan w:val="3"/>
            <w:vMerge w:val="restart"/>
            <w:tcBorders>
              <w:top w:val="single" w:sz="8" w:space="0" w:color="auto"/>
              <w:left w:val="single" w:sz="8" w:space="0" w:color="auto"/>
              <w:bottom w:val="single" w:sz="8" w:space="0" w:color="000000"/>
              <w:right w:val="single" w:sz="8" w:space="0" w:color="000000"/>
            </w:tcBorders>
            <w:shd w:val="clear" w:color="auto" w:fill="808080"/>
            <w:vAlign w:val="center"/>
            <w:hideMark/>
          </w:tcPr>
          <w:p w14:paraId="1BB30059"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Финансијски план</w:t>
            </w:r>
          </w:p>
        </w:tc>
      </w:tr>
      <w:tr w:rsidR="00EA0FD7" w:rsidRPr="00EA0FD7" w14:paraId="3E8A3BAE" w14:textId="77777777" w:rsidTr="00EA0FD7">
        <w:trPr>
          <w:trHeight w:val="45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9AA030B"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A437E68"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A554B94"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14:paraId="5541208A" w14:textId="77777777" w:rsidR="00EA0FD7" w:rsidRPr="00EA0FD7" w:rsidRDefault="00EA0FD7" w:rsidP="00EA0FD7">
            <w:pPr>
              <w:spacing w:after="0" w:line="240" w:lineRule="auto"/>
              <w:rPr>
                <w:rFonts w:ascii="Arial" w:eastAsia="Times New Roman" w:hAnsi="Arial" w:cs="Arial"/>
                <w:b/>
                <w:bCs/>
                <w:color w:val="FFFFFF"/>
                <w:lang w:val="sr-Cyrl-RS"/>
              </w:rPr>
            </w:pPr>
          </w:p>
        </w:tc>
      </w:tr>
      <w:tr w:rsidR="00EA0FD7" w:rsidRPr="00EA0FD7" w14:paraId="74C2C689" w14:textId="77777777" w:rsidTr="00EA0FD7">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204B1D"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9EE8D9F"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FBBF0CA"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1660" w:type="dxa"/>
            <w:tcBorders>
              <w:top w:val="nil"/>
              <w:left w:val="nil"/>
              <w:bottom w:val="single" w:sz="8" w:space="0" w:color="auto"/>
              <w:right w:val="single" w:sz="8" w:space="0" w:color="auto"/>
            </w:tcBorders>
            <w:shd w:val="clear" w:color="auto" w:fill="808080"/>
            <w:vAlign w:val="center"/>
            <w:hideMark/>
          </w:tcPr>
          <w:p w14:paraId="68116207"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2023</w:t>
            </w:r>
          </w:p>
        </w:tc>
        <w:tc>
          <w:tcPr>
            <w:tcW w:w="1660" w:type="dxa"/>
            <w:tcBorders>
              <w:top w:val="nil"/>
              <w:left w:val="nil"/>
              <w:bottom w:val="single" w:sz="8" w:space="0" w:color="auto"/>
              <w:right w:val="single" w:sz="8" w:space="0" w:color="auto"/>
            </w:tcBorders>
            <w:shd w:val="clear" w:color="auto" w:fill="808080"/>
            <w:vAlign w:val="center"/>
            <w:hideMark/>
          </w:tcPr>
          <w:p w14:paraId="7DEA8F11"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2024</w:t>
            </w:r>
          </w:p>
        </w:tc>
        <w:tc>
          <w:tcPr>
            <w:tcW w:w="1660" w:type="dxa"/>
            <w:tcBorders>
              <w:top w:val="nil"/>
              <w:left w:val="nil"/>
              <w:bottom w:val="single" w:sz="8" w:space="0" w:color="auto"/>
              <w:right w:val="single" w:sz="8" w:space="0" w:color="auto"/>
            </w:tcBorders>
            <w:shd w:val="clear" w:color="auto" w:fill="808080"/>
            <w:vAlign w:val="center"/>
            <w:hideMark/>
          </w:tcPr>
          <w:p w14:paraId="2A7F67ED"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2025</w:t>
            </w:r>
          </w:p>
        </w:tc>
      </w:tr>
      <w:tr w:rsidR="00EA0FD7" w:rsidRPr="00EA0FD7" w14:paraId="276758AF"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6F4774FF" w14:textId="77777777" w:rsidR="00EA0FD7" w:rsidRPr="00EA0FD7" w:rsidRDefault="00EA0FD7" w:rsidP="00EA0FD7">
            <w:pPr>
              <w:spacing w:after="0" w:line="240" w:lineRule="auto"/>
              <w:jc w:val="both"/>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Властити приходи</w:t>
            </w:r>
          </w:p>
        </w:tc>
        <w:tc>
          <w:tcPr>
            <w:tcW w:w="1660" w:type="dxa"/>
            <w:tcBorders>
              <w:top w:val="nil"/>
              <w:left w:val="nil"/>
              <w:bottom w:val="single" w:sz="8" w:space="0" w:color="auto"/>
              <w:right w:val="single" w:sz="8" w:space="0" w:color="auto"/>
            </w:tcBorders>
            <w:shd w:val="clear" w:color="auto" w:fill="FFFFFF"/>
            <w:vAlign w:val="center"/>
            <w:hideMark/>
          </w:tcPr>
          <w:p w14:paraId="236044F6"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3F42619E"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70A7B27A"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6C76E87B"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28C1A1C2"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r>
      <w:tr w:rsidR="00EA0FD7" w:rsidRPr="00EA0FD7" w14:paraId="08D3DB20"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42C1F6CF" w14:textId="77777777" w:rsidR="00EA0FD7" w:rsidRPr="00EA0FD7" w:rsidRDefault="00EA0FD7" w:rsidP="00752F04">
            <w:pPr>
              <w:spacing w:after="0" w:line="240" w:lineRule="auto"/>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Приходи из буџета</w:t>
            </w:r>
          </w:p>
        </w:tc>
        <w:tc>
          <w:tcPr>
            <w:tcW w:w="1660" w:type="dxa"/>
            <w:tcBorders>
              <w:top w:val="nil"/>
              <w:left w:val="nil"/>
              <w:bottom w:val="single" w:sz="8" w:space="0" w:color="auto"/>
              <w:right w:val="single" w:sz="8" w:space="0" w:color="auto"/>
            </w:tcBorders>
            <w:shd w:val="clear" w:color="auto" w:fill="FFFFFF"/>
            <w:vAlign w:val="center"/>
            <w:hideMark/>
          </w:tcPr>
          <w:p w14:paraId="262636BF"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1,213,940</w:t>
            </w:r>
          </w:p>
        </w:tc>
        <w:tc>
          <w:tcPr>
            <w:tcW w:w="1660" w:type="dxa"/>
            <w:tcBorders>
              <w:top w:val="nil"/>
              <w:left w:val="nil"/>
              <w:bottom w:val="single" w:sz="8" w:space="0" w:color="auto"/>
              <w:right w:val="single" w:sz="8" w:space="0" w:color="auto"/>
            </w:tcBorders>
            <w:shd w:val="clear" w:color="auto" w:fill="FFFFFF"/>
            <w:vAlign w:val="center"/>
            <w:hideMark/>
          </w:tcPr>
          <w:p w14:paraId="230F052C"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3,190,721</w:t>
            </w:r>
          </w:p>
        </w:tc>
        <w:tc>
          <w:tcPr>
            <w:tcW w:w="1660" w:type="dxa"/>
            <w:tcBorders>
              <w:top w:val="nil"/>
              <w:left w:val="nil"/>
              <w:bottom w:val="single" w:sz="8" w:space="0" w:color="auto"/>
              <w:right w:val="single" w:sz="8" w:space="0" w:color="auto"/>
            </w:tcBorders>
            <w:shd w:val="clear" w:color="auto" w:fill="FFFFFF"/>
            <w:vAlign w:val="center"/>
            <w:hideMark/>
          </w:tcPr>
          <w:p w14:paraId="12461CEA"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3,683,450</w:t>
            </w:r>
          </w:p>
        </w:tc>
        <w:tc>
          <w:tcPr>
            <w:tcW w:w="1660" w:type="dxa"/>
            <w:tcBorders>
              <w:top w:val="nil"/>
              <w:left w:val="nil"/>
              <w:bottom w:val="single" w:sz="8" w:space="0" w:color="auto"/>
              <w:right w:val="single" w:sz="8" w:space="0" w:color="auto"/>
            </w:tcBorders>
            <w:shd w:val="clear" w:color="auto" w:fill="FFFFFF"/>
            <w:vAlign w:val="center"/>
            <w:hideMark/>
          </w:tcPr>
          <w:p w14:paraId="26CFEBC4"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3,078,450</w:t>
            </w:r>
          </w:p>
        </w:tc>
        <w:tc>
          <w:tcPr>
            <w:tcW w:w="1660" w:type="dxa"/>
            <w:tcBorders>
              <w:top w:val="nil"/>
              <w:left w:val="nil"/>
              <w:bottom w:val="single" w:sz="8" w:space="0" w:color="auto"/>
              <w:right w:val="single" w:sz="8" w:space="0" w:color="auto"/>
            </w:tcBorders>
            <w:shd w:val="clear" w:color="auto" w:fill="FFFFFF"/>
            <w:vAlign w:val="center"/>
            <w:hideMark/>
          </w:tcPr>
          <w:p w14:paraId="11947EDF"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3,253,450</w:t>
            </w:r>
          </w:p>
        </w:tc>
      </w:tr>
      <w:tr w:rsidR="00EA0FD7" w:rsidRPr="00EA0FD7" w14:paraId="13AD0F46"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hideMark/>
          </w:tcPr>
          <w:p w14:paraId="428A113F" w14:textId="77777777" w:rsidR="00EA0FD7" w:rsidRPr="00EA0FD7" w:rsidRDefault="00EA0FD7" w:rsidP="00EA0FD7">
            <w:pPr>
              <w:spacing w:after="0" w:line="240" w:lineRule="auto"/>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Приходи из кредитних средстава</w:t>
            </w:r>
          </w:p>
        </w:tc>
        <w:tc>
          <w:tcPr>
            <w:tcW w:w="1660" w:type="dxa"/>
            <w:tcBorders>
              <w:top w:val="nil"/>
              <w:left w:val="nil"/>
              <w:bottom w:val="single" w:sz="8" w:space="0" w:color="auto"/>
              <w:right w:val="single" w:sz="8" w:space="0" w:color="auto"/>
            </w:tcBorders>
            <w:shd w:val="clear" w:color="auto" w:fill="FFFFFF"/>
            <w:vAlign w:val="center"/>
            <w:hideMark/>
          </w:tcPr>
          <w:p w14:paraId="45C487AF"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1F9630B3"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5FD6FA9F"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55599D6C"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69F91525"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r>
      <w:tr w:rsidR="00EA0FD7" w:rsidRPr="00EA0FD7" w14:paraId="3E0BCF74" w14:textId="77777777" w:rsidTr="00EA0FD7">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712FBA4E" w14:textId="77777777" w:rsidR="00EA0FD7" w:rsidRPr="00EA0FD7" w:rsidRDefault="00EA0FD7" w:rsidP="00EA0FD7">
            <w:pPr>
              <w:spacing w:after="0" w:line="240" w:lineRule="auto"/>
              <w:jc w:val="both"/>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Донације</w:t>
            </w:r>
          </w:p>
        </w:tc>
        <w:tc>
          <w:tcPr>
            <w:tcW w:w="1660" w:type="dxa"/>
            <w:tcBorders>
              <w:top w:val="nil"/>
              <w:left w:val="nil"/>
              <w:bottom w:val="single" w:sz="8" w:space="0" w:color="auto"/>
              <w:right w:val="single" w:sz="8" w:space="0" w:color="auto"/>
            </w:tcBorders>
            <w:shd w:val="clear" w:color="auto" w:fill="FFFFFF"/>
            <w:vAlign w:val="center"/>
            <w:hideMark/>
          </w:tcPr>
          <w:p w14:paraId="4F0B4649"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7E943369"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16853BA2"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104D6C54"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05418805"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r>
      <w:tr w:rsidR="00EA0FD7" w:rsidRPr="00EA0FD7" w14:paraId="6E6895C8" w14:textId="77777777" w:rsidTr="00EA0FD7">
        <w:trPr>
          <w:trHeight w:val="495"/>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66227259" w14:textId="77777777" w:rsidR="00EA0FD7" w:rsidRPr="00EA0FD7" w:rsidRDefault="00EA0FD7" w:rsidP="00EA0FD7">
            <w:pPr>
              <w:spacing w:after="0" w:line="240" w:lineRule="auto"/>
              <w:jc w:val="both"/>
              <w:rPr>
                <w:rFonts w:ascii="Arial" w:eastAsia="Times New Roman" w:hAnsi="Arial" w:cs="Arial"/>
                <w:b/>
                <w:bCs/>
                <w:color w:val="000000"/>
                <w:lang w:val="sr-Cyrl-RS"/>
              </w:rPr>
            </w:pPr>
            <w:r w:rsidRPr="00EA0FD7">
              <w:rPr>
                <w:rFonts w:ascii="Arial" w:eastAsia="Times New Roman" w:hAnsi="Arial" w:cs="Arial"/>
                <w:b/>
                <w:bCs/>
                <w:color w:val="000000"/>
                <w:lang w:val="sr-Cyrl-RS"/>
              </w:rPr>
              <w:t>УКУПНО:</w:t>
            </w:r>
          </w:p>
        </w:tc>
        <w:tc>
          <w:tcPr>
            <w:tcW w:w="1660" w:type="dxa"/>
            <w:tcBorders>
              <w:top w:val="nil"/>
              <w:left w:val="nil"/>
              <w:bottom w:val="single" w:sz="8" w:space="0" w:color="auto"/>
              <w:right w:val="single" w:sz="8" w:space="0" w:color="auto"/>
            </w:tcBorders>
            <w:shd w:val="clear" w:color="auto" w:fill="FFFFFF"/>
            <w:vAlign w:val="center"/>
            <w:hideMark/>
          </w:tcPr>
          <w:p w14:paraId="5289BF09"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1,213,940</w:t>
            </w:r>
          </w:p>
        </w:tc>
        <w:tc>
          <w:tcPr>
            <w:tcW w:w="1660" w:type="dxa"/>
            <w:tcBorders>
              <w:top w:val="nil"/>
              <w:left w:val="nil"/>
              <w:bottom w:val="single" w:sz="8" w:space="0" w:color="auto"/>
              <w:right w:val="single" w:sz="8" w:space="0" w:color="auto"/>
            </w:tcBorders>
            <w:shd w:val="clear" w:color="auto" w:fill="FFFFFF"/>
            <w:vAlign w:val="center"/>
            <w:hideMark/>
          </w:tcPr>
          <w:p w14:paraId="09729C08"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3,190,721</w:t>
            </w:r>
          </w:p>
        </w:tc>
        <w:tc>
          <w:tcPr>
            <w:tcW w:w="1660" w:type="dxa"/>
            <w:tcBorders>
              <w:top w:val="nil"/>
              <w:left w:val="nil"/>
              <w:bottom w:val="single" w:sz="8" w:space="0" w:color="auto"/>
              <w:right w:val="single" w:sz="8" w:space="0" w:color="auto"/>
            </w:tcBorders>
            <w:shd w:val="clear" w:color="auto" w:fill="FFFFFF"/>
            <w:vAlign w:val="center"/>
            <w:hideMark/>
          </w:tcPr>
          <w:p w14:paraId="0CD897A1"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3,683,450</w:t>
            </w:r>
          </w:p>
        </w:tc>
        <w:tc>
          <w:tcPr>
            <w:tcW w:w="1660" w:type="dxa"/>
            <w:tcBorders>
              <w:top w:val="nil"/>
              <w:left w:val="nil"/>
              <w:bottom w:val="single" w:sz="8" w:space="0" w:color="auto"/>
              <w:right w:val="single" w:sz="8" w:space="0" w:color="auto"/>
            </w:tcBorders>
            <w:shd w:val="clear" w:color="auto" w:fill="FFFFFF"/>
            <w:vAlign w:val="center"/>
            <w:hideMark/>
          </w:tcPr>
          <w:p w14:paraId="6C3DC238"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3,078,450</w:t>
            </w:r>
          </w:p>
        </w:tc>
        <w:tc>
          <w:tcPr>
            <w:tcW w:w="1660" w:type="dxa"/>
            <w:tcBorders>
              <w:top w:val="nil"/>
              <w:left w:val="nil"/>
              <w:bottom w:val="single" w:sz="8" w:space="0" w:color="auto"/>
              <w:right w:val="single" w:sz="8" w:space="0" w:color="auto"/>
            </w:tcBorders>
            <w:shd w:val="clear" w:color="auto" w:fill="FFFFFF"/>
            <w:vAlign w:val="center"/>
            <w:hideMark/>
          </w:tcPr>
          <w:p w14:paraId="1850CA2B"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3,253,450</w:t>
            </w:r>
          </w:p>
        </w:tc>
      </w:tr>
    </w:tbl>
    <w:p w14:paraId="3D470268"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68342738"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33D18E93"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4B159F9D" w14:textId="747A0DA2" w:rsid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Радио-новинска и издавачка установа „Радио Брчко“ Брчко дистрикт БиХ је у 2022. години остварио властите приходе у износу од 13.394 КМ. План властитих прихода у 2022. години као и у периоду 2023</w:t>
      </w:r>
      <w:r w:rsidR="00752F04">
        <w:rPr>
          <w:rFonts w:ascii="Times New Roman" w:eastAsia="Times New Roman" w:hAnsi="Times New Roman" w:cs="Times New Roman"/>
          <w:sz w:val="24"/>
          <w:lang w:val="sr-Cyrl-RS" w:eastAsia="hr-HR"/>
        </w:rPr>
        <w:t>–</w:t>
      </w:r>
      <w:r w:rsidRPr="00EA0FD7">
        <w:rPr>
          <w:rFonts w:ascii="Times New Roman" w:eastAsia="Times New Roman" w:hAnsi="Times New Roman" w:cs="Times New Roman"/>
          <w:sz w:val="24"/>
          <w:lang w:val="sr-Cyrl-RS" w:eastAsia="hr-HR"/>
        </w:rPr>
        <w:t>20</w:t>
      </w:r>
      <w:r w:rsidR="00752F04">
        <w:rPr>
          <w:rFonts w:ascii="Times New Roman" w:eastAsia="Times New Roman" w:hAnsi="Times New Roman" w:cs="Times New Roman"/>
          <w:sz w:val="24"/>
          <w:lang w:val="sr-Cyrl-RS" w:eastAsia="hr-HR"/>
        </w:rPr>
        <w:t>2</w:t>
      </w:r>
      <w:r w:rsidRPr="00EA0FD7">
        <w:rPr>
          <w:rFonts w:ascii="Times New Roman" w:eastAsia="Times New Roman" w:hAnsi="Times New Roman" w:cs="Times New Roman"/>
          <w:sz w:val="24"/>
          <w:lang w:val="sr-Cyrl-RS" w:eastAsia="hr-HR"/>
        </w:rPr>
        <w:t>5. године износи 79.220 КМ</w:t>
      </w:r>
    </w:p>
    <w:p w14:paraId="0969F20C" w14:textId="77777777" w:rsidR="00752F04" w:rsidRPr="00EA0FD7" w:rsidRDefault="00752F04" w:rsidP="00EA0FD7">
      <w:pPr>
        <w:spacing w:after="0" w:line="240" w:lineRule="auto"/>
        <w:jc w:val="both"/>
        <w:rPr>
          <w:rFonts w:ascii="Times New Roman" w:eastAsia="Times New Roman" w:hAnsi="Times New Roman" w:cs="Times New Roman"/>
          <w:sz w:val="24"/>
          <w:lang w:val="sr-Cyrl-RS" w:eastAsia="hr-HR"/>
        </w:rPr>
      </w:pPr>
    </w:p>
    <w:p w14:paraId="179929A5"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b/>
          <w:bCs/>
          <w:sz w:val="20"/>
          <w:szCs w:val="20"/>
          <w:lang w:val="sr-Cyrl-RS" w:eastAsia="hr-HR"/>
        </w:rPr>
        <w:lastRenderedPageBreak/>
        <w:t>Табела 3.12.</w:t>
      </w:r>
      <w:r w:rsidRPr="00EA0FD7">
        <w:rPr>
          <w:rFonts w:ascii="Times New Roman" w:eastAsia="Times New Roman" w:hAnsi="Times New Roman" w:cs="Times New Roman"/>
          <w:bCs/>
          <w:sz w:val="20"/>
          <w:szCs w:val="20"/>
          <w:lang w:val="sr-Cyrl-RS" w:eastAsia="hr-HR"/>
        </w:rPr>
        <w:t xml:space="preserve"> Финансијски план прихода </w:t>
      </w:r>
      <w:r w:rsidRPr="00EA0FD7">
        <w:rPr>
          <w:rFonts w:ascii="Times New Roman" w:eastAsia="Times New Roman" w:hAnsi="Times New Roman" w:cs="Times New Roman"/>
          <w:sz w:val="20"/>
          <w:szCs w:val="20"/>
          <w:lang w:val="sr-Cyrl-RS" w:eastAsia="hr-HR"/>
        </w:rPr>
        <w:t xml:space="preserve">Радио-новинска и издавачка установа „Радио Брчко“ Брчко дистрикт  </w:t>
      </w:r>
    </w:p>
    <w:p w14:paraId="69DF7016" w14:textId="77777777" w:rsidR="00EA0FD7" w:rsidRPr="00EA0FD7" w:rsidRDefault="00EA0FD7" w:rsidP="00EA0FD7">
      <w:pPr>
        <w:spacing w:after="0" w:line="240" w:lineRule="auto"/>
        <w:jc w:val="both"/>
        <w:rPr>
          <w:rFonts w:ascii="Times New Roman" w:eastAsia="Times New Roman" w:hAnsi="Times New Roman" w:cs="Times New Roman"/>
          <w:sz w:val="20"/>
          <w:szCs w:val="20"/>
          <w:lang w:val="sr-Cyrl-RS" w:eastAsia="hr-HR"/>
        </w:rPr>
      </w:pPr>
      <w:r w:rsidRPr="00EA0FD7">
        <w:rPr>
          <w:rFonts w:ascii="Times New Roman" w:eastAsia="Times New Roman" w:hAnsi="Times New Roman" w:cs="Times New Roman"/>
          <w:sz w:val="20"/>
          <w:szCs w:val="20"/>
          <w:lang w:val="sr-Cyrl-RS" w:eastAsia="hr-HR"/>
        </w:rPr>
        <w:t xml:space="preserve">                      БиХ</w:t>
      </w:r>
      <w:r w:rsidRPr="00EA0FD7">
        <w:rPr>
          <w:rFonts w:ascii="Times New Roman" w:eastAsia="Times New Roman" w:hAnsi="Times New Roman" w:cs="Times New Roman"/>
          <w:bCs/>
          <w:sz w:val="20"/>
          <w:szCs w:val="20"/>
          <w:lang w:val="sr-Cyrl-RS" w:eastAsia="hr-HR"/>
        </w:rPr>
        <w:t xml:space="preserve"> за период</w:t>
      </w:r>
      <w:r w:rsidRPr="00EA0FD7">
        <w:rPr>
          <w:rFonts w:ascii="Times New Roman" w:eastAsia="Times New Roman" w:hAnsi="Times New Roman" w:cs="Times New Roman"/>
          <w:sz w:val="20"/>
          <w:szCs w:val="20"/>
          <w:lang w:val="sr-Cyrl-RS" w:eastAsia="hr-HR"/>
        </w:rPr>
        <w:t xml:space="preserve">  2023–2025. године</w:t>
      </w:r>
    </w:p>
    <w:tbl>
      <w:tblPr>
        <w:tblW w:w="10160" w:type="dxa"/>
        <w:tblInd w:w="93" w:type="dxa"/>
        <w:tblLook w:val="04A0" w:firstRow="1" w:lastRow="0" w:firstColumn="1" w:lastColumn="0" w:noHBand="0" w:noVBand="1"/>
      </w:tblPr>
      <w:tblGrid>
        <w:gridCol w:w="1860"/>
        <w:gridCol w:w="1660"/>
        <w:gridCol w:w="1660"/>
        <w:gridCol w:w="1660"/>
        <w:gridCol w:w="1660"/>
        <w:gridCol w:w="1660"/>
      </w:tblGrid>
      <w:tr w:rsidR="00EA0FD7" w:rsidRPr="00EA0FD7" w14:paraId="0F8B5518" w14:textId="77777777" w:rsidTr="00EA0FD7">
        <w:trPr>
          <w:trHeight w:val="450"/>
        </w:trPr>
        <w:tc>
          <w:tcPr>
            <w:tcW w:w="18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3BDBF155"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Врста прихода</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7FC60E96"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Извршење</w:t>
            </w:r>
            <w:r w:rsidRPr="00EA0FD7">
              <w:rPr>
                <w:rFonts w:ascii="Arial" w:eastAsia="Times New Roman" w:hAnsi="Arial" w:cs="Arial"/>
                <w:b/>
                <w:bCs/>
                <w:color w:val="FFFFFF"/>
                <w:lang w:val="sr-Cyrl-RS"/>
              </w:rPr>
              <w:br/>
              <w:t>2021</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6C2A7FFC"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План</w:t>
            </w:r>
            <w:r w:rsidRPr="00EA0FD7">
              <w:rPr>
                <w:rFonts w:ascii="Arial" w:eastAsia="Times New Roman" w:hAnsi="Arial" w:cs="Arial"/>
                <w:b/>
                <w:bCs/>
                <w:color w:val="FFFFFF"/>
                <w:lang w:val="sr-Cyrl-RS"/>
              </w:rPr>
              <w:br/>
              <w:t>2022</w:t>
            </w:r>
          </w:p>
        </w:tc>
        <w:tc>
          <w:tcPr>
            <w:tcW w:w="4980" w:type="dxa"/>
            <w:gridSpan w:val="3"/>
            <w:vMerge w:val="restart"/>
            <w:tcBorders>
              <w:top w:val="single" w:sz="8" w:space="0" w:color="auto"/>
              <w:left w:val="single" w:sz="8" w:space="0" w:color="auto"/>
              <w:bottom w:val="single" w:sz="8" w:space="0" w:color="000000"/>
              <w:right w:val="single" w:sz="8" w:space="0" w:color="000000"/>
            </w:tcBorders>
            <w:shd w:val="clear" w:color="auto" w:fill="808080"/>
            <w:vAlign w:val="center"/>
            <w:hideMark/>
          </w:tcPr>
          <w:p w14:paraId="357CCB2D"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Финансијски план</w:t>
            </w:r>
          </w:p>
        </w:tc>
      </w:tr>
      <w:tr w:rsidR="00EA0FD7" w:rsidRPr="00EA0FD7" w14:paraId="0B1A04F5" w14:textId="77777777" w:rsidTr="00EA0FD7">
        <w:trPr>
          <w:trHeight w:val="45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4C21BA"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B6DC9F"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03AA9EF"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14:paraId="25961E6D" w14:textId="77777777" w:rsidR="00EA0FD7" w:rsidRPr="00EA0FD7" w:rsidRDefault="00EA0FD7" w:rsidP="00EA0FD7">
            <w:pPr>
              <w:spacing w:after="0" w:line="240" w:lineRule="auto"/>
              <w:rPr>
                <w:rFonts w:ascii="Arial" w:eastAsia="Times New Roman" w:hAnsi="Arial" w:cs="Arial"/>
                <w:b/>
                <w:bCs/>
                <w:color w:val="FFFFFF"/>
                <w:lang w:val="sr-Cyrl-RS"/>
              </w:rPr>
            </w:pPr>
          </w:p>
        </w:tc>
      </w:tr>
      <w:tr w:rsidR="00EA0FD7" w:rsidRPr="00EA0FD7" w14:paraId="6F750B70" w14:textId="77777777" w:rsidTr="00EA0FD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3CD7D1"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93011DE"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42A3A2F"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1660" w:type="dxa"/>
            <w:tcBorders>
              <w:top w:val="nil"/>
              <w:left w:val="nil"/>
              <w:bottom w:val="single" w:sz="8" w:space="0" w:color="auto"/>
              <w:right w:val="single" w:sz="8" w:space="0" w:color="auto"/>
            </w:tcBorders>
            <w:shd w:val="clear" w:color="auto" w:fill="808080"/>
            <w:vAlign w:val="center"/>
            <w:hideMark/>
          </w:tcPr>
          <w:p w14:paraId="6306D857"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2023</w:t>
            </w:r>
          </w:p>
        </w:tc>
        <w:tc>
          <w:tcPr>
            <w:tcW w:w="1660" w:type="dxa"/>
            <w:tcBorders>
              <w:top w:val="nil"/>
              <w:left w:val="nil"/>
              <w:bottom w:val="single" w:sz="8" w:space="0" w:color="auto"/>
              <w:right w:val="single" w:sz="8" w:space="0" w:color="auto"/>
            </w:tcBorders>
            <w:shd w:val="clear" w:color="auto" w:fill="808080"/>
            <w:vAlign w:val="center"/>
            <w:hideMark/>
          </w:tcPr>
          <w:p w14:paraId="18A67573"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2024</w:t>
            </w:r>
          </w:p>
        </w:tc>
        <w:tc>
          <w:tcPr>
            <w:tcW w:w="1660" w:type="dxa"/>
            <w:tcBorders>
              <w:top w:val="nil"/>
              <w:left w:val="nil"/>
              <w:bottom w:val="single" w:sz="8" w:space="0" w:color="auto"/>
              <w:right w:val="single" w:sz="8" w:space="0" w:color="auto"/>
            </w:tcBorders>
            <w:shd w:val="clear" w:color="auto" w:fill="808080"/>
            <w:vAlign w:val="center"/>
            <w:hideMark/>
          </w:tcPr>
          <w:p w14:paraId="44F46936"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2025</w:t>
            </w:r>
          </w:p>
        </w:tc>
      </w:tr>
      <w:tr w:rsidR="00EA0FD7" w:rsidRPr="00EA0FD7" w14:paraId="0B70EB05" w14:textId="77777777" w:rsidTr="00EA0FD7">
        <w:trPr>
          <w:trHeight w:val="54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7844CB2F" w14:textId="77777777" w:rsidR="00EA0FD7" w:rsidRPr="00EA0FD7" w:rsidRDefault="00EA0FD7" w:rsidP="00EA0FD7">
            <w:pPr>
              <w:spacing w:after="0" w:line="240" w:lineRule="auto"/>
              <w:jc w:val="both"/>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Властити приходи</w:t>
            </w:r>
          </w:p>
        </w:tc>
        <w:tc>
          <w:tcPr>
            <w:tcW w:w="1660" w:type="dxa"/>
            <w:tcBorders>
              <w:top w:val="nil"/>
              <w:left w:val="nil"/>
              <w:bottom w:val="single" w:sz="8" w:space="0" w:color="auto"/>
              <w:right w:val="single" w:sz="8" w:space="0" w:color="auto"/>
            </w:tcBorders>
            <w:shd w:val="clear" w:color="auto" w:fill="FFFFFF"/>
            <w:vAlign w:val="center"/>
            <w:hideMark/>
          </w:tcPr>
          <w:p w14:paraId="0233C1E3"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13,394</w:t>
            </w:r>
          </w:p>
        </w:tc>
        <w:tc>
          <w:tcPr>
            <w:tcW w:w="1660" w:type="dxa"/>
            <w:tcBorders>
              <w:top w:val="nil"/>
              <w:left w:val="nil"/>
              <w:bottom w:val="single" w:sz="8" w:space="0" w:color="auto"/>
              <w:right w:val="single" w:sz="8" w:space="0" w:color="auto"/>
            </w:tcBorders>
            <w:shd w:val="clear" w:color="auto" w:fill="FFFFFF"/>
            <w:vAlign w:val="center"/>
            <w:hideMark/>
          </w:tcPr>
          <w:p w14:paraId="16A1E607"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79,220</w:t>
            </w:r>
          </w:p>
        </w:tc>
        <w:tc>
          <w:tcPr>
            <w:tcW w:w="1660" w:type="dxa"/>
            <w:tcBorders>
              <w:top w:val="nil"/>
              <w:left w:val="nil"/>
              <w:bottom w:val="single" w:sz="8" w:space="0" w:color="auto"/>
              <w:right w:val="single" w:sz="8" w:space="0" w:color="auto"/>
            </w:tcBorders>
            <w:shd w:val="clear" w:color="auto" w:fill="FFFFFF"/>
            <w:vAlign w:val="center"/>
            <w:hideMark/>
          </w:tcPr>
          <w:p w14:paraId="5C0255BD"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79,220</w:t>
            </w:r>
          </w:p>
        </w:tc>
        <w:tc>
          <w:tcPr>
            <w:tcW w:w="1660" w:type="dxa"/>
            <w:tcBorders>
              <w:top w:val="nil"/>
              <w:left w:val="nil"/>
              <w:bottom w:val="single" w:sz="8" w:space="0" w:color="auto"/>
              <w:right w:val="single" w:sz="8" w:space="0" w:color="auto"/>
            </w:tcBorders>
            <w:shd w:val="clear" w:color="auto" w:fill="FFFFFF"/>
            <w:vAlign w:val="center"/>
            <w:hideMark/>
          </w:tcPr>
          <w:p w14:paraId="60A0112B"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79,220</w:t>
            </w:r>
          </w:p>
        </w:tc>
        <w:tc>
          <w:tcPr>
            <w:tcW w:w="1660" w:type="dxa"/>
            <w:tcBorders>
              <w:top w:val="nil"/>
              <w:left w:val="nil"/>
              <w:bottom w:val="single" w:sz="8" w:space="0" w:color="auto"/>
              <w:right w:val="single" w:sz="8" w:space="0" w:color="auto"/>
            </w:tcBorders>
            <w:shd w:val="clear" w:color="auto" w:fill="FFFFFF"/>
            <w:vAlign w:val="center"/>
            <w:hideMark/>
          </w:tcPr>
          <w:p w14:paraId="77BF92D5"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79,220</w:t>
            </w:r>
          </w:p>
        </w:tc>
      </w:tr>
      <w:tr w:rsidR="00EA0FD7" w:rsidRPr="00EA0FD7" w14:paraId="6C048FC7" w14:textId="77777777" w:rsidTr="00EA0FD7">
        <w:trPr>
          <w:trHeight w:val="54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05F4D930" w14:textId="77777777" w:rsidR="00EA0FD7" w:rsidRPr="00EA0FD7" w:rsidRDefault="00EA0FD7" w:rsidP="00752F04">
            <w:pPr>
              <w:spacing w:after="0" w:line="240" w:lineRule="auto"/>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Приходи из буџета</w:t>
            </w:r>
          </w:p>
        </w:tc>
        <w:tc>
          <w:tcPr>
            <w:tcW w:w="1660" w:type="dxa"/>
            <w:tcBorders>
              <w:top w:val="nil"/>
              <w:left w:val="nil"/>
              <w:bottom w:val="single" w:sz="8" w:space="0" w:color="auto"/>
              <w:right w:val="single" w:sz="8" w:space="0" w:color="auto"/>
            </w:tcBorders>
            <w:shd w:val="clear" w:color="auto" w:fill="FFFFFF"/>
            <w:vAlign w:val="center"/>
            <w:hideMark/>
          </w:tcPr>
          <w:p w14:paraId="1D3CCD06"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107,787</w:t>
            </w:r>
          </w:p>
        </w:tc>
        <w:tc>
          <w:tcPr>
            <w:tcW w:w="1660" w:type="dxa"/>
            <w:tcBorders>
              <w:top w:val="nil"/>
              <w:left w:val="nil"/>
              <w:bottom w:val="single" w:sz="8" w:space="0" w:color="auto"/>
              <w:right w:val="single" w:sz="8" w:space="0" w:color="auto"/>
            </w:tcBorders>
            <w:shd w:val="clear" w:color="auto" w:fill="FFFFFF"/>
            <w:vAlign w:val="center"/>
            <w:hideMark/>
          </w:tcPr>
          <w:p w14:paraId="409216B4"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960,700</w:t>
            </w:r>
          </w:p>
        </w:tc>
        <w:tc>
          <w:tcPr>
            <w:tcW w:w="1660" w:type="dxa"/>
            <w:tcBorders>
              <w:top w:val="nil"/>
              <w:left w:val="nil"/>
              <w:bottom w:val="single" w:sz="8" w:space="0" w:color="auto"/>
              <w:right w:val="single" w:sz="8" w:space="0" w:color="auto"/>
            </w:tcBorders>
            <w:shd w:val="clear" w:color="auto" w:fill="FFFFFF"/>
            <w:vAlign w:val="center"/>
            <w:hideMark/>
          </w:tcPr>
          <w:p w14:paraId="3F7DC1B8"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960,700</w:t>
            </w:r>
          </w:p>
        </w:tc>
        <w:tc>
          <w:tcPr>
            <w:tcW w:w="1660" w:type="dxa"/>
            <w:tcBorders>
              <w:top w:val="nil"/>
              <w:left w:val="nil"/>
              <w:bottom w:val="single" w:sz="8" w:space="0" w:color="auto"/>
              <w:right w:val="single" w:sz="8" w:space="0" w:color="auto"/>
            </w:tcBorders>
            <w:shd w:val="clear" w:color="auto" w:fill="FFFFFF"/>
            <w:vAlign w:val="center"/>
            <w:hideMark/>
          </w:tcPr>
          <w:p w14:paraId="567D90E0"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960,700</w:t>
            </w:r>
          </w:p>
        </w:tc>
        <w:tc>
          <w:tcPr>
            <w:tcW w:w="1660" w:type="dxa"/>
            <w:tcBorders>
              <w:top w:val="nil"/>
              <w:left w:val="nil"/>
              <w:bottom w:val="single" w:sz="8" w:space="0" w:color="auto"/>
              <w:right w:val="single" w:sz="8" w:space="0" w:color="auto"/>
            </w:tcBorders>
            <w:shd w:val="clear" w:color="auto" w:fill="FFFFFF"/>
            <w:vAlign w:val="center"/>
            <w:hideMark/>
          </w:tcPr>
          <w:p w14:paraId="2A2BC3D5"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960,700</w:t>
            </w:r>
          </w:p>
        </w:tc>
      </w:tr>
      <w:tr w:rsidR="00EA0FD7" w:rsidRPr="00EA0FD7" w14:paraId="0A5C24C5" w14:textId="77777777" w:rsidTr="00EA0FD7">
        <w:trPr>
          <w:trHeight w:val="720"/>
        </w:trPr>
        <w:tc>
          <w:tcPr>
            <w:tcW w:w="1860" w:type="dxa"/>
            <w:tcBorders>
              <w:top w:val="nil"/>
              <w:left w:val="single" w:sz="8" w:space="0" w:color="auto"/>
              <w:bottom w:val="single" w:sz="8" w:space="0" w:color="auto"/>
              <w:right w:val="single" w:sz="8" w:space="0" w:color="auto"/>
            </w:tcBorders>
            <w:shd w:val="clear" w:color="auto" w:fill="FFFFFF"/>
            <w:hideMark/>
          </w:tcPr>
          <w:p w14:paraId="060CB77D" w14:textId="77777777" w:rsidR="00EA0FD7" w:rsidRPr="00EA0FD7" w:rsidRDefault="00EA0FD7" w:rsidP="00EA0FD7">
            <w:pPr>
              <w:spacing w:after="0" w:line="240" w:lineRule="auto"/>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Приходи из кредитних средстава</w:t>
            </w:r>
          </w:p>
        </w:tc>
        <w:tc>
          <w:tcPr>
            <w:tcW w:w="1660" w:type="dxa"/>
            <w:tcBorders>
              <w:top w:val="nil"/>
              <w:left w:val="nil"/>
              <w:bottom w:val="single" w:sz="8" w:space="0" w:color="auto"/>
              <w:right w:val="single" w:sz="8" w:space="0" w:color="auto"/>
            </w:tcBorders>
            <w:shd w:val="clear" w:color="auto" w:fill="FFFFFF"/>
            <w:vAlign w:val="center"/>
            <w:hideMark/>
          </w:tcPr>
          <w:p w14:paraId="30E7E2FE"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4AFC0709"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41A6B92A"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341A5261"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70D73012"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r>
      <w:tr w:rsidR="00EA0FD7" w:rsidRPr="00EA0FD7" w14:paraId="50086639" w14:textId="77777777" w:rsidTr="00EA0FD7">
        <w:trPr>
          <w:trHeight w:val="495"/>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0BFB415B" w14:textId="77777777" w:rsidR="00EA0FD7" w:rsidRPr="00EA0FD7" w:rsidRDefault="00EA0FD7" w:rsidP="00EA0FD7">
            <w:pPr>
              <w:spacing w:after="0" w:line="240" w:lineRule="auto"/>
              <w:jc w:val="both"/>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Донације</w:t>
            </w:r>
          </w:p>
        </w:tc>
        <w:tc>
          <w:tcPr>
            <w:tcW w:w="1660" w:type="dxa"/>
            <w:tcBorders>
              <w:top w:val="nil"/>
              <w:left w:val="nil"/>
              <w:bottom w:val="single" w:sz="8" w:space="0" w:color="auto"/>
              <w:right w:val="single" w:sz="8" w:space="0" w:color="auto"/>
            </w:tcBorders>
            <w:shd w:val="clear" w:color="auto" w:fill="FFFFFF"/>
            <w:vAlign w:val="center"/>
            <w:hideMark/>
          </w:tcPr>
          <w:p w14:paraId="410704D8"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4551A291"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67D6752E"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295A641E"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0BBF96C9" w14:textId="77777777" w:rsidR="00EA0FD7" w:rsidRPr="00EA0FD7" w:rsidRDefault="00EA0FD7" w:rsidP="00EA0FD7">
            <w:pPr>
              <w:spacing w:after="0" w:line="240" w:lineRule="auto"/>
              <w:jc w:val="right"/>
              <w:rPr>
                <w:rFonts w:ascii="Arial" w:eastAsia="Times New Roman" w:hAnsi="Arial" w:cs="Arial"/>
                <w:color w:val="000000"/>
                <w:sz w:val="20"/>
                <w:szCs w:val="20"/>
                <w:lang w:val="sr-Cyrl-RS"/>
              </w:rPr>
            </w:pPr>
            <w:r w:rsidRPr="00EA0FD7">
              <w:rPr>
                <w:rFonts w:ascii="Arial" w:eastAsia="Times New Roman" w:hAnsi="Arial" w:cs="Arial"/>
                <w:color w:val="000000"/>
                <w:sz w:val="20"/>
                <w:szCs w:val="20"/>
                <w:lang w:val="sr-Cyrl-RS"/>
              </w:rPr>
              <w:t>0</w:t>
            </w:r>
          </w:p>
        </w:tc>
      </w:tr>
      <w:tr w:rsidR="00EA0FD7" w:rsidRPr="00EA0FD7" w14:paraId="7CE587D2" w14:textId="77777777" w:rsidTr="00EA0FD7">
        <w:trPr>
          <w:trHeight w:val="315"/>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6D46844D" w14:textId="77777777" w:rsidR="00EA0FD7" w:rsidRPr="00EA0FD7" w:rsidRDefault="00EA0FD7" w:rsidP="00EA0FD7">
            <w:pPr>
              <w:spacing w:after="0" w:line="240" w:lineRule="auto"/>
              <w:jc w:val="both"/>
              <w:rPr>
                <w:rFonts w:ascii="Arial" w:eastAsia="Times New Roman" w:hAnsi="Arial" w:cs="Arial"/>
                <w:b/>
                <w:bCs/>
                <w:color w:val="000000"/>
                <w:lang w:val="sr-Cyrl-RS"/>
              </w:rPr>
            </w:pPr>
            <w:r w:rsidRPr="00EA0FD7">
              <w:rPr>
                <w:rFonts w:ascii="Arial" w:eastAsia="Times New Roman" w:hAnsi="Arial" w:cs="Arial"/>
                <w:b/>
                <w:bCs/>
                <w:color w:val="000000"/>
                <w:lang w:val="sr-Cyrl-RS"/>
              </w:rPr>
              <w:t>УКУПНО:</w:t>
            </w:r>
          </w:p>
        </w:tc>
        <w:tc>
          <w:tcPr>
            <w:tcW w:w="1660" w:type="dxa"/>
            <w:tcBorders>
              <w:top w:val="nil"/>
              <w:left w:val="nil"/>
              <w:bottom w:val="single" w:sz="8" w:space="0" w:color="auto"/>
              <w:right w:val="single" w:sz="8" w:space="0" w:color="auto"/>
            </w:tcBorders>
            <w:shd w:val="clear" w:color="auto" w:fill="FFFFFF"/>
            <w:vAlign w:val="center"/>
            <w:hideMark/>
          </w:tcPr>
          <w:p w14:paraId="454E77E2"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121,181</w:t>
            </w:r>
          </w:p>
        </w:tc>
        <w:tc>
          <w:tcPr>
            <w:tcW w:w="1660" w:type="dxa"/>
            <w:tcBorders>
              <w:top w:val="nil"/>
              <w:left w:val="nil"/>
              <w:bottom w:val="single" w:sz="8" w:space="0" w:color="auto"/>
              <w:right w:val="single" w:sz="8" w:space="0" w:color="auto"/>
            </w:tcBorders>
            <w:shd w:val="clear" w:color="auto" w:fill="FFFFFF"/>
            <w:vAlign w:val="center"/>
            <w:hideMark/>
          </w:tcPr>
          <w:p w14:paraId="6E59E0F5"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1,039,920</w:t>
            </w:r>
          </w:p>
        </w:tc>
        <w:tc>
          <w:tcPr>
            <w:tcW w:w="1660" w:type="dxa"/>
            <w:tcBorders>
              <w:top w:val="nil"/>
              <w:left w:val="nil"/>
              <w:bottom w:val="single" w:sz="8" w:space="0" w:color="auto"/>
              <w:right w:val="single" w:sz="8" w:space="0" w:color="auto"/>
            </w:tcBorders>
            <w:shd w:val="clear" w:color="auto" w:fill="FFFFFF"/>
            <w:vAlign w:val="center"/>
            <w:hideMark/>
          </w:tcPr>
          <w:p w14:paraId="0917F844"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1,039,920</w:t>
            </w:r>
          </w:p>
        </w:tc>
        <w:tc>
          <w:tcPr>
            <w:tcW w:w="1660" w:type="dxa"/>
            <w:tcBorders>
              <w:top w:val="nil"/>
              <w:left w:val="nil"/>
              <w:bottom w:val="single" w:sz="8" w:space="0" w:color="auto"/>
              <w:right w:val="single" w:sz="8" w:space="0" w:color="auto"/>
            </w:tcBorders>
            <w:shd w:val="clear" w:color="auto" w:fill="FFFFFF"/>
            <w:vAlign w:val="center"/>
            <w:hideMark/>
          </w:tcPr>
          <w:p w14:paraId="779BF37C"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1,039,920</w:t>
            </w:r>
          </w:p>
        </w:tc>
        <w:tc>
          <w:tcPr>
            <w:tcW w:w="1660" w:type="dxa"/>
            <w:tcBorders>
              <w:top w:val="nil"/>
              <w:left w:val="nil"/>
              <w:bottom w:val="single" w:sz="8" w:space="0" w:color="auto"/>
              <w:right w:val="single" w:sz="8" w:space="0" w:color="auto"/>
            </w:tcBorders>
            <w:shd w:val="clear" w:color="auto" w:fill="FFFFFF"/>
            <w:vAlign w:val="center"/>
            <w:hideMark/>
          </w:tcPr>
          <w:p w14:paraId="34D8D163" w14:textId="77777777" w:rsidR="00EA0FD7" w:rsidRPr="00EA0FD7" w:rsidRDefault="00EA0FD7"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1,039,920</w:t>
            </w:r>
          </w:p>
        </w:tc>
      </w:tr>
    </w:tbl>
    <w:p w14:paraId="0C9880B9"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518EEF61"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73824296" w14:textId="3F1B9450"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Ванбуџетски фондови (Фонд здравственог осигурања и Завод за запошљавање) и ванбуџетски корисници који су обвезници примјене буџетског рачуноводства (Развојно-гарантни фонд,  Завод за планирање, пројектовање и развој Брчко дистрикта БиХ и Радио Брчко) су у 2021. години остварили властите приходе у износу од 38.264.045 КМ. План властитих прихода ванбуџетских фондова и ванбуџетских кор</w:t>
      </w:r>
      <w:r w:rsidR="00752F04">
        <w:rPr>
          <w:rFonts w:ascii="Times New Roman" w:eastAsia="Times New Roman" w:hAnsi="Times New Roman" w:cs="Times New Roman"/>
          <w:sz w:val="24"/>
          <w:lang w:val="sr-Cyrl-RS" w:eastAsia="hr-HR"/>
        </w:rPr>
        <w:t>и</w:t>
      </w:r>
      <w:r w:rsidRPr="00EA0FD7">
        <w:rPr>
          <w:rFonts w:ascii="Times New Roman" w:eastAsia="Times New Roman" w:hAnsi="Times New Roman" w:cs="Times New Roman"/>
          <w:sz w:val="24"/>
          <w:lang w:val="sr-Cyrl-RS" w:eastAsia="hr-HR"/>
        </w:rPr>
        <w:t>сника који су обвезници примјене буџетског рачуноводства за 2022. годину износи 37.487.816 КМ, што је у односу на извршење 2021. године за 2,03% мање. У 2023. години ванбуџетски фондови</w:t>
      </w:r>
      <w:r w:rsidRPr="00EA0FD7">
        <w:rPr>
          <w:rFonts w:ascii="Times New Roman" w:eastAsia="Times New Roman" w:hAnsi="Times New Roman" w:cs="Times New Roman"/>
          <w:sz w:val="24"/>
          <w:szCs w:val="24"/>
          <w:lang w:val="sr-Cyrl-RS" w:eastAsia="hr-HR"/>
        </w:rPr>
        <w:t xml:space="preserve"> </w:t>
      </w:r>
      <w:r w:rsidRPr="00EA0FD7">
        <w:rPr>
          <w:rFonts w:ascii="Times New Roman" w:eastAsia="Times New Roman" w:hAnsi="Times New Roman" w:cs="Times New Roman"/>
          <w:sz w:val="24"/>
          <w:lang w:val="sr-Cyrl-RS" w:eastAsia="hr-HR"/>
        </w:rPr>
        <w:t>и ванбуџетски корисници који су обвезници примјене буџетског рачуноводства планирају укупне властите приходе у износу од 37.324.487 КМ, што је за 0,44% мања у односу на план 2022. године. У 2024. години план властитих прихода ванбуџетских фондова и ванбуџетских корисника који су обвезници примјене буџетског рачуноводства износи 37.299.487 КМ или 0,07% мање у односу на план претходне године. У 2025. години планирани су властити приходи у износу од 37.349.487 КМ, или за 0,13% више у односу на план 2024. године.</w:t>
      </w:r>
    </w:p>
    <w:p w14:paraId="67417957" w14:textId="77777777" w:rsidR="00EA0FD7" w:rsidRPr="00EA0FD7" w:rsidRDefault="00EA0FD7" w:rsidP="00EA0FD7">
      <w:pPr>
        <w:spacing w:after="0" w:line="240" w:lineRule="auto"/>
        <w:jc w:val="both"/>
        <w:rPr>
          <w:rFonts w:ascii="Times New Roman" w:eastAsia="Times New Roman" w:hAnsi="Times New Roman" w:cs="Times New Roman"/>
          <w:color w:val="FF0000"/>
          <w:sz w:val="24"/>
          <w:lang w:val="sr-Cyrl-RS" w:eastAsia="hr-HR"/>
        </w:rPr>
      </w:pPr>
    </w:p>
    <w:p w14:paraId="55D8DA64"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7B3F1BB8" w14:textId="77777777" w:rsidR="00EA0FD7" w:rsidRPr="00EA0FD7" w:rsidRDefault="00EA0FD7" w:rsidP="00EA0FD7">
      <w:pPr>
        <w:spacing w:after="0" w:line="240" w:lineRule="auto"/>
        <w:jc w:val="both"/>
        <w:rPr>
          <w:rFonts w:ascii="Times New Roman" w:eastAsia="Times New Roman" w:hAnsi="Times New Roman" w:cs="Times New Roman"/>
          <w:bCs/>
          <w:sz w:val="20"/>
          <w:szCs w:val="20"/>
          <w:lang w:val="sr-Cyrl-RS" w:eastAsia="hr-HR"/>
        </w:rPr>
      </w:pPr>
      <w:r w:rsidRPr="00EA0FD7">
        <w:rPr>
          <w:rFonts w:ascii="Times New Roman" w:eastAsia="Times New Roman" w:hAnsi="Times New Roman" w:cs="Times New Roman"/>
          <w:b/>
          <w:bCs/>
          <w:sz w:val="20"/>
          <w:szCs w:val="20"/>
          <w:lang w:val="sr-Cyrl-RS" w:eastAsia="hr-HR"/>
        </w:rPr>
        <w:t>Табела 3.13.</w:t>
      </w:r>
      <w:r w:rsidRPr="00EA0FD7">
        <w:rPr>
          <w:rFonts w:ascii="Times New Roman" w:eastAsia="Times New Roman" w:hAnsi="Times New Roman" w:cs="Times New Roman"/>
          <w:bCs/>
          <w:sz w:val="20"/>
          <w:szCs w:val="20"/>
          <w:lang w:val="sr-Cyrl-RS" w:eastAsia="hr-HR"/>
        </w:rPr>
        <w:t xml:space="preserve"> Прогноза прихода ванбуџетских фондова и ванбуџетских корисника који су обвезници примјене   </w:t>
      </w:r>
    </w:p>
    <w:p w14:paraId="3F17698A" w14:textId="424871ED" w:rsidR="00EA0FD7" w:rsidRPr="00EA0FD7" w:rsidRDefault="00EA0FD7" w:rsidP="00EA0FD7">
      <w:pPr>
        <w:spacing w:after="0" w:line="240" w:lineRule="auto"/>
        <w:jc w:val="both"/>
        <w:rPr>
          <w:rFonts w:ascii="Times New Roman" w:eastAsia="Times New Roman" w:hAnsi="Times New Roman" w:cs="Times New Roman"/>
          <w:bCs/>
          <w:sz w:val="20"/>
          <w:szCs w:val="20"/>
          <w:lang w:val="sr-Cyrl-RS" w:eastAsia="hr-HR"/>
        </w:rPr>
      </w:pPr>
      <w:r w:rsidRPr="00EA0FD7">
        <w:rPr>
          <w:rFonts w:ascii="Times New Roman" w:eastAsia="Times New Roman" w:hAnsi="Times New Roman" w:cs="Times New Roman"/>
          <w:bCs/>
          <w:sz w:val="20"/>
          <w:szCs w:val="20"/>
          <w:lang w:val="sr-Cyrl-RS" w:eastAsia="hr-HR"/>
        </w:rPr>
        <w:t xml:space="preserve">                       буџетског рачуноводства 2023</w:t>
      </w:r>
      <w:r w:rsidR="00752F04">
        <w:rPr>
          <w:rFonts w:ascii="Times New Roman" w:eastAsia="Times New Roman" w:hAnsi="Times New Roman" w:cs="Times New Roman"/>
          <w:bCs/>
          <w:sz w:val="20"/>
          <w:szCs w:val="20"/>
          <w:lang w:val="sr-Cyrl-RS" w:eastAsia="hr-HR"/>
        </w:rPr>
        <w:t>–</w:t>
      </w:r>
      <w:r w:rsidRPr="00EA0FD7">
        <w:rPr>
          <w:rFonts w:ascii="Times New Roman" w:eastAsia="Times New Roman" w:hAnsi="Times New Roman" w:cs="Times New Roman"/>
          <w:bCs/>
          <w:sz w:val="20"/>
          <w:szCs w:val="20"/>
          <w:lang w:val="sr-Cyrl-RS" w:eastAsia="hr-HR"/>
        </w:rPr>
        <w:t>2025. (консолидовано)</w:t>
      </w:r>
    </w:p>
    <w:tbl>
      <w:tblPr>
        <w:tblW w:w="11820" w:type="dxa"/>
        <w:tblInd w:w="-513" w:type="dxa"/>
        <w:tblLook w:val="04A0" w:firstRow="1" w:lastRow="0" w:firstColumn="1" w:lastColumn="0" w:noHBand="0" w:noVBand="1"/>
      </w:tblPr>
      <w:tblGrid>
        <w:gridCol w:w="1860"/>
        <w:gridCol w:w="1660"/>
        <w:gridCol w:w="1660"/>
        <w:gridCol w:w="1660"/>
        <w:gridCol w:w="1660"/>
        <w:gridCol w:w="1660"/>
        <w:gridCol w:w="1660"/>
      </w:tblGrid>
      <w:tr w:rsidR="00752F04" w:rsidRPr="00EA0FD7" w14:paraId="72E4B36B" w14:textId="77777777" w:rsidTr="00752F04">
        <w:trPr>
          <w:trHeight w:val="450"/>
        </w:trPr>
        <w:tc>
          <w:tcPr>
            <w:tcW w:w="1860" w:type="dxa"/>
            <w:vMerge w:val="restart"/>
            <w:tcBorders>
              <w:top w:val="single" w:sz="8" w:space="0" w:color="auto"/>
              <w:left w:val="single" w:sz="8" w:space="0" w:color="auto"/>
              <w:bottom w:val="single" w:sz="8" w:space="0" w:color="000000"/>
              <w:right w:val="single" w:sz="8" w:space="0" w:color="auto"/>
            </w:tcBorders>
            <w:shd w:val="clear" w:color="auto" w:fill="808080"/>
            <w:vAlign w:val="bottom"/>
            <w:hideMark/>
          </w:tcPr>
          <w:p w14:paraId="0038AB2E" w14:textId="77777777" w:rsidR="00752F04" w:rsidRPr="00EA0FD7" w:rsidRDefault="00752F04"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Властити приходи ванбуџетских фондова</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190BA13C" w14:textId="77777777" w:rsidR="00752F04" w:rsidRPr="00EA0FD7" w:rsidRDefault="00752F04"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Извршење</w:t>
            </w:r>
            <w:r w:rsidRPr="00EA0FD7">
              <w:rPr>
                <w:rFonts w:ascii="Arial" w:eastAsia="Times New Roman" w:hAnsi="Arial" w:cs="Arial"/>
                <w:b/>
                <w:bCs/>
                <w:color w:val="FFFFFF"/>
                <w:sz w:val="20"/>
                <w:szCs w:val="20"/>
                <w:lang w:val="sr-Cyrl-RS"/>
              </w:rPr>
              <w:br/>
              <w:t>2021</w:t>
            </w:r>
          </w:p>
        </w:tc>
        <w:tc>
          <w:tcPr>
            <w:tcW w:w="1660" w:type="dxa"/>
            <w:tcBorders>
              <w:top w:val="single" w:sz="8" w:space="0" w:color="auto"/>
              <w:left w:val="single" w:sz="8" w:space="0" w:color="auto"/>
              <w:bottom w:val="single" w:sz="8" w:space="0" w:color="000000"/>
              <w:right w:val="single" w:sz="8" w:space="0" w:color="auto"/>
            </w:tcBorders>
            <w:shd w:val="clear" w:color="auto" w:fill="808080"/>
          </w:tcPr>
          <w:p w14:paraId="23092B14" w14:textId="77777777" w:rsidR="00752F04" w:rsidRPr="00EA0FD7" w:rsidRDefault="00752F04" w:rsidP="00EA0FD7">
            <w:pPr>
              <w:spacing w:after="0" w:line="240" w:lineRule="auto"/>
              <w:jc w:val="center"/>
              <w:rPr>
                <w:rFonts w:ascii="Arial" w:eastAsia="Times New Roman" w:hAnsi="Arial" w:cs="Arial"/>
                <w:b/>
                <w:bCs/>
                <w:color w:val="FFFFFF"/>
                <w:sz w:val="20"/>
                <w:szCs w:val="20"/>
                <w:lang w:val="sr-Cyrl-RS"/>
              </w:rPr>
            </w:pP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6E354400" w14:textId="46360FCE" w:rsidR="00752F04" w:rsidRPr="00EA0FD7" w:rsidRDefault="00752F04"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План</w:t>
            </w:r>
            <w:r w:rsidRPr="00EA0FD7">
              <w:rPr>
                <w:rFonts w:ascii="Arial" w:eastAsia="Times New Roman" w:hAnsi="Arial" w:cs="Arial"/>
                <w:b/>
                <w:bCs/>
                <w:color w:val="FFFFFF"/>
                <w:sz w:val="20"/>
                <w:szCs w:val="20"/>
                <w:lang w:val="sr-Cyrl-RS"/>
              </w:rPr>
              <w:br/>
              <w:t>2022</w:t>
            </w:r>
          </w:p>
        </w:tc>
        <w:tc>
          <w:tcPr>
            <w:tcW w:w="4980" w:type="dxa"/>
            <w:gridSpan w:val="3"/>
            <w:vMerge w:val="restart"/>
            <w:tcBorders>
              <w:top w:val="single" w:sz="8" w:space="0" w:color="auto"/>
              <w:left w:val="single" w:sz="8" w:space="0" w:color="auto"/>
              <w:bottom w:val="single" w:sz="8" w:space="0" w:color="000000"/>
              <w:right w:val="single" w:sz="8" w:space="0" w:color="000000"/>
            </w:tcBorders>
            <w:shd w:val="clear" w:color="auto" w:fill="808080"/>
            <w:vAlign w:val="center"/>
            <w:hideMark/>
          </w:tcPr>
          <w:p w14:paraId="0C7EADF8" w14:textId="77777777" w:rsidR="00752F04" w:rsidRPr="00EA0FD7" w:rsidRDefault="00752F04"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Финансијски план</w:t>
            </w:r>
          </w:p>
        </w:tc>
      </w:tr>
      <w:tr w:rsidR="00752F04" w:rsidRPr="00EA0FD7" w14:paraId="79A13818" w14:textId="77777777" w:rsidTr="00752F04">
        <w:trPr>
          <w:trHeight w:val="45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AC41624" w14:textId="77777777" w:rsidR="00752F04" w:rsidRPr="00EA0FD7" w:rsidRDefault="00752F04" w:rsidP="00EA0FD7">
            <w:pPr>
              <w:spacing w:after="0" w:line="240" w:lineRule="auto"/>
              <w:rPr>
                <w:rFonts w:ascii="Arial" w:eastAsia="Times New Roman" w:hAnsi="Arial" w:cs="Arial"/>
                <w:b/>
                <w:bCs/>
                <w:color w:val="FFFFFF"/>
                <w:sz w:val="20"/>
                <w:szCs w:val="20"/>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F925019" w14:textId="77777777" w:rsidR="00752F04" w:rsidRPr="00EA0FD7" w:rsidRDefault="00752F04" w:rsidP="00EA0FD7">
            <w:pPr>
              <w:spacing w:after="0" w:line="240" w:lineRule="auto"/>
              <w:rPr>
                <w:rFonts w:ascii="Arial" w:eastAsia="Times New Roman" w:hAnsi="Arial" w:cs="Arial"/>
                <w:b/>
                <w:bCs/>
                <w:color w:val="FFFFFF"/>
                <w:sz w:val="20"/>
                <w:szCs w:val="20"/>
                <w:lang w:val="sr-Cyrl-RS"/>
              </w:rPr>
            </w:pPr>
          </w:p>
        </w:tc>
        <w:tc>
          <w:tcPr>
            <w:tcW w:w="0" w:type="auto"/>
            <w:tcBorders>
              <w:top w:val="single" w:sz="8" w:space="0" w:color="auto"/>
              <w:left w:val="single" w:sz="8" w:space="0" w:color="auto"/>
              <w:bottom w:val="single" w:sz="8" w:space="0" w:color="000000"/>
              <w:right w:val="single" w:sz="8" w:space="0" w:color="auto"/>
            </w:tcBorders>
          </w:tcPr>
          <w:p w14:paraId="22264195" w14:textId="77777777" w:rsidR="00752F04" w:rsidRPr="00EA0FD7" w:rsidRDefault="00752F04" w:rsidP="00EA0FD7">
            <w:pPr>
              <w:spacing w:after="0" w:line="240" w:lineRule="auto"/>
              <w:rPr>
                <w:rFonts w:ascii="Arial" w:eastAsia="Times New Roman" w:hAnsi="Arial" w:cs="Arial"/>
                <w:b/>
                <w:bCs/>
                <w:color w:val="FFFFFF"/>
                <w:sz w:val="20"/>
                <w:szCs w:val="20"/>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B17B3F0" w14:textId="31C65E8E" w:rsidR="00752F04" w:rsidRPr="00EA0FD7" w:rsidRDefault="00752F04" w:rsidP="00EA0FD7">
            <w:pPr>
              <w:spacing w:after="0" w:line="240" w:lineRule="auto"/>
              <w:rPr>
                <w:rFonts w:ascii="Arial" w:eastAsia="Times New Roman" w:hAnsi="Arial" w:cs="Arial"/>
                <w:b/>
                <w:bCs/>
                <w:color w:val="FFFFFF"/>
                <w:sz w:val="20"/>
                <w:szCs w:val="20"/>
                <w:lang w:val="sr-Cyrl-RS"/>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14:paraId="275EC466" w14:textId="77777777" w:rsidR="00752F04" w:rsidRPr="00EA0FD7" w:rsidRDefault="00752F04" w:rsidP="00EA0FD7">
            <w:pPr>
              <w:spacing w:after="0" w:line="240" w:lineRule="auto"/>
              <w:rPr>
                <w:rFonts w:ascii="Arial" w:eastAsia="Times New Roman" w:hAnsi="Arial" w:cs="Arial"/>
                <w:b/>
                <w:bCs/>
                <w:color w:val="FFFFFF"/>
                <w:sz w:val="20"/>
                <w:szCs w:val="20"/>
                <w:lang w:val="sr-Cyrl-RS"/>
              </w:rPr>
            </w:pPr>
          </w:p>
        </w:tc>
      </w:tr>
      <w:tr w:rsidR="00752F04" w:rsidRPr="00EA0FD7" w14:paraId="03B89CC8" w14:textId="77777777" w:rsidTr="00752F04">
        <w:trPr>
          <w:trHeight w:val="48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8F1F604" w14:textId="77777777" w:rsidR="00752F04" w:rsidRPr="00EA0FD7" w:rsidRDefault="00752F04" w:rsidP="00EA0FD7">
            <w:pPr>
              <w:spacing w:after="0" w:line="240" w:lineRule="auto"/>
              <w:rPr>
                <w:rFonts w:ascii="Arial" w:eastAsia="Times New Roman" w:hAnsi="Arial" w:cs="Arial"/>
                <w:b/>
                <w:bCs/>
                <w:color w:val="FFFFFF"/>
                <w:sz w:val="20"/>
                <w:szCs w:val="20"/>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577D6B0" w14:textId="77777777" w:rsidR="00752F04" w:rsidRPr="00EA0FD7" w:rsidRDefault="00752F04" w:rsidP="00EA0FD7">
            <w:pPr>
              <w:spacing w:after="0" w:line="240" w:lineRule="auto"/>
              <w:rPr>
                <w:rFonts w:ascii="Arial" w:eastAsia="Times New Roman" w:hAnsi="Arial" w:cs="Arial"/>
                <w:b/>
                <w:bCs/>
                <w:color w:val="FFFFFF"/>
                <w:sz w:val="20"/>
                <w:szCs w:val="20"/>
                <w:lang w:val="sr-Cyrl-RS"/>
              </w:rPr>
            </w:pPr>
          </w:p>
        </w:tc>
        <w:tc>
          <w:tcPr>
            <w:tcW w:w="0" w:type="auto"/>
            <w:tcBorders>
              <w:top w:val="single" w:sz="8" w:space="0" w:color="auto"/>
              <w:left w:val="single" w:sz="8" w:space="0" w:color="auto"/>
              <w:bottom w:val="single" w:sz="8" w:space="0" w:color="000000"/>
              <w:right w:val="single" w:sz="8" w:space="0" w:color="auto"/>
            </w:tcBorders>
          </w:tcPr>
          <w:p w14:paraId="3A7CD6FC" w14:textId="77777777" w:rsidR="00752F04" w:rsidRPr="00EA0FD7" w:rsidRDefault="00752F04" w:rsidP="00EA0FD7">
            <w:pPr>
              <w:spacing w:after="0" w:line="240" w:lineRule="auto"/>
              <w:rPr>
                <w:rFonts w:ascii="Arial" w:eastAsia="Times New Roman" w:hAnsi="Arial" w:cs="Arial"/>
                <w:b/>
                <w:bCs/>
                <w:color w:val="FFFFFF"/>
                <w:sz w:val="20"/>
                <w:szCs w:val="20"/>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173F29B" w14:textId="30AEBC5C" w:rsidR="00752F04" w:rsidRPr="00EA0FD7" w:rsidRDefault="00752F04" w:rsidP="00EA0FD7">
            <w:pPr>
              <w:spacing w:after="0" w:line="240" w:lineRule="auto"/>
              <w:rPr>
                <w:rFonts w:ascii="Arial" w:eastAsia="Times New Roman" w:hAnsi="Arial" w:cs="Arial"/>
                <w:b/>
                <w:bCs/>
                <w:color w:val="FFFFFF"/>
                <w:sz w:val="20"/>
                <w:szCs w:val="20"/>
                <w:lang w:val="sr-Cyrl-RS"/>
              </w:rPr>
            </w:pPr>
          </w:p>
        </w:tc>
        <w:tc>
          <w:tcPr>
            <w:tcW w:w="1660" w:type="dxa"/>
            <w:tcBorders>
              <w:top w:val="nil"/>
              <w:left w:val="nil"/>
              <w:bottom w:val="single" w:sz="8" w:space="0" w:color="auto"/>
              <w:right w:val="single" w:sz="8" w:space="0" w:color="auto"/>
            </w:tcBorders>
            <w:shd w:val="clear" w:color="auto" w:fill="808080"/>
            <w:vAlign w:val="center"/>
            <w:hideMark/>
          </w:tcPr>
          <w:p w14:paraId="682F07E3" w14:textId="77777777" w:rsidR="00752F04" w:rsidRPr="00EA0FD7" w:rsidRDefault="00752F04"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2023</w:t>
            </w:r>
          </w:p>
        </w:tc>
        <w:tc>
          <w:tcPr>
            <w:tcW w:w="1660" w:type="dxa"/>
            <w:tcBorders>
              <w:top w:val="nil"/>
              <w:left w:val="nil"/>
              <w:bottom w:val="single" w:sz="8" w:space="0" w:color="auto"/>
              <w:right w:val="single" w:sz="8" w:space="0" w:color="auto"/>
            </w:tcBorders>
            <w:shd w:val="clear" w:color="auto" w:fill="808080"/>
            <w:vAlign w:val="center"/>
            <w:hideMark/>
          </w:tcPr>
          <w:p w14:paraId="6F4E78A9" w14:textId="77777777" w:rsidR="00752F04" w:rsidRPr="00EA0FD7" w:rsidRDefault="00752F04"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2024</w:t>
            </w:r>
          </w:p>
        </w:tc>
        <w:tc>
          <w:tcPr>
            <w:tcW w:w="1660" w:type="dxa"/>
            <w:tcBorders>
              <w:top w:val="nil"/>
              <w:left w:val="nil"/>
              <w:bottom w:val="single" w:sz="8" w:space="0" w:color="auto"/>
              <w:right w:val="single" w:sz="8" w:space="0" w:color="auto"/>
            </w:tcBorders>
            <w:shd w:val="clear" w:color="auto" w:fill="808080"/>
            <w:vAlign w:val="center"/>
            <w:hideMark/>
          </w:tcPr>
          <w:p w14:paraId="3077EC7F" w14:textId="77777777" w:rsidR="00752F04" w:rsidRPr="00EA0FD7" w:rsidRDefault="00752F04" w:rsidP="00EA0FD7">
            <w:pPr>
              <w:spacing w:after="0" w:line="240" w:lineRule="auto"/>
              <w:jc w:val="center"/>
              <w:rPr>
                <w:rFonts w:ascii="Arial" w:eastAsia="Times New Roman" w:hAnsi="Arial" w:cs="Arial"/>
                <w:b/>
                <w:bCs/>
                <w:color w:val="FFFFFF"/>
                <w:sz w:val="20"/>
                <w:szCs w:val="20"/>
                <w:lang w:val="sr-Cyrl-RS"/>
              </w:rPr>
            </w:pPr>
            <w:r w:rsidRPr="00EA0FD7">
              <w:rPr>
                <w:rFonts w:ascii="Arial" w:eastAsia="Times New Roman" w:hAnsi="Arial" w:cs="Arial"/>
                <w:b/>
                <w:bCs/>
                <w:color w:val="FFFFFF"/>
                <w:sz w:val="20"/>
                <w:szCs w:val="20"/>
                <w:lang w:val="sr-Cyrl-RS"/>
              </w:rPr>
              <w:t>2025</w:t>
            </w:r>
          </w:p>
        </w:tc>
      </w:tr>
      <w:tr w:rsidR="00752F04" w:rsidRPr="00EA0FD7" w14:paraId="76DA7A24" w14:textId="77777777" w:rsidTr="00752F04">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5C63538F" w14:textId="77777777" w:rsidR="00752F04" w:rsidRPr="00EA0FD7" w:rsidRDefault="00752F04" w:rsidP="00EA0FD7">
            <w:pPr>
              <w:spacing w:after="0" w:line="240" w:lineRule="auto"/>
              <w:rPr>
                <w:rFonts w:ascii="Arial" w:eastAsia="Times New Roman" w:hAnsi="Arial" w:cs="Arial"/>
                <w:color w:val="000000"/>
                <w:sz w:val="18"/>
                <w:szCs w:val="18"/>
                <w:lang w:val="sr-Cyrl-RS"/>
              </w:rPr>
            </w:pPr>
            <w:r w:rsidRPr="00EA0FD7">
              <w:rPr>
                <w:rFonts w:ascii="Arial" w:eastAsia="Times New Roman" w:hAnsi="Arial" w:cs="Arial"/>
                <w:color w:val="000000"/>
                <w:sz w:val="18"/>
                <w:szCs w:val="18"/>
                <w:lang w:val="sr-Cyrl-RS"/>
              </w:rPr>
              <w:t>Фонд здравственог осигурања</w:t>
            </w:r>
          </w:p>
        </w:tc>
        <w:tc>
          <w:tcPr>
            <w:tcW w:w="1660" w:type="dxa"/>
            <w:tcBorders>
              <w:top w:val="nil"/>
              <w:left w:val="nil"/>
              <w:bottom w:val="single" w:sz="8" w:space="0" w:color="auto"/>
              <w:right w:val="single" w:sz="8" w:space="0" w:color="auto"/>
            </w:tcBorders>
            <w:shd w:val="clear" w:color="auto" w:fill="FFFFFF"/>
            <w:vAlign w:val="center"/>
            <w:hideMark/>
          </w:tcPr>
          <w:p w14:paraId="698989E9"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34,485,236</w:t>
            </w:r>
          </w:p>
        </w:tc>
        <w:tc>
          <w:tcPr>
            <w:tcW w:w="1660" w:type="dxa"/>
            <w:tcBorders>
              <w:top w:val="nil"/>
              <w:left w:val="nil"/>
              <w:bottom w:val="single" w:sz="8" w:space="0" w:color="auto"/>
              <w:right w:val="nil"/>
            </w:tcBorders>
            <w:shd w:val="clear" w:color="auto" w:fill="FFFFFF"/>
          </w:tcPr>
          <w:p w14:paraId="3F6FDAE8" w14:textId="77777777" w:rsidR="00752F04" w:rsidRPr="00EA0FD7" w:rsidRDefault="00752F04" w:rsidP="00EA0FD7">
            <w:pPr>
              <w:spacing w:after="0" w:line="240" w:lineRule="auto"/>
              <w:jc w:val="right"/>
              <w:rPr>
                <w:rFonts w:ascii="Arial" w:eastAsia="Times New Roman" w:hAnsi="Arial" w:cs="Arial"/>
                <w:color w:val="000000"/>
                <w:lang w:val="sr-Cyrl-RS"/>
              </w:rPr>
            </w:pPr>
          </w:p>
        </w:tc>
        <w:tc>
          <w:tcPr>
            <w:tcW w:w="1660" w:type="dxa"/>
            <w:tcBorders>
              <w:top w:val="nil"/>
              <w:left w:val="nil"/>
              <w:bottom w:val="single" w:sz="8" w:space="0" w:color="auto"/>
              <w:right w:val="single" w:sz="8" w:space="0" w:color="auto"/>
            </w:tcBorders>
            <w:shd w:val="clear" w:color="auto" w:fill="FFFFFF"/>
            <w:vAlign w:val="center"/>
            <w:hideMark/>
          </w:tcPr>
          <w:p w14:paraId="5C7C9E3D" w14:textId="625058E9"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33,233,236</w:t>
            </w:r>
          </w:p>
        </w:tc>
        <w:tc>
          <w:tcPr>
            <w:tcW w:w="1660" w:type="dxa"/>
            <w:tcBorders>
              <w:top w:val="nil"/>
              <w:left w:val="nil"/>
              <w:bottom w:val="single" w:sz="8" w:space="0" w:color="auto"/>
              <w:right w:val="single" w:sz="8" w:space="0" w:color="auto"/>
            </w:tcBorders>
            <w:shd w:val="clear" w:color="auto" w:fill="FFFFFF"/>
            <w:vAlign w:val="center"/>
            <w:hideMark/>
          </w:tcPr>
          <w:p w14:paraId="33CF67E6"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32,971,267</w:t>
            </w:r>
          </w:p>
        </w:tc>
        <w:tc>
          <w:tcPr>
            <w:tcW w:w="1660" w:type="dxa"/>
            <w:tcBorders>
              <w:top w:val="nil"/>
              <w:left w:val="nil"/>
              <w:bottom w:val="single" w:sz="8" w:space="0" w:color="auto"/>
              <w:right w:val="single" w:sz="8" w:space="0" w:color="auto"/>
            </w:tcBorders>
            <w:shd w:val="clear" w:color="auto" w:fill="FFFFFF"/>
            <w:vAlign w:val="center"/>
            <w:hideMark/>
          </w:tcPr>
          <w:p w14:paraId="36D19EF3"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33,021,267</w:t>
            </w:r>
          </w:p>
        </w:tc>
        <w:tc>
          <w:tcPr>
            <w:tcW w:w="1660" w:type="dxa"/>
            <w:tcBorders>
              <w:top w:val="nil"/>
              <w:left w:val="nil"/>
              <w:bottom w:val="single" w:sz="8" w:space="0" w:color="auto"/>
              <w:right w:val="single" w:sz="8" w:space="0" w:color="auto"/>
            </w:tcBorders>
            <w:shd w:val="clear" w:color="auto" w:fill="FFFFFF"/>
            <w:vAlign w:val="center"/>
            <w:hideMark/>
          </w:tcPr>
          <w:p w14:paraId="22CB9331"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33,071,267</w:t>
            </w:r>
          </w:p>
        </w:tc>
      </w:tr>
      <w:tr w:rsidR="00752F04" w:rsidRPr="00EA0FD7" w14:paraId="1773A611" w14:textId="77777777" w:rsidTr="00752F04">
        <w:trPr>
          <w:trHeight w:val="510"/>
        </w:trPr>
        <w:tc>
          <w:tcPr>
            <w:tcW w:w="1860" w:type="dxa"/>
            <w:tcBorders>
              <w:top w:val="nil"/>
              <w:left w:val="single" w:sz="8" w:space="0" w:color="auto"/>
              <w:bottom w:val="single" w:sz="8" w:space="0" w:color="auto"/>
              <w:right w:val="single" w:sz="8" w:space="0" w:color="auto"/>
            </w:tcBorders>
            <w:shd w:val="clear" w:color="auto" w:fill="FFFFFF"/>
            <w:vAlign w:val="center"/>
            <w:hideMark/>
          </w:tcPr>
          <w:p w14:paraId="368CB1E3" w14:textId="77777777" w:rsidR="00752F04" w:rsidRPr="00EA0FD7" w:rsidRDefault="00752F04" w:rsidP="00EA0FD7">
            <w:pPr>
              <w:spacing w:after="0" w:line="240" w:lineRule="auto"/>
              <w:rPr>
                <w:rFonts w:ascii="Arial" w:eastAsia="Times New Roman" w:hAnsi="Arial" w:cs="Arial"/>
                <w:color w:val="000000"/>
                <w:sz w:val="18"/>
                <w:szCs w:val="18"/>
                <w:lang w:val="sr-Cyrl-RS"/>
              </w:rPr>
            </w:pPr>
            <w:r w:rsidRPr="00EA0FD7">
              <w:rPr>
                <w:rFonts w:ascii="Arial" w:eastAsia="Times New Roman" w:hAnsi="Arial" w:cs="Arial"/>
                <w:color w:val="000000"/>
                <w:sz w:val="18"/>
                <w:szCs w:val="18"/>
                <w:lang w:val="sr-Cyrl-RS"/>
              </w:rPr>
              <w:t>Завод за запошљавање</w:t>
            </w:r>
          </w:p>
        </w:tc>
        <w:tc>
          <w:tcPr>
            <w:tcW w:w="1660" w:type="dxa"/>
            <w:tcBorders>
              <w:top w:val="nil"/>
              <w:left w:val="nil"/>
              <w:bottom w:val="single" w:sz="8" w:space="0" w:color="auto"/>
              <w:right w:val="single" w:sz="8" w:space="0" w:color="auto"/>
            </w:tcBorders>
            <w:shd w:val="clear" w:color="auto" w:fill="FFFFFF"/>
            <w:vAlign w:val="center"/>
            <w:hideMark/>
          </w:tcPr>
          <w:p w14:paraId="4E912037"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3,765,415</w:t>
            </w:r>
          </w:p>
        </w:tc>
        <w:tc>
          <w:tcPr>
            <w:tcW w:w="1660" w:type="dxa"/>
            <w:tcBorders>
              <w:top w:val="nil"/>
              <w:left w:val="nil"/>
              <w:bottom w:val="single" w:sz="8" w:space="0" w:color="auto"/>
              <w:right w:val="nil"/>
            </w:tcBorders>
            <w:shd w:val="clear" w:color="auto" w:fill="FFFFFF"/>
          </w:tcPr>
          <w:p w14:paraId="12E705D8" w14:textId="77777777" w:rsidR="00752F04" w:rsidRPr="00EA0FD7" w:rsidRDefault="00752F04" w:rsidP="00EA0FD7">
            <w:pPr>
              <w:spacing w:after="0" w:line="240" w:lineRule="auto"/>
              <w:jc w:val="right"/>
              <w:rPr>
                <w:rFonts w:ascii="Arial" w:eastAsia="Times New Roman" w:hAnsi="Arial" w:cs="Arial"/>
                <w:color w:val="000000"/>
                <w:lang w:val="sr-Cyrl-RS"/>
              </w:rPr>
            </w:pPr>
          </w:p>
        </w:tc>
        <w:tc>
          <w:tcPr>
            <w:tcW w:w="1660" w:type="dxa"/>
            <w:tcBorders>
              <w:top w:val="nil"/>
              <w:left w:val="nil"/>
              <w:bottom w:val="single" w:sz="8" w:space="0" w:color="auto"/>
              <w:right w:val="single" w:sz="8" w:space="0" w:color="auto"/>
            </w:tcBorders>
            <w:shd w:val="clear" w:color="auto" w:fill="FFFFFF"/>
            <w:vAlign w:val="center"/>
            <w:hideMark/>
          </w:tcPr>
          <w:p w14:paraId="308DB426" w14:textId="412DBE36"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4,175,360</w:t>
            </w:r>
          </w:p>
        </w:tc>
        <w:tc>
          <w:tcPr>
            <w:tcW w:w="1660" w:type="dxa"/>
            <w:tcBorders>
              <w:top w:val="nil"/>
              <w:left w:val="nil"/>
              <w:bottom w:val="single" w:sz="8" w:space="0" w:color="auto"/>
              <w:right w:val="single" w:sz="8" w:space="0" w:color="auto"/>
            </w:tcBorders>
            <w:shd w:val="clear" w:color="auto" w:fill="FFFFFF"/>
            <w:vAlign w:val="center"/>
            <w:hideMark/>
          </w:tcPr>
          <w:p w14:paraId="4744EB4C"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4,274,000</w:t>
            </w:r>
          </w:p>
        </w:tc>
        <w:tc>
          <w:tcPr>
            <w:tcW w:w="1660" w:type="dxa"/>
            <w:tcBorders>
              <w:top w:val="nil"/>
              <w:left w:val="nil"/>
              <w:bottom w:val="single" w:sz="8" w:space="0" w:color="auto"/>
              <w:right w:val="single" w:sz="8" w:space="0" w:color="auto"/>
            </w:tcBorders>
            <w:shd w:val="clear" w:color="auto" w:fill="FFFFFF"/>
            <w:vAlign w:val="center"/>
            <w:hideMark/>
          </w:tcPr>
          <w:p w14:paraId="3A03A61D"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4,199,000</w:t>
            </w:r>
          </w:p>
        </w:tc>
        <w:tc>
          <w:tcPr>
            <w:tcW w:w="1660" w:type="dxa"/>
            <w:tcBorders>
              <w:top w:val="nil"/>
              <w:left w:val="nil"/>
              <w:bottom w:val="single" w:sz="8" w:space="0" w:color="auto"/>
              <w:right w:val="single" w:sz="8" w:space="0" w:color="auto"/>
            </w:tcBorders>
            <w:shd w:val="clear" w:color="auto" w:fill="FFFFFF"/>
            <w:vAlign w:val="center"/>
            <w:hideMark/>
          </w:tcPr>
          <w:p w14:paraId="390888C4"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4,199,000</w:t>
            </w:r>
          </w:p>
        </w:tc>
      </w:tr>
      <w:tr w:rsidR="00752F04" w:rsidRPr="00EA0FD7" w14:paraId="62B90A28" w14:textId="77777777" w:rsidTr="00752F04">
        <w:trPr>
          <w:trHeight w:val="510"/>
        </w:trPr>
        <w:tc>
          <w:tcPr>
            <w:tcW w:w="1860" w:type="dxa"/>
            <w:tcBorders>
              <w:top w:val="nil"/>
              <w:left w:val="single" w:sz="8" w:space="0" w:color="auto"/>
              <w:bottom w:val="single" w:sz="8" w:space="0" w:color="auto"/>
              <w:right w:val="single" w:sz="8" w:space="0" w:color="auto"/>
            </w:tcBorders>
            <w:shd w:val="clear" w:color="auto" w:fill="FFFFFF"/>
            <w:vAlign w:val="center"/>
            <w:hideMark/>
          </w:tcPr>
          <w:p w14:paraId="4AB68C01" w14:textId="49EF22CE" w:rsidR="00752F04" w:rsidRPr="00EA0FD7" w:rsidRDefault="00752F04" w:rsidP="00EA0FD7">
            <w:pPr>
              <w:spacing w:after="0" w:line="240" w:lineRule="auto"/>
              <w:rPr>
                <w:rFonts w:ascii="Arial" w:eastAsia="Times New Roman" w:hAnsi="Arial" w:cs="Arial"/>
                <w:color w:val="000000"/>
                <w:sz w:val="18"/>
                <w:szCs w:val="18"/>
                <w:lang w:val="sr-Cyrl-RS"/>
              </w:rPr>
            </w:pPr>
            <w:r w:rsidRPr="00EA0FD7">
              <w:rPr>
                <w:rFonts w:ascii="Arial" w:eastAsia="Times New Roman" w:hAnsi="Arial" w:cs="Arial"/>
                <w:color w:val="000000"/>
                <w:sz w:val="18"/>
                <w:szCs w:val="18"/>
                <w:lang w:val="sr-Cyrl-RS"/>
              </w:rPr>
              <w:t>Развојно</w:t>
            </w:r>
            <w:r>
              <w:rPr>
                <w:rFonts w:ascii="Arial" w:eastAsia="Times New Roman" w:hAnsi="Arial" w:cs="Arial"/>
                <w:color w:val="000000"/>
                <w:sz w:val="18"/>
                <w:szCs w:val="18"/>
                <w:lang w:val="sr-Cyrl-RS"/>
              </w:rPr>
              <w:t>-</w:t>
            </w:r>
            <w:r w:rsidRPr="00EA0FD7">
              <w:rPr>
                <w:rFonts w:ascii="Arial" w:eastAsia="Times New Roman" w:hAnsi="Arial" w:cs="Arial"/>
                <w:color w:val="000000"/>
                <w:sz w:val="18"/>
                <w:szCs w:val="18"/>
                <w:lang w:val="sr-Cyrl-RS"/>
              </w:rPr>
              <w:t>гарантни фонд</w:t>
            </w:r>
          </w:p>
        </w:tc>
        <w:tc>
          <w:tcPr>
            <w:tcW w:w="1660" w:type="dxa"/>
            <w:tcBorders>
              <w:top w:val="nil"/>
              <w:left w:val="nil"/>
              <w:bottom w:val="single" w:sz="8" w:space="0" w:color="auto"/>
              <w:right w:val="single" w:sz="8" w:space="0" w:color="auto"/>
            </w:tcBorders>
            <w:shd w:val="clear" w:color="auto" w:fill="FFFFFF"/>
            <w:vAlign w:val="center"/>
            <w:hideMark/>
          </w:tcPr>
          <w:p w14:paraId="5825D42F"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0</w:t>
            </w:r>
          </w:p>
        </w:tc>
        <w:tc>
          <w:tcPr>
            <w:tcW w:w="1660" w:type="dxa"/>
            <w:tcBorders>
              <w:top w:val="nil"/>
              <w:left w:val="nil"/>
              <w:bottom w:val="single" w:sz="8" w:space="0" w:color="auto"/>
              <w:right w:val="nil"/>
            </w:tcBorders>
            <w:shd w:val="clear" w:color="auto" w:fill="FFFFFF"/>
          </w:tcPr>
          <w:p w14:paraId="4FF8A3BE" w14:textId="77777777" w:rsidR="00752F04" w:rsidRPr="00EA0FD7" w:rsidRDefault="00752F04" w:rsidP="00EA0FD7">
            <w:pPr>
              <w:spacing w:after="0" w:line="240" w:lineRule="auto"/>
              <w:jc w:val="right"/>
              <w:rPr>
                <w:rFonts w:ascii="Arial" w:eastAsia="Times New Roman" w:hAnsi="Arial" w:cs="Arial"/>
                <w:color w:val="000000"/>
                <w:lang w:val="sr-Cyrl-RS"/>
              </w:rPr>
            </w:pPr>
          </w:p>
        </w:tc>
        <w:tc>
          <w:tcPr>
            <w:tcW w:w="1660" w:type="dxa"/>
            <w:tcBorders>
              <w:top w:val="nil"/>
              <w:left w:val="nil"/>
              <w:bottom w:val="single" w:sz="8" w:space="0" w:color="auto"/>
              <w:right w:val="single" w:sz="8" w:space="0" w:color="auto"/>
            </w:tcBorders>
            <w:shd w:val="clear" w:color="auto" w:fill="FFFFFF"/>
            <w:vAlign w:val="center"/>
            <w:hideMark/>
          </w:tcPr>
          <w:p w14:paraId="3E49F667" w14:textId="43D7FC58"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367E9367"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30E9A2EC"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0E1BFCAC"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0</w:t>
            </w:r>
          </w:p>
        </w:tc>
      </w:tr>
      <w:tr w:rsidR="00752F04" w:rsidRPr="00EA0FD7" w14:paraId="5F033FCC" w14:textId="77777777" w:rsidTr="00752F04">
        <w:trPr>
          <w:trHeight w:val="510"/>
        </w:trPr>
        <w:tc>
          <w:tcPr>
            <w:tcW w:w="1860" w:type="dxa"/>
            <w:tcBorders>
              <w:top w:val="nil"/>
              <w:left w:val="single" w:sz="8" w:space="0" w:color="auto"/>
              <w:bottom w:val="single" w:sz="8" w:space="0" w:color="auto"/>
              <w:right w:val="single" w:sz="8" w:space="0" w:color="auto"/>
            </w:tcBorders>
            <w:shd w:val="clear" w:color="auto" w:fill="FFFFFF"/>
            <w:vAlign w:val="center"/>
            <w:hideMark/>
          </w:tcPr>
          <w:p w14:paraId="6FC778CB" w14:textId="77777777" w:rsidR="00752F04" w:rsidRPr="00EA0FD7" w:rsidRDefault="00752F04" w:rsidP="00EA0FD7">
            <w:pPr>
              <w:spacing w:after="0" w:line="240" w:lineRule="auto"/>
              <w:rPr>
                <w:rFonts w:ascii="Arial" w:eastAsia="Times New Roman" w:hAnsi="Arial" w:cs="Arial"/>
                <w:color w:val="000000"/>
                <w:sz w:val="18"/>
                <w:szCs w:val="18"/>
                <w:lang w:val="sr-Cyrl-RS"/>
              </w:rPr>
            </w:pPr>
            <w:r w:rsidRPr="00EA0FD7">
              <w:rPr>
                <w:rFonts w:ascii="Arial" w:eastAsia="Times New Roman" w:hAnsi="Arial" w:cs="Arial"/>
                <w:color w:val="000000"/>
                <w:sz w:val="18"/>
                <w:szCs w:val="18"/>
                <w:lang w:val="sr-Cyrl-RS"/>
              </w:rPr>
              <w:t>Завод за планирање, пројектовање и развој</w:t>
            </w:r>
          </w:p>
        </w:tc>
        <w:tc>
          <w:tcPr>
            <w:tcW w:w="1660" w:type="dxa"/>
            <w:tcBorders>
              <w:top w:val="nil"/>
              <w:left w:val="nil"/>
              <w:bottom w:val="single" w:sz="8" w:space="0" w:color="auto"/>
              <w:right w:val="single" w:sz="8" w:space="0" w:color="auto"/>
            </w:tcBorders>
            <w:shd w:val="clear" w:color="auto" w:fill="FFFFFF"/>
            <w:vAlign w:val="center"/>
            <w:hideMark/>
          </w:tcPr>
          <w:p w14:paraId="527202E6"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0</w:t>
            </w:r>
          </w:p>
        </w:tc>
        <w:tc>
          <w:tcPr>
            <w:tcW w:w="1660" w:type="dxa"/>
            <w:tcBorders>
              <w:top w:val="nil"/>
              <w:left w:val="nil"/>
              <w:bottom w:val="single" w:sz="8" w:space="0" w:color="auto"/>
              <w:right w:val="nil"/>
            </w:tcBorders>
            <w:shd w:val="clear" w:color="auto" w:fill="FFFFFF"/>
          </w:tcPr>
          <w:p w14:paraId="1635EF11" w14:textId="77777777" w:rsidR="00752F04" w:rsidRPr="00EA0FD7" w:rsidRDefault="00752F04" w:rsidP="00EA0FD7">
            <w:pPr>
              <w:spacing w:after="0" w:line="240" w:lineRule="auto"/>
              <w:jc w:val="right"/>
              <w:rPr>
                <w:rFonts w:ascii="Arial" w:eastAsia="Times New Roman" w:hAnsi="Arial" w:cs="Arial"/>
                <w:color w:val="000000"/>
                <w:lang w:val="sr-Cyrl-RS"/>
              </w:rPr>
            </w:pPr>
          </w:p>
        </w:tc>
        <w:tc>
          <w:tcPr>
            <w:tcW w:w="1660" w:type="dxa"/>
            <w:tcBorders>
              <w:top w:val="nil"/>
              <w:left w:val="nil"/>
              <w:bottom w:val="single" w:sz="8" w:space="0" w:color="auto"/>
              <w:right w:val="single" w:sz="8" w:space="0" w:color="auto"/>
            </w:tcBorders>
            <w:shd w:val="clear" w:color="auto" w:fill="FFFFFF"/>
            <w:vAlign w:val="center"/>
            <w:hideMark/>
          </w:tcPr>
          <w:p w14:paraId="7AE614D5" w14:textId="10AE9FD2"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67BA2311"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6AE02E65"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0</w:t>
            </w:r>
          </w:p>
        </w:tc>
        <w:tc>
          <w:tcPr>
            <w:tcW w:w="1660" w:type="dxa"/>
            <w:tcBorders>
              <w:top w:val="nil"/>
              <w:left w:val="nil"/>
              <w:bottom w:val="single" w:sz="8" w:space="0" w:color="auto"/>
              <w:right w:val="single" w:sz="8" w:space="0" w:color="auto"/>
            </w:tcBorders>
            <w:shd w:val="clear" w:color="auto" w:fill="FFFFFF"/>
            <w:vAlign w:val="center"/>
            <w:hideMark/>
          </w:tcPr>
          <w:p w14:paraId="3560D61F"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0</w:t>
            </w:r>
          </w:p>
        </w:tc>
      </w:tr>
      <w:tr w:rsidR="00752F04" w:rsidRPr="00EA0FD7" w14:paraId="6A4387C5" w14:textId="77777777" w:rsidTr="00752F04">
        <w:trPr>
          <w:trHeight w:val="750"/>
        </w:trPr>
        <w:tc>
          <w:tcPr>
            <w:tcW w:w="1860" w:type="dxa"/>
            <w:tcBorders>
              <w:top w:val="nil"/>
              <w:left w:val="single" w:sz="8" w:space="0" w:color="auto"/>
              <w:bottom w:val="single" w:sz="8" w:space="0" w:color="auto"/>
              <w:right w:val="single" w:sz="8" w:space="0" w:color="auto"/>
            </w:tcBorders>
            <w:shd w:val="clear" w:color="auto" w:fill="FFFFFF"/>
            <w:vAlign w:val="center"/>
            <w:hideMark/>
          </w:tcPr>
          <w:p w14:paraId="1AB35B77" w14:textId="1A5C3104" w:rsidR="00752F04" w:rsidRPr="00EA0FD7" w:rsidRDefault="00752F04" w:rsidP="00EA0FD7">
            <w:pPr>
              <w:spacing w:after="0" w:line="240" w:lineRule="auto"/>
              <w:rPr>
                <w:rFonts w:ascii="Arial" w:eastAsia="Times New Roman" w:hAnsi="Arial" w:cs="Arial"/>
                <w:color w:val="000000"/>
                <w:sz w:val="18"/>
                <w:szCs w:val="18"/>
                <w:lang w:val="sr-Cyrl-RS"/>
              </w:rPr>
            </w:pPr>
            <w:r w:rsidRPr="00EA0FD7">
              <w:rPr>
                <w:rFonts w:ascii="Arial" w:eastAsia="Times New Roman" w:hAnsi="Arial" w:cs="Arial"/>
                <w:color w:val="000000"/>
                <w:sz w:val="18"/>
                <w:szCs w:val="18"/>
                <w:lang w:val="sr-Cyrl-RS"/>
              </w:rPr>
              <w:t>Радио</w:t>
            </w:r>
            <w:r>
              <w:rPr>
                <w:rFonts w:ascii="Arial" w:eastAsia="Times New Roman" w:hAnsi="Arial" w:cs="Arial"/>
                <w:color w:val="000000"/>
                <w:sz w:val="18"/>
                <w:szCs w:val="18"/>
                <w:lang w:val="sr-Cyrl-RS"/>
              </w:rPr>
              <w:t>-</w:t>
            </w:r>
            <w:r w:rsidRPr="00EA0FD7">
              <w:rPr>
                <w:rFonts w:ascii="Arial" w:eastAsia="Times New Roman" w:hAnsi="Arial" w:cs="Arial"/>
                <w:color w:val="000000"/>
                <w:sz w:val="18"/>
                <w:szCs w:val="18"/>
                <w:lang w:val="sr-Cyrl-RS"/>
              </w:rPr>
              <w:t xml:space="preserve">новинска и издавачка установа </w:t>
            </w:r>
            <w:r>
              <w:rPr>
                <w:rFonts w:ascii="Arial" w:eastAsia="Times New Roman" w:hAnsi="Arial" w:cs="Arial"/>
                <w:color w:val="000000"/>
                <w:sz w:val="18"/>
                <w:szCs w:val="18"/>
                <w:lang w:val="sr-Cyrl-RS"/>
              </w:rPr>
              <w:t>„</w:t>
            </w:r>
            <w:r w:rsidRPr="00EA0FD7">
              <w:rPr>
                <w:rFonts w:ascii="Arial" w:eastAsia="Times New Roman" w:hAnsi="Arial" w:cs="Arial"/>
                <w:color w:val="000000"/>
                <w:sz w:val="18"/>
                <w:szCs w:val="18"/>
                <w:lang w:val="sr-Cyrl-RS"/>
              </w:rPr>
              <w:t>Радио Брчко</w:t>
            </w:r>
            <w:r>
              <w:rPr>
                <w:rFonts w:ascii="Arial" w:eastAsia="Times New Roman" w:hAnsi="Arial" w:cs="Arial"/>
                <w:color w:val="000000"/>
                <w:sz w:val="18"/>
                <w:szCs w:val="18"/>
                <w:lang w:val="sr-Cyrl-RS"/>
              </w:rPr>
              <w:t>“</w:t>
            </w:r>
          </w:p>
        </w:tc>
        <w:tc>
          <w:tcPr>
            <w:tcW w:w="1660" w:type="dxa"/>
            <w:tcBorders>
              <w:top w:val="nil"/>
              <w:left w:val="nil"/>
              <w:bottom w:val="single" w:sz="8" w:space="0" w:color="auto"/>
              <w:right w:val="single" w:sz="8" w:space="0" w:color="auto"/>
            </w:tcBorders>
            <w:shd w:val="clear" w:color="auto" w:fill="FFFFFF"/>
            <w:vAlign w:val="center"/>
            <w:hideMark/>
          </w:tcPr>
          <w:p w14:paraId="6DC89C59"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13,394</w:t>
            </w:r>
          </w:p>
        </w:tc>
        <w:tc>
          <w:tcPr>
            <w:tcW w:w="1660" w:type="dxa"/>
            <w:tcBorders>
              <w:top w:val="nil"/>
              <w:left w:val="nil"/>
              <w:bottom w:val="single" w:sz="8" w:space="0" w:color="auto"/>
              <w:right w:val="nil"/>
            </w:tcBorders>
            <w:shd w:val="clear" w:color="auto" w:fill="FFFFFF"/>
          </w:tcPr>
          <w:p w14:paraId="48C96054" w14:textId="77777777" w:rsidR="00752F04" w:rsidRPr="00EA0FD7" w:rsidRDefault="00752F04" w:rsidP="00EA0FD7">
            <w:pPr>
              <w:spacing w:after="0" w:line="240" w:lineRule="auto"/>
              <w:jc w:val="right"/>
              <w:rPr>
                <w:rFonts w:ascii="Arial" w:eastAsia="Times New Roman" w:hAnsi="Arial" w:cs="Arial"/>
                <w:color w:val="000000"/>
                <w:lang w:val="sr-Cyrl-RS"/>
              </w:rPr>
            </w:pPr>
          </w:p>
        </w:tc>
        <w:tc>
          <w:tcPr>
            <w:tcW w:w="1660" w:type="dxa"/>
            <w:tcBorders>
              <w:top w:val="nil"/>
              <w:left w:val="nil"/>
              <w:bottom w:val="single" w:sz="8" w:space="0" w:color="auto"/>
              <w:right w:val="single" w:sz="8" w:space="0" w:color="auto"/>
            </w:tcBorders>
            <w:shd w:val="clear" w:color="auto" w:fill="FFFFFF"/>
            <w:vAlign w:val="center"/>
            <w:hideMark/>
          </w:tcPr>
          <w:p w14:paraId="44230468" w14:textId="2E21265C"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79,220</w:t>
            </w:r>
          </w:p>
        </w:tc>
        <w:tc>
          <w:tcPr>
            <w:tcW w:w="1660" w:type="dxa"/>
            <w:tcBorders>
              <w:top w:val="nil"/>
              <w:left w:val="nil"/>
              <w:bottom w:val="single" w:sz="8" w:space="0" w:color="auto"/>
              <w:right w:val="single" w:sz="8" w:space="0" w:color="auto"/>
            </w:tcBorders>
            <w:shd w:val="clear" w:color="auto" w:fill="FFFFFF"/>
            <w:vAlign w:val="center"/>
            <w:hideMark/>
          </w:tcPr>
          <w:p w14:paraId="0E6CF036"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79,220</w:t>
            </w:r>
          </w:p>
        </w:tc>
        <w:tc>
          <w:tcPr>
            <w:tcW w:w="1660" w:type="dxa"/>
            <w:tcBorders>
              <w:top w:val="nil"/>
              <w:left w:val="nil"/>
              <w:bottom w:val="single" w:sz="8" w:space="0" w:color="auto"/>
              <w:right w:val="single" w:sz="8" w:space="0" w:color="auto"/>
            </w:tcBorders>
            <w:shd w:val="clear" w:color="auto" w:fill="FFFFFF"/>
            <w:vAlign w:val="center"/>
            <w:hideMark/>
          </w:tcPr>
          <w:p w14:paraId="044806B6"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79,220</w:t>
            </w:r>
          </w:p>
        </w:tc>
        <w:tc>
          <w:tcPr>
            <w:tcW w:w="1660" w:type="dxa"/>
            <w:tcBorders>
              <w:top w:val="nil"/>
              <w:left w:val="nil"/>
              <w:bottom w:val="single" w:sz="8" w:space="0" w:color="auto"/>
              <w:right w:val="single" w:sz="8" w:space="0" w:color="auto"/>
            </w:tcBorders>
            <w:shd w:val="clear" w:color="auto" w:fill="FFFFFF"/>
            <w:vAlign w:val="center"/>
            <w:hideMark/>
          </w:tcPr>
          <w:p w14:paraId="5A362558" w14:textId="77777777" w:rsidR="00752F04" w:rsidRPr="00EA0FD7" w:rsidRDefault="00752F04" w:rsidP="00EA0FD7">
            <w:pPr>
              <w:spacing w:after="0" w:line="240" w:lineRule="auto"/>
              <w:jc w:val="right"/>
              <w:rPr>
                <w:rFonts w:ascii="Arial" w:eastAsia="Times New Roman" w:hAnsi="Arial" w:cs="Arial"/>
                <w:color w:val="000000"/>
                <w:lang w:val="sr-Cyrl-RS"/>
              </w:rPr>
            </w:pPr>
            <w:r w:rsidRPr="00EA0FD7">
              <w:rPr>
                <w:rFonts w:ascii="Arial" w:eastAsia="Times New Roman" w:hAnsi="Arial" w:cs="Arial"/>
                <w:color w:val="000000"/>
                <w:lang w:val="sr-Cyrl-RS"/>
              </w:rPr>
              <w:t>79,220</w:t>
            </w:r>
          </w:p>
        </w:tc>
      </w:tr>
      <w:tr w:rsidR="00752F04" w:rsidRPr="00EA0FD7" w14:paraId="2C76FD16" w14:textId="77777777" w:rsidTr="00752F04">
        <w:trPr>
          <w:trHeight w:val="510"/>
        </w:trPr>
        <w:tc>
          <w:tcPr>
            <w:tcW w:w="1860" w:type="dxa"/>
            <w:tcBorders>
              <w:top w:val="nil"/>
              <w:left w:val="single" w:sz="8" w:space="0" w:color="auto"/>
              <w:bottom w:val="single" w:sz="8" w:space="0" w:color="auto"/>
              <w:right w:val="single" w:sz="8" w:space="0" w:color="auto"/>
            </w:tcBorders>
            <w:shd w:val="clear" w:color="auto" w:fill="FFFFFF"/>
            <w:vAlign w:val="bottom"/>
            <w:hideMark/>
          </w:tcPr>
          <w:p w14:paraId="3BBC7280" w14:textId="77777777" w:rsidR="00752F04" w:rsidRPr="00EA0FD7" w:rsidRDefault="00752F04" w:rsidP="00EA0FD7">
            <w:pPr>
              <w:spacing w:after="0" w:line="240" w:lineRule="auto"/>
              <w:jc w:val="both"/>
              <w:rPr>
                <w:rFonts w:ascii="Arial" w:eastAsia="Times New Roman" w:hAnsi="Arial" w:cs="Arial"/>
                <w:b/>
                <w:bCs/>
                <w:color w:val="000000"/>
                <w:lang w:val="sr-Cyrl-RS"/>
              </w:rPr>
            </w:pPr>
            <w:r w:rsidRPr="00EA0FD7">
              <w:rPr>
                <w:rFonts w:ascii="Arial" w:eastAsia="Times New Roman" w:hAnsi="Arial" w:cs="Arial"/>
                <w:b/>
                <w:bCs/>
                <w:color w:val="000000"/>
                <w:lang w:val="sr-Cyrl-RS"/>
              </w:rPr>
              <w:lastRenderedPageBreak/>
              <w:t>УКУПНО:</w:t>
            </w:r>
          </w:p>
        </w:tc>
        <w:tc>
          <w:tcPr>
            <w:tcW w:w="1660" w:type="dxa"/>
            <w:tcBorders>
              <w:top w:val="nil"/>
              <w:left w:val="nil"/>
              <w:bottom w:val="single" w:sz="8" w:space="0" w:color="auto"/>
              <w:right w:val="single" w:sz="8" w:space="0" w:color="auto"/>
            </w:tcBorders>
            <w:shd w:val="clear" w:color="auto" w:fill="FFFFFF"/>
            <w:vAlign w:val="center"/>
            <w:hideMark/>
          </w:tcPr>
          <w:p w14:paraId="47815B7C" w14:textId="77777777" w:rsidR="00752F04" w:rsidRPr="00EA0FD7" w:rsidRDefault="00752F04"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38,264,045</w:t>
            </w:r>
          </w:p>
        </w:tc>
        <w:tc>
          <w:tcPr>
            <w:tcW w:w="1660" w:type="dxa"/>
            <w:tcBorders>
              <w:top w:val="nil"/>
              <w:left w:val="nil"/>
              <w:bottom w:val="single" w:sz="8" w:space="0" w:color="auto"/>
              <w:right w:val="nil"/>
            </w:tcBorders>
            <w:shd w:val="clear" w:color="auto" w:fill="FFFFFF"/>
          </w:tcPr>
          <w:p w14:paraId="2A707631" w14:textId="77777777" w:rsidR="00752F04" w:rsidRPr="00EA0FD7" w:rsidRDefault="00752F04" w:rsidP="00EA0FD7">
            <w:pPr>
              <w:spacing w:after="0" w:line="240" w:lineRule="auto"/>
              <w:jc w:val="right"/>
              <w:rPr>
                <w:rFonts w:ascii="Arial" w:eastAsia="Times New Roman" w:hAnsi="Arial" w:cs="Arial"/>
                <w:b/>
                <w:bCs/>
                <w:color w:val="000000"/>
                <w:lang w:val="sr-Cyrl-RS"/>
              </w:rPr>
            </w:pPr>
          </w:p>
        </w:tc>
        <w:tc>
          <w:tcPr>
            <w:tcW w:w="1660" w:type="dxa"/>
            <w:tcBorders>
              <w:top w:val="nil"/>
              <w:left w:val="nil"/>
              <w:bottom w:val="single" w:sz="8" w:space="0" w:color="auto"/>
              <w:right w:val="single" w:sz="8" w:space="0" w:color="auto"/>
            </w:tcBorders>
            <w:shd w:val="clear" w:color="auto" w:fill="FFFFFF"/>
            <w:vAlign w:val="center"/>
            <w:hideMark/>
          </w:tcPr>
          <w:p w14:paraId="489F8CB9" w14:textId="7081463D" w:rsidR="00752F04" w:rsidRPr="00EA0FD7" w:rsidRDefault="00752F04"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37,487,816</w:t>
            </w:r>
          </w:p>
        </w:tc>
        <w:tc>
          <w:tcPr>
            <w:tcW w:w="1660" w:type="dxa"/>
            <w:tcBorders>
              <w:top w:val="nil"/>
              <w:left w:val="nil"/>
              <w:bottom w:val="single" w:sz="8" w:space="0" w:color="auto"/>
              <w:right w:val="single" w:sz="8" w:space="0" w:color="auto"/>
            </w:tcBorders>
            <w:shd w:val="clear" w:color="auto" w:fill="FFFFFF"/>
            <w:vAlign w:val="center"/>
            <w:hideMark/>
          </w:tcPr>
          <w:p w14:paraId="2BE66588" w14:textId="77777777" w:rsidR="00752F04" w:rsidRPr="00EA0FD7" w:rsidRDefault="00752F04"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37,324,487</w:t>
            </w:r>
          </w:p>
        </w:tc>
        <w:tc>
          <w:tcPr>
            <w:tcW w:w="1660" w:type="dxa"/>
            <w:tcBorders>
              <w:top w:val="nil"/>
              <w:left w:val="nil"/>
              <w:bottom w:val="single" w:sz="8" w:space="0" w:color="auto"/>
              <w:right w:val="single" w:sz="8" w:space="0" w:color="auto"/>
            </w:tcBorders>
            <w:shd w:val="clear" w:color="auto" w:fill="FFFFFF"/>
            <w:vAlign w:val="center"/>
            <w:hideMark/>
          </w:tcPr>
          <w:p w14:paraId="40D1E175" w14:textId="77777777" w:rsidR="00752F04" w:rsidRPr="00EA0FD7" w:rsidRDefault="00752F04"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37,299,487</w:t>
            </w:r>
          </w:p>
        </w:tc>
        <w:tc>
          <w:tcPr>
            <w:tcW w:w="1660" w:type="dxa"/>
            <w:tcBorders>
              <w:top w:val="nil"/>
              <w:left w:val="nil"/>
              <w:bottom w:val="single" w:sz="8" w:space="0" w:color="auto"/>
              <w:right w:val="single" w:sz="8" w:space="0" w:color="auto"/>
            </w:tcBorders>
            <w:shd w:val="clear" w:color="auto" w:fill="FFFFFF"/>
            <w:vAlign w:val="center"/>
            <w:hideMark/>
          </w:tcPr>
          <w:p w14:paraId="4EC3112E" w14:textId="77777777" w:rsidR="00752F04" w:rsidRPr="00EA0FD7" w:rsidRDefault="00752F04" w:rsidP="00EA0FD7">
            <w:pPr>
              <w:spacing w:after="0" w:line="240" w:lineRule="auto"/>
              <w:jc w:val="right"/>
              <w:rPr>
                <w:rFonts w:ascii="Arial" w:eastAsia="Times New Roman" w:hAnsi="Arial" w:cs="Arial"/>
                <w:b/>
                <w:bCs/>
                <w:color w:val="000000"/>
                <w:lang w:val="sr-Cyrl-RS"/>
              </w:rPr>
            </w:pPr>
            <w:r w:rsidRPr="00EA0FD7">
              <w:rPr>
                <w:rFonts w:ascii="Arial" w:eastAsia="Times New Roman" w:hAnsi="Arial" w:cs="Arial"/>
                <w:b/>
                <w:bCs/>
                <w:color w:val="000000"/>
                <w:lang w:val="sr-Cyrl-RS"/>
              </w:rPr>
              <w:t>37,349,487</w:t>
            </w:r>
          </w:p>
        </w:tc>
      </w:tr>
    </w:tbl>
    <w:p w14:paraId="6BD7F3A1"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56AA61FF"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Консолидовани јавни приходи буџета и  финансијских планова ванбуџетских фондова и ванбуџетских корисника који су обвезници примјене буџетског рачуноводства</w:t>
      </w:r>
    </w:p>
    <w:p w14:paraId="617E4CE0" w14:textId="77777777" w:rsidR="00EA0FD7" w:rsidRPr="00EA0FD7" w:rsidRDefault="00EA0FD7" w:rsidP="00EA0FD7">
      <w:pPr>
        <w:tabs>
          <w:tab w:val="left" w:pos="7260"/>
        </w:tabs>
        <w:spacing w:after="0" w:line="240" w:lineRule="auto"/>
        <w:jc w:val="both"/>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ab/>
      </w:r>
    </w:p>
    <w:p w14:paraId="45581407" w14:textId="77777777" w:rsidR="00EA0FD7" w:rsidRPr="00EA0FD7" w:rsidRDefault="00EA0FD7" w:rsidP="00EA0FD7">
      <w:pPr>
        <w:spacing w:after="0" w:line="240" w:lineRule="auto"/>
        <w:ind w:firstLine="720"/>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Консолидовани преглед чине:</w:t>
      </w:r>
    </w:p>
    <w:p w14:paraId="5F052489" w14:textId="77777777" w:rsidR="00EA0FD7" w:rsidRPr="00EA0FD7" w:rsidRDefault="00EA0FD7" w:rsidP="00EA0FD7">
      <w:pPr>
        <w:spacing w:after="0" w:line="240" w:lineRule="auto"/>
        <w:ind w:firstLine="720"/>
        <w:jc w:val="both"/>
        <w:rPr>
          <w:rFonts w:ascii="Times New Roman" w:eastAsia="Times New Roman" w:hAnsi="Times New Roman" w:cs="Times New Roman"/>
          <w:sz w:val="24"/>
          <w:lang w:val="sr-Cyrl-RS" w:eastAsia="hr-HR"/>
        </w:rPr>
      </w:pPr>
    </w:p>
    <w:p w14:paraId="63578D5C" w14:textId="77777777" w:rsidR="00EA0FD7" w:rsidRPr="00EA0FD7" w:rsidRDefault="00EA0FD7" w:rsidP="00EA0FD7">
      <w:pPr>
        <w:spacing w:after="0" w:line="240" w:lineRule="auto"/>
        <w:ind w:firstLine="720"/>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1. Приходи Буџета Брчко дистрикта БиХ:</w:t>
      </w:r>
    </w:p>
    <w:p w14:paraId="30D6EA59" w14:textId="13F89CB9" w:rsidR="00EA0FD7" w:rsidRPr="00EA0FD7" w:rsidRDefault="00EA0FD7" w:rsidP="00EA0FD7">
      <w:pPr>
        <w:numPr>
          <w:ilvl w:val="0"/>
          <w:numId w:val="12"/>
        </w:numPr>
        <w:spacing w:after="0" w:line="240" w:lineRule="auto"/>
        <w:jc w:val="both"/>
        <w:rPr>
          <w:rFonts w:ascii="Times New Roman" w:eastAsia="Times New Roman" w:hAnsi="Times New Roman" w:cs="Times New Roman"/>
          <w:sz w:val="24"/>
          <w:szCs w:val="24"/>
          <w:lang w:val="sr-Cyrl-RS" w:eastAsia="hr-HR"/>
        </w:rPr>
      </w:pPr>
      <w:r w:rsidRPr="00AE5455">
        <w:rPr>
          <w:rFonts w:ascii="Times New Roman" w:eastAsia="Times New Roman" w:hAnsi="Times New Roman" w:cs="Times New Roman"/>
          <w:sz w:val="24"/>
          <w:szCs w:val="24"/>
          <w:lang w:val="sr-Cyrl-RS" w:eastAsia="hr-HR"/>
        </w:rPr>
        <w:t>пореск</w:t>
      </w:r>
      <w:r w:rsidRPr="00EA0FD7">
        <w:rPr>
          <w:rFonts w:ascii="Times New Roman" w:eastAsia="Times New Roman" w:hAnsi="Times New Roman" w:cs="Times New Roman"/>
          <w:sz w:val="24"/>
          <w:szCs w:val="24"/>
          <w:lang w:val="sr-Cyrl-RS" w:eastAsia="hr-HR"/>
        </w:rPr>
        <w:t>и приходи,</w:t>
      </w:r>
    </w:p>
    <w:p w14:paraId="3FE92FB3" w14:textId="17C3B1A9" w:rsidR="00EA0FD7" w:rsidRPr="00EA0FD7" w:rsidRDefault="00EA0FD7" w:rsidP="00EA0FD7">
      <w:pPr>
        <w:numPr>
          <w:ilvl w:val="0"/>
          <w:numId w:val="12"/>
        </w:num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не</w:t>
      </w:r>
      <w:r w:rsidRPr="00AE5455">
        <w:rPr>
          <w:rFonts w:ascii="Times New Roman" w:eastAsia="Times New Roman" w:hAnsi="Times New Roman" w:cs="Times New Roman"/>
          <w:sz w:val="24"/>
          <w:szCs w:val="24"/>
          <w:lang w:val="sr-Cyrl-RS" w:eastAsia="hr-HR"/>
        </w:rPr>
        <w:t>пореск</w:t>
      </w:r>
      <w:r w:rsidRPr="00EA0FD7">
        <w:rPr>
          <w:rFonts w:ascii="Times New Roman" w:eastAsia="Times New Roman" w:hAnsi="Times New Roman" w:cs="Times New Roman"/>
          <w:sz w:val="24"/>
          <w:szCs w:val="24"/>
          <w:lang w:val="sr-Cyrl-RS" w:eastAsia="hr-HR"/>
        </w:rPr>
        <w:t xml:space="preserve">и приходи и </w:t>
      </w:r>
    </w:p>
    <w:p w14:paraId="6FD7B7EC" w14:textId="77777777" w:rsidR="00EA0FD7" w:rsidRPr="00EA0FD7" w:rsidRDefault="00EA0FD7" w:rsidP="00EA0FD7">
      <w:pPr>
        <w:numPr>
          <w:ilvl w:val="0"/>
          <w:numId w:val="12"/>
        </w:numPr>
        <w:spacing w:after="0" w:line="240" w:lineRule="auto"/>
        <w:contextualSpacing/>
        <w:jc w:val="both"/>
        <w:rPr>
          <w:rFonts w:ascii="Times New Roman" w:eastAsia="Times New Roman" w:hAnsi="Times New Roman" w:cs="Times New Roman"/>
          <w:sz w:val="24"/>
          <w:szCs w:val="20"/>
          <w:lang w:val="sr-Cyrl-RS" w:eastAsia="hr-HR"/>
        </w:rPr>
      </w:pPr>
      <w:r w:rsidRPr="00EA0FD7">
        <w:rPr>
          <w:rFonts w:ascii="Times New Roman" w:eastAsia="Times New Roman" w:hAnsi="Times New Roman" w:cs="Times New Roman"/>
          <w:sz w:val="24"/>
          <w:szCs w:val="20"/>
          <w:lang w:val="sr-Cyrl-RS" w:eastAsia="hr-HR"/>
        </w:rPr>
        <w:t>текуће донације и трансфери,</w:t>
      </w:r>
    </w:p>
    <w:p w14:paraId="41B7C707" w14:textId="77777777" w:rsidR="00EA0FD7" w:rsidRPr="00EA0FD7" w:rsidRDefault="00EA0FD7" w:rsidP="00EA0FD7">
      <w:pPr>
        <w:spacing w:after="0" w:line="240" w:lineRule="auto"/>
        <w:ind w:left="720"/>
        <w:contextualSpacing/>
        <w:jc w:val="both"/>
        <w:rPr>
          <w:rFonts w:ascii="Times New Roman" w:eastAsia="Times New Roman" w:hAnsi="Times New Roman" w:cs="Times New Roman"/>
          <w:sz w:val="24"/>
          <w:szCs w:val="20"/>
          <w:lang w:val="sr-Cyrl-RS" w:eastAsia="hr-HR"/>
        </w:rPr>
      </w:pPr>
    </w:p>
    <w:p w14:paraId="425B3FC5" w14:textId="77777777" w:rsidR="00EA0FD7" w:rsidRPr="00EA0FD7" w:rsidRDefault="00EA0FD7" w:rsidP="00EA0FD7">
      <w:pPr>
        <w:spacing w:after="0" w:line="240" w:lineRule="auto"/>
        <w:ind w:left="720"/>
        <w:contextualSpacing/>
        <w:jc w:val="both"/>
        <w:rPr>
          <w:rFonts w:ascii="Times New Roman" w:eastAsia="Times New Roman" w:hAnsi="Times New Roman" w:cs="Times New Roman"/>
          <w:sz w:val="24"/>
          <w:szCs w:val="20"/>
          <w:lang w:val="sr-Cyrl-RS" w:eastAsia="hr-HR"/>
        </w:rPr>
      </w:pPr>
      <w:r w:rsidRPr="00EA0FD7">
        <w:rPr>
          <w:rFonts w:ascii="Times New Roman" w:eastAsia="Times New Roman" w:hAnsi="Times New Roman" w:cs="Times New Roman"/>
          <w:sz w:val="24"/>
          <w:szCs w:val="20"/>
          <w:lang w:val="sr-Cyrl-RS" w:eastAsia="hr-HR"/>
        </w:rPr>
        <w:t>2. Приходи ванбуџетских фондова и ванбуџетских корисника који су обвезници примјене буџетског рачуноводства:</w:t>
      </w:r>
    </w:p>
    <w:p w14:paraId="41AA3571" w14:textId="77777777" w:rsidR="00EA0FD7" w:rsidRPr="00EA0FD7" w:rsidRDefault="00EA0FD7" w:rsidP="00EA0FD7">
      <w:pPr>
        <w:numPr>
          <w:ilvl w:val="0"/>
          <w:numId w:val="14"/>
        </w:numPr>
        <w:spacing w:after="0" w:line="240" w:lineRule="auto"/>
        <w:contextualSpacing/>
        <w:jc w:val="both"/>
        <w:rPr>
          <w:rFonts w:ascii="Times New Roman" w:eastAsia="Times New Roman" w:hAnsi="Times New Roman" w:cs="Times New Roman"/>
          <w:sz w:val="24"/>
          <w:szCs w:val="20"/>
          <w:lang w:val="sr-Cyrl-RS" w:eastAsia="hr-HR"/>
        </w:rPr>
      </w:pPr>
      <w:r w:rsidRPr="00EA0FD7">
        <w:rPr>
          <w:rFonts w:ascii="Times New Roman" w:eastAsia="Times New Roman" w:hAnsi="Times New Roman" w:cs="Times New Roman"/>
          <w:sz w:val="24"/>
          <w:szCs w:val="20"/>
          <w:lang w:val="sr-Cyrl-RS" w:eastAsia="hr-HR"/>
        </w:rPr>
        <w:t>приходи Фонда здравственог осигурања,</w:t>
      </w:r>
    </w:p>
    <w:p w14:paraId="39D117D4" w14:textId="77777777" w:rsidR="00EA0FD7" w:rsidRPr="00EA0FD7" w:rsidRDefault="00EA0FD7" w:rsidP="00EA0FD7">
      <w:pPr>
        <w:numPr>
          <w:ilvl w:val="0"/>
          <w:numId w:val="14"/>
        </w:numPr>
        <w:spacing w:after="0" w:line="240" w:lineRule="auto"/>
        <w:contextualSpacing/>
        <w:jc w:val="both"/>
        <w:rPr>
          <w:rFonts w:ascii="Times New Roman" w:eastAsia="Times New Roman" w:hAnsi="Times New Roman" w:cs="Times New Roman"/>
          <w:sz w:val="24"/>
          <w:szCs w:val="20"/>
          <w:lang w:val="sr-Cyrl-RS" w:eastAsia="hr-HR"/>
        </w:rPr>
      </w:pPr>
      <w:r w:rsidRPr="00EA0FD7">
        <w:rPr>
          <w:rFonts w:ascii="Times New Roman" w:eastAsia="Times New Roman" w:hAnsi="Times New Roman" w:cs="Times New Roman"/>
          <w:sz w:val="24"/>
          <w:szCs w:val="20"/>
          <w:lang w:val="sr-Cyrl-RS" w:eastAsia="hr-HR"/>
        </w:rPr>
        <w:t>приходи Завода за запошљавање,</w:t>
      </w:r>
    </w:p>
    <w:p w14:paraId="258BE973" w14:textId="5DD12CBC" w:rsidR="00EA0FD7" w:rsidRPr="00EA0FD7" w:rsidRDefault="00EA0FD7" w:rsidP="00EA0FD7">
      <w:pPr>
        <w:numPr>
          <w:ilvl w:val="0"/>
          <w:numId w:val="14"/>
        </w:numPr>
        <w:spacing w:after="0" w:line="240" w:lineRule="auto"/>
        <w:contextualSpacing/>
        <w:jc w:val="both"/>
        <w:rPr>
          <w:rFonts w:ascii="Times New Roman" w:eastAsia="Times New Roman" w:hAnsi="Times New Roman" w:cs="Times New Roman"/>
          <w:sz w:val="24"/>
          <w:szCs w:val="20"/>
          <w:lang w:val="sr-Cyrl-RS" w:eastAsia="hr-HR"/>
        </w:rPr>
      </w:pPr>
      <w:r w:rsidRPr="00EA0FD7">
        <w:rPr>
          <w:rFonts w:ascii="Times New Roman" w:eastAsia="Times New Roman" w:hAnsi="Times New Roman" w:cs="Times New Roman"/>
          <w:sz w:val="24"/>
          <w:szCs w:val="20"/>
          <w:lang w:val="sr-Cyrl-RS" w:eastAsia="hr-HR"/>
        </w:rPr>
        <w:t>приходи Развојно-гарантног фонда,</w:t>
      </w:r>
    </w:p>
    <w:p w14:paraId="0387948F" w14:textId="77777777" w:rsidR="00EA0FD7" w:rsidRPr="00EA0FD7" w:rsidRDefault="00EA0FD7" w:rsidP="00EA0FD7">
      <w:pPr>
        <w:numPr>
          <w:ilvl w:val="0"/>
          <w:numId w:val="14"/>
        </w:numPr>
        <w:spacing w:after="0" w:line="240" w:lineRule="auto"/>
        <w:contextualSpacing/>
        <w:jc w:val="both"/>
        <w:rPr>
          <w:rFonts w:ascii="Times New Roman" w:eastAsia="Times New Roman" w:hAnsi="Times New Roman" w:cs="Times New Roman"/>
          <w:sz w:val="24"/>
          <w:szCs w:val="20"/>
          <w:lang w:val="sr-Cyrl-RS" w:eastAsia="hr-HR"/>
        </w:rPr>
      </w:pPr>
      <w:r w:rsidRPr="00EA0FD7">
        <w:rPr>
          <w:rFonts w:ascii="Times New Roman" w:eastAsia="Times New Roman" w:hAnsi="Times New Roman" w:cs="Times New Roman"/>
          <w:sz w:val="24"/>
          <w:szCs w:val="20"/>
          <w:lang w:val="sr-Cyrl-RS" w:eastAsia="hr-HR"/>
        </w:rPr>
        <w:t>приходи Завода за планирање, пројектовање и развој и</w:t>
      </w:r>
    </w:p>
    <w:p w14:paraId="035AD2C6" w14:textId="5DEC65B2" w:rsidR="00EA0FD7" w:rsidRPr="00EA0FD7" w:rsidRDefault="00EA0FD7" w:rsidP="00EA0FD7">
      <w:pPr>
        <w:numPr>
          <w:ilvl w:val="0"/>
          <w:numId w:val="14"/>
        </w:numPr>
        <w:spacing w:after="0" w:line="240" w:lineRule="auto"/>
        <w:contextualSpacing/>
        <w:jc w:val="both"/>
        <w:rPr>
          <w:rFonts w:ascii="Times New Roman" w:eastAsia="Times New Roman" w:hAnsi="Times New Roman" w:cs="Times New Roman"/>
          <w:sz w:val="24"/>
          <w:szCs w:val="20"/>
          <w:lang w:val="sr-Cyrl-RS" w:eastAsia="hr-HR"/>
        </w:rPr>
      </w:pPr>
      <w:r w:rsidRPr="00EA0FD7">
        <w:rPr>
          <w:rFonts w:ascii="Times New Roman" w:eastAsia="Times New Roman" w:hAnsi="Times New Roman" w:cs="Times New Roman"/>
          <w:sz w:val="24"/>
          <w:szCs w:val="20"/>
          <w:lang w:val="sr-Cyrl-RS" w:eastAsia="hr-HR"/>
        </w:rPr>
        <w:t>приходи Радио</w:t>
      </w:r>
      <w:r w:rsidR="00752F04">
        <w:rPr>
          <w:rFonts w:ascii="Times New Roman" w:eastAsia="Times New Roman" w:hAnsi="Times New Roman" w:cs="Times New Roman"/>
          <w:sz w:val="24"/>
          <w:szCs w:val="20"/>
          <w:lang w:val="sr-Cyrl-RS" w:eastAsia="hr-HR"/>
        </w:rPr>
        <w:t>-</w:t>
      </w:r>
      <w:r w:rsidRPr="00EA0FD7">
        <w:rPr>
          <w:rFonts w:ascii="Times New Roman" w:eastAsia="Times New Roman" w:hAnsi="Times New Roman" w:cs="Times New Roman"/>
          <w:sz w:val="24"/>
          <w:szCs w:val="20"/>
          <w:lang w:val="sr-Cyrl-RS" w:eastAsia="hr-HR"/>
        </w:rPr>
        <w:t>новинске и издавачке установе „Радио Брчко“</w:t>
      </w:r>
    </w:p>
    <w:p w14:paraId="4E549879"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1E6A29AF"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69CDDC3D" w14:textId="77777777" w:rsidR="00EA0FD7" w:rsidRPr="00EA0FD7" w:rsidRDefault="00EA0FD7" w:rsidP="00EA0FD7">
      <w:pPr>
        <w:spacing w:after="0" w:line="240" w:lineRule="auto"/>
        <w:jc w:val="both"/>
        <w:rPr>
          <w:rFonts w:ascii="Times New Roman" w:eastAsia="Times New Roman" w:hAnsi="Times New Roman" w:cs="Times New Roman"/>
          <w:bCs/>
          <w:sz w:val="20"/>
          <w:szCs w:val="20"/>
          <w:lang w:val="sr-Cyrl-RS" w:eastAsia="hr-HR"/>
        </w:rPr>
      </w:pPr>
      <w:r w:rsidRPr="00EA0FD7">
        <w:rPr>
          <w:rFonts w:ascii="Times New Roman" w:eastAsia="Times New Roman" w:hAnsi="Times New Roman" w:cs="Times New Roman"/>
          <w:b/>
          <w:bCs/>
          <w:sz w:val="20"/>
          <w:szCs w:val="20"/>
          <w:lang w:val="sr-Cyrl-RS" w:eastAsia="hr-HR"/>
        </w:rPr>
        <w:t>Табела 3.14.</w:t>
      </w:r>
      <w:r w:rsidRPr="00EA0FD7">
        <w:rPr>
          <w:rFonts w:ascii="Times New Roman" w:eastAsia="Times New Roman" w:hAnsi="Times New Roman" w:cs="Times New Roman"/>
          <w:bCs/>
          <w:sz w:val="20"/>
          <w:szCs w:val="20"/>
          <w:lang w:val="sr-Cyrl-RS" w:eastAsia="hr-HR"/>
        </w:rPr>
        <w:t xml:space="preserve"> Консолидовани преглед плана јавних прихода буџета и финансијских планова </w:t>
      </w:r>
    </w:p>
    <w:tbl>
      <w:tblPr>
        <w:tblW w:w="10160" w:type="dxa"/>
        <w:tblInd w:w="93" w:type="dxa"/>
        <w:tblLook w:val="04A0" w:firstRow="1" w:lastRow="0" w:firstColumn="1" w:lastColumn="0" w:noHBand="0" w:noVBand="1"/>
      </w:tblPr>
      <w:tblGrid>
        <w:gridCol w:w="2042"/>
        <w:gridCol w:w="1746"/>
        <w:gridCol w:w="1746"/>
        <w:gridCol w:w="1746"/>
        <w:gridCol w:w="1746"/>
        <w:gridCol w:w="1746"/>
      </w:tblGrid>
      <w:tr w:rsidR="00EA0FD7" w:rsidRPr="00EA0FD7" w14:paraId="7F528250" w14:textId="77777777" w:rsidTr="00EA0FD7">
        <w:trPr>
          <w:trHeight w:val="450"/>
        </w:trPr>
        <w:tc>
          <w:tcPr>
            <w:tcW w:w="18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1986FCCF"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Врста прихода</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6A9D5335"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Извршење</w:t>
            </w:r>
            <w:r w:rsidRPr="00EA0FD7">
              <w:rPr>
                <w:rFonts w:ascii="Arial" w:eastAsia="Times New Roman" w:hAnsi="Arial" w:cs="Arial"/>
                <w:b/>
                <w:bCs/>
                <w:color w:val="FFFFFF"/>
                <w:lang w:val="sr-Cyrl-RS"/>
              </w:rPr>
              <w:br/>
              <w:t>2021</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308E196E"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План</w:t>
            </w:r>
            <w:r w:rsidRPr="00EA0FD7">
              <w:rPr>
                <w:rFonts w:ascii="Arial" w:eastAsia="Times New Roman" w:hAnsi="Arial" w:cs="Arial"/>
                <w:b/>
                <w:bCs/>
                <w:color w:val="FFFFFF"/>
                <w:lang w:val="sr-Cyrl-RS"/>
              </w:rPr>
              <w:br/>
              <w:t>2022</w:t>
            </w:r>
          </w:p>
        </w:tc>
        <w:tc>
          <w:tcPr>
            <w:tcW w:w="4980" w:type="dxa"/>
            <w:gridSpan w:val="3"/>
            <w:vMerge w:val="restart"/>
            <w:tcBorders>
              <w:top w:val="single" w:sz="8" w:space="0" w:color="auto"/>
              <w:left w:val="single" w:sz="8" w:space="0" w:color="auto"/>
              <w:bottom w:val="single" w:sz="8" w:space="0" w:color="000000"/>
              <w:right w:val="single" w:sz="8" w:space="0" w:color="000000"/>
            </w:tcBorders>
            <w:shd w:val="clear" w:color="auto" w:fill="808080"/>
            <w:vAlign w:val="center"/>
            <w:hideMark/>
          </w:tcPr>
          <w:p w14:paraId="5672707E"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Финансијски план</w:t>
            </w:r>
          </w:p>
        </w:tc>
      </w:tr>
      <w:tr w:rsidR="00EA0FD7" w:rsidRPr="00EA0FD7" w14:paraId="79BC6234" w14:textId="77777777" w:rsidTr="00EA0FD7">
        <w:trPr>
          <w:trHeight w:val="45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5E3086"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7784918"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C98CAFA"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14:paraId="7CAFA791" w14:textId="77777777" w:rsidR="00EA0FD7" w:rsidRPr="00EA0FD7" w:rsidRDefault="00EA0FD7" w:rsidP="00EA0FD7">
            <w:pPr>
              <w:spacing w:after="0" w:line="240" w:lineRule="auto"/>
              <w:rPr>
                <w:rFonts w:ascii="Arial" w:eastAsia="Times New Roman" w:hAnsi="Arial" w:cs="Arial"/>
                <w:b/>
                <w:bCs/>
                <w:color w:val="FFFFFF"/>
                <w:lang w:val="sr-Cyrl-RS"/>
              </w:rPr>
            </w:pPr>
          </w:p>
        </w:tc>
      </w:tr>
      <w:tr w:rsidR="00EA0FD7" w:rsidRPr="00EA0FD7" w14:paraId="53E4A1D9" w14:textId="77777777" w:rsidTr="00EA0FD7">
        <w:trPr>
          <w:trHeight w:val="2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B1060E6"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E6222B5"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5DA5AB7" w14:textId="77777777" w:rsidR="00EA0FD7" w:rsidRPr="00EA0FD7" w:rsidRDefault="00EA0FD7" w:rsidP="00EA0FD7">
            <w:pPr>
              <w:spacing w:after="0" w:line="240" w:lineRule="auto"/>
              <w:rPr>
                <w:rFonts w:ascii="Arial" w:eastAsia="Times New Roman" w:hAnsi="Arial" w:cs="Arial"/>
                <w:b/>
                <w:bCs/>
                <w:color w:val="FFFFFF"/>
                <w:lang w:val="sr-Cyrl-RS"/>
              </w:rPr>
            </w:pPr>
          </w:p>
        </w:tc>
        <w:tc>
          <w:tcPr>
            <w:tcW w:w="1660" w:type="dxa"/>
            <w:tcBorders>
              <w:top w:val="nil"/>
              <w:left w:val="nil"/>
              <w:bottom w:val="single" w:sz="8" w:space="0" w:color="auto"/>
              <w:right w:val="single" w:sz="8" w:space="0" w:color="auto"/>
            </w:tcBorders>
            <w:shd w:val="clear" w:color="auto" w:fill="808080"/>
            <w:vAlign w:val="center"/>
            <w:hideMark/>
          </w:tcPr>
          <w:p w14:paraId="44D6D39B"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2023</w:t>
            </w:r>
          </w:p>
        </w:tc>
        <w:tc>
          <w:tcPr>
            <w:tcW w:w="1660" w:type="dxa"/>
            <w:tcBorders>
              <w:top w:val="nil"/>
              <w:left w:val="nil"/>
              <w:bottom w:val="single" w:sz="8" w:space="0" w:color="auto"/>
              <w:right w:val="single" w:sz="8" w:space="0" w:color="auto"/>
            </w:tcBorders>
            <w:shd w:val="clear" w:color="auto" w:fill="808080"/>
            <w:vAlign w:val="center"/>
            <w:hideMark/>
          </w:tcPr>
          <w:p w14:paraId="0080B2D6"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2024</w:t>
            </w:r>
          </w:p>
        </w:tc>
        <w:tc>
          <w:tcPr>
            <w:tcW w:w="1660" w:type="dxa"/>
            <w:tcBorders>
              <w:top w:val="nil"/>
              <w:left w:val="nil"/>
              <w:bottom w:val="single" w:sz="8" w:space="0" w:color="auto"/>
              <w:right w:val="single" w:sz="8" w:space="0" w:color="auto"/>
            </w:tcBorders>
            <w:shd w:val="clear" w:color="auto" w:fill="808080"/>
            <w:vAlign w:val="center"/>
            <w:hideMark/>
          </w:tcPr>
          <w:p w14:paraId="645960D4" w14:textId="77777777" w:rsidR="00EA0FD7" w:rsidRPr="00EA0FD7" w:rsidRDefault="00EA0FD7" w:rsidP="00EA0FD7">
            <w:pPr>
              <w:spacing w:after="0" w:line="240" w:lineRule="auto"/>
              <w:jc w:val="center"/>
              <w:rPr>
                <w:rFonts w:ascii="Arial" w:eastAsia="Times New Roman" w:hAnsi="Arial" w:cs="Arial"/>
                <w:b/>
                <w:bCs/>
                <w:color w:val="FFFFFF"/>
                <w:lang w:val="sr-Cyrl-RS"/>
              </w:rPr>
            </w:pPr>
            <w:r w:rsidRPr="00EA0FD7">
              <w:rPr>
                <w:rFonts w:ascii="Arial" w:eastAsia="Times New Roman" w:hAnsi="Arial" w:cs="Arial"/>
                <w:b/>
                <w:bCs/>
                <w:color w:val="FFFFFF"/>
                <w:lang w:val="sr-Cyrl-RS"/>
              </w:rPr>
              <w:t>2025</w:t>
            </w:r>
          </w:p>
        </w:tc>
      </w:tr>
      <w:tr w:rsidR="00EA0FD7" w:rsidRPr="00EA0FD7" w14:paraId="3C5934D5" w14:textId="77777777" w:rsidTr="00EA0FD7">
        <w:trPr>
          <w:trHeight w:val="402"/>
        </w:trPr>
        <w:tc>
          <w:tcPr>
            <w:tcW w:w="1860" w:type="dxa"/>
            <w:tcBorders>
              <w:top w:val="nil"/>
              <w:left w:val="single" w:sz="8" w:space="0" w:color="auto"/>
              <w:bottom w:val="single" w:sz="8" w:space="0" w:color="auto"/>
              <w:right w:val="single" w:sz="8" w:space="0" w:color="auto"/>
            </w:tcBorders>
            <w:shd w:val="clear" w:color="auto" w:fill="FFFFFF"/>
            <w:vAlign w:val="center"/>
            <w:hideMark/>
          </w:tcPr>
          <w:p w14:paraId="0521D84E" w14:textId="7694C125" w:rsidR="00EA0FD7" w:rsidRPr="00EA0FD7" w:rsidRDefault="00752F04" w:rsidP="00EA0FD7">
            <w:pPr>
              <w:spacing w:after="0" w:line="240" w:lineRule="auto"/>
              <w:rPr>
                <w:rFonts w:ascii="Times New Roman" w:eastAsia="Times New Roman" w:hAnsi="Times New Roman" w:cs="Times New Roman"/>
                <w:b/>
                <w:bCs/>
                <w:i/>
                <w:iCs/>
                <w:lang w:val="sr-Cyrl-RS"/>
              </w:rPr>
            </w:pPr>
            <w:r>
              <w:rPr>
                <w:rFonts w:ascii="Times New Roman" w:eastAsia="Times New Roman" w:hAnsi="Times New Roman" w:cs="Times New Roman"/>
                <w:b/>
                <w:bCs/>
                <w:i/>
                <w:iCs/>
              </w:rPr>
              <w:t>I</w:t>
            </w:r>
            <w:r w:rsidR="00EA0FD7" w:rsidRPr="00EA0FD7">
              <w:rPr>
                <w:rFonts w:ascii="Times New Roman" w:eastAsia="Times New Roman" w:hAnsi="Times New Roman" w:cs="Times New Roman"/>
                <w:b/>
                <w:bCs/>
                <w:i/>
                <w:iCs/>
                <w:lang w:val="sr-Cyrl-RS"/>
              </w:rPr>
              <w:t xml:space="preserve">  Порески приходи</w:t>
            </w:r>
          </w:p>
        </w:tc>
        <w:tc>
          <w:tcPr>
            <w:tcW w:w="1660" w:type="dxa"/>
            <w:tcBorders>
              <w:top w:val="nil"/>
              <w:left w:val="nil"/>
              <w:bottom w:val="single" w:sz="8" w:space="0" w:color="auto"/>
              <w:right w:val="single" w:sz="8" w:space="0" w:color="auto"/>
            </w:tcBorders>
            <w:shd w:val="clear" w:color="auto" w:fill="FFFFFF"/>
            <w:vAlign w:val="bottom"/>
            <w:hideMark/>
          </w:tcPr>
          <w:p w14:paraId="7E73CCF9" w14:textId="77777777" w:rsidR="00EA0FD7" w:rsidRPr="00EA0FD7" w:rsidRDefault="00EA0FD7" w:rsidP="00EA0FD7">
            <w:pPr>
              <w:spacing w:after="0" w:line="240" w:lineRule="auto"/>
              <w:jc w:val="right"/>
              <w:rPr>
                <w:rFonts w:ascii="Times New Roman" w:eastAsia="Times New Roman" w:hAnsi="Times New Roman" w:cs="Times New Roman"/>
                <w:b/>
                <w:bCs/>
                <w:i/>
                <w:iCs/>
                <w:lang w:val="sr-Cyrl-RS"/>
              </w:rPr>
            </w:pPr>
            <w:r w:rsidRPr="00EA0FD7">
              <w:rPr>
                <w:rFonts w:ascii="Times New Roman" w:eastAsia="Times New Roman" w:hAnsi="Times New Roman" w:cs="Times New Roman"/>
                <w:b/>
                <w:bCs/>
                <w:i/>
                <w:iCs/>
                <w:lang w:val="sr-Cyrl-RS"/>
              </w:rPr>
              <w:t>224,196,278.73</w:t>
            </w:r>
          </w:p>
        </w:tc>
        <w:tc>
          <w:tcPr>
            <w:tcW w:w="1660" w:type="dxa"/>
            <w:tcBorders>
              <w:top w:val="nil"/>
              <w:left w:val="nil"/>
              <w:bottom w:val="single" w:sz="8" w:space="0" w:color="auto"/>
              <w:right w:val="single" w:sz="8" w:space="0" w:color="auto"/>
            </w:tcBorders>
            <w:shd w:val="clear" w:color="auto" w:fill="FFFFFF"/>
            <w:vAlign w:val="bottom"/>
            <w:hideMark/>
          </w:tcPr>
          <w:p w14:paraId="3B8B65D7" w14:textId="77777777" w:rsidR="00EA0FD7" w:rsidRPr="00EA0FD7" w:rsidRDefault="00EA0FD7" w:rsidP="00EA0FD7">
            <w:pPr>
              <w:spacing w:after="0" w:line="240" w:lineRule="auto"/>
              <w:jc w:val="right"/>
              <w:rPr>
                <w:rFonts w:ascii="Times New Roman" w:eastAsia="Times New Roman" w:hAnsi="Times New Roman" w:cs="Times New Roman"/>
                <w:b/>
                <w:bCs/>
                <w:i/>
                <w:iCs/>
                <w:lang w:val="sr-Cyrl-RS"/>
              </w:rPr>
            </w:pPr>
            <w:r w:rsidRPr="00EA0FD7">
              <w:rPr>
                <w:rFonts w:ascii="Times New Roman" w:eastAsia="Times New Roman" w:hAnsi="Times New Roman" w:cs="Times New Roman"/>
                <w:b/>
                <w:bCs/>
                <w:i/>
                <w:iCs/>
                <w:lang w:val="sr-Cyrl-RS"/>
              </w:rPr>
              <w:t>219,900,000.00</w:t>
            </w:r>
          </w:p>
        </w:tc>
        <w:tc>
          <w:tcPr>
            <w:tcW w:w="1660" w:type="dxa"/>
            <w:tcBorders>
              <w:top w:val="nil"/>
              <w:left w:val="nil"/>
              <w:bottom w:val="single" w:sz="8" w:space="0" w:color="auto"/>
              <w:right w:val="single" w:sz="8" w:space="0" w:color="auto"/>
            </w:tcBorders>
            <w:shd w:val="clear" w:color="auto" w:fill="FFFFFF"/>
            <w:vAlign w:val="bottom"/>
            <w:hideMark/>
          </w:tcPr>
          <w:p w14:paraId="6DCECCD5" w14:textId="77777777" w:rsidR="00EA0FD7" w:rsidRPr="00EA0FD7" w:rsidRDefault="00EA0FD7" w:rsidP="00EA0FD7">
            <w:pPr>
              <w:spacing w:after="0" w:line="240" w:lineRule="auto"/>
              <w:jc w:val="right"/>
              <w:rPr>
                <w:rFonts w:ascii="Times New Roman" w:eastAsia="Times New Roman" w:hAnsi="Times New Roman" w:cs="Times New Roman"/>
                <w:b/>
                <w:bCs/>
                <w:i/>
                <w:iCs/>
                <w:lang w:val="sr-Cyrl-RS"/>
              </w:rPr>
            </w:pPr>
            <w:r w:rsidRPr="00EA0FD7">
              <w:rPr>
                <w:rFonts w:ascii="Times New Roman" w:eastAsia="Times New Roman" w:hAnsi="Times New Roman" w:cs="Times New Roman"/>
                <w:b/>
                <w:bCs/>
                <w:i/>
                <w:iCs/>
                <w:lang w:val="sr-Cyrl-RS"/>
              </w:rPr>
              <w:t>260,692,000.00</w:t>
            </w:r>
          </w:p>
        </w:tc>
        <w:tc>
          <w:tcPr>
            <w:tcW w:w="1660" w:type="dxa"/>
            <w:tcBorders>
              <w:top w:val="nil"/>
              <w:left w:val="nil"/>
              <w:bottom w:val="single" w:sz="8" w:space="0" w:color="auto"/>
              <w:right w:val="single" w:sz="8" w:space="0" w:color="auto"/>
            </w:tcBorders>
            <w:shd w:val="clear" w:color="auto" w:fill="FFFFFF"/>
            <w:vAlign w:val="bottom"/>
            <w:hideMark/>
          </w:tcPr>
          <w:p w14:paraId="3194FE84" w14:textId="77777777" w:rsidR="00EA0FD7" w:rsidRPr="00EA0FD7" w:rsidRDefault="00EA0FD7" w:rsidP="00EA0FD7">
            <w:pPr>
              <w:spacing w:after="0" w:line="240" w:lineRule="auto"/>
              <w:jc w:val="right"/>
              <w:rPr>
                <w:rFonts w:ascii="Times New Roman" w:eastAsia="Times New Roman" w:hAnsi="Times New Roman" w:cs="Times New Roman"/>
                <w:b/>
                <w:bCs/>
                <w:i/>
                <w:iCs/>
                <w:lang w:val="sr-Cyrl-RS"/>
              </w:rPr>
            </w:pPr>
            <w:r w:rsidRPr="00EA0FD7">
              <w:rPr>
                <w:rFonts w:ascii="Times New Roman" w:eastAsia="Times New Roman" w:hAnsi="Times New Roman" w:cs="Times New Roman"/>
                <w:b/>
                <w:bCs/>
                <w:i/>
                <w:iCs/>
                <w:lang w:val="sr-Cyrl-RS"/>
              </w:rPr>
              <w:t>268,242,000.00</w:t>
            </w:r>
          </w:p>
        </w:tc>
        <w:tc>
          <w:tcPr>
            <w:tcW w:w="1660" w:type="dxa"/>
            <w:tcBorders>
              <w:top w:val="nil"/>
              <w:left w:val="nil"/>
              <w:bottom w:val="single" w:sz="8" w:space="0" w:color="auto"/>
              <w:right w:val="single" w:sz="8" w:space="0" w:color="auto"/>
            </w:tcBorders>
            <w:shd w:val="clear" w:color="auto" w:fill="FFFFFF"/>
            <w:vAlign w:val="bottom"/>
            <w:hideMark/>
          </w:tcPr>
          <w:p w14:paraId="3BF4E099" w14:textId="77777777" w:rsidR="00EA0FD7" w:rsidRPr="00EA0FD7" w:rsidRDefault="00EA0FD7" w:rsidP="00EA0FD7">
            <w:pPr>
              <w:spacing w:after="0" w:line="240" w:lineRule="auto"/>
              <w:jc w:val="right"/>
              <w:rPr>
                <w:rFonts w:ascii="Times New Roman" w:eastAsia="Times New Roman" w:hAnsi="Times New Roman" w:cs="Times New Roman"/>
                <w:b/>
                <w:bCs/>
                <w:i/>
                <w:iCs/>
                <w:lang w:val="sr-Cyrl-RS"/>
              </w:rPr>
            </w:pPr>
            <w:r w:rsidRPr="00EA0FD7">
              <w:rPr>
                <w:rFonts w:ascii="Times New Roman" w:eastAsia="Times New Roman" w:hAnsi="Times New Roman" w:cs="Times New Roman"/>
                <w:b/>
                <w:bCs/>
                <w:i/>
                <w:iCs/>
                <w:lang w:val="sr-Cyrl-RS"/>
              </w:rPr>
              <w:t>276,322,000.00</w:t>
            </w:r>
          </w:p>
        </w:tc>
      </w:tr>
      <w:tr w:rsidR="00EA0FD7" w:rsidRPr="00EA0FD7" w14:paraId="4E60A680" w14:textId="77777777" w:rsidTr="00EA0FD7">
        <w:trPr>
          <w:trHeight w:val="900"/>
        </w:trPr>
        <w:tc>
          <w:tcPr>
            <w:tcW w:w="1860" w:type="dxa"/>
            <w:tcBorders>
              <w:top w:val="nil"/>
              <w:left w:val="single" w:sz="8" w:space="0" w:color="auto"/>
              <w:bottom w:val="single" w:sz="8" w:space="0" w:color="auto"/>
              <w:right w:val="single" w:sz="8" w:space="0" w:color="auto"/>
            </w:tcBorders>
            <w:vAlign w:val="center"/>
            <w:hideMark/>
          </w:tcPr>
          <w:p w14:paraId="454CB4C2" w14:textId="77777777" w:rsidR="00EA0FD7" w:rsidRPr="00EA0FD7" w:rsidRDefault="00EA0FD7" w:rsidP="00EA0FD7">
            <w:pPr>
              <w:spacing w:after="0" w:line="240" w:lineRule="auto"/>
              <w:rPr>
                <w:rFonts w:ascii="Arial" w:eastAsia="Times New Roman" w:hAnsi="Arial" w:cs="Arial"/>
                <w:lang w:val="sr-Cyrl-RS"/>
              </w:rPr>
            </w:pPr>
            <w:r w:rsidRPr="00EA0FD7">
              <w:rPr>
                <w:rFonts w:ascii="Arial" w:eastAsia="Times New Roman" w:hAnsi="Arial" w:cs="Arial"/>
                <w:lang w:val="sr-Cyrl-RS"/>
              </w:rPr>
              <w:t>Приходи од индиректног опорезивања</w:t>
            </w:r>
          </w:p>
        </w:tc>
        <w:tc>
          <w:tcPr>
            <w:tcW w:w="1660" w:type="dxa"/>
            <w:tcBorders>
              <w:top w:val="nil"/>
              <w:left w:val="nil"/>
              <w:bottom w:val="single" w:sz="8" w:space="0" w:color="auto"/>
              <w:right w:val="single" w:sz="8" w:space="0" w:color="auto"/>
            </w:tcBorders>
            <w:vAlign w:val="bottom"/>
            <w:hideMark/>
          </w:tcPr>
          <w:p w14:paraId="2ABF471A"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196,865,226.61</w:t>
            </w:r>
          </w:p>
        </w:tc>
        <w:tc>
          <w:tcPr>
            <w:tcW w:w="1660" w:type="dxa"/>
            <w:tcBorders>
              <w:top w:val="nil"/>
              <w:left w:val="nil"/>
              <w:bottom w:val="single" w:sz="8" w:space="0" w:color="auto"/>
              <w:right w:val="single" w:sz="8" w:space="0" w:color="auto"/>
            </w:tcBorders>
            <w:vAlign w:val="bottom"/>
            <w:hideMark/>
          </w:tcPr>
          <w:p w14:paraId="07177502"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186,900,000.00</w:t>
            </w:r>
          </w:p>
        </w:tc>
        <w:tc>
          <w:tcPr>
            <w:tcW w:w="1660" w:type="dxa"/>
            <w:tcBorders>
              <w:top w:val="nil"/>
              <w:left w:val="nil"/>
              <w:bottom w:val="single" w:sz="8" w:space="0" w:color="auto"/>
              <w:right w:val="single" w:sz="8" w:space="0" w:color="auto"/>
            </w:tcBorders>
            <w:vAlign w:val="bottom"/>
            <w:hideMark/>
          </w:tcPr>
          <w:p w14:paraId="29F088EC"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227,560,000.00</w:t>
            </w:r>
          </w:p>
        </w:tc>
        <w:tc>
          <w:tcPr>
            <w:tcW w:w="1660" w:type="dxa"/>
            <w:tcBorders>
              <w:top w:val="nil"/>
              <w:left w:val="nil"/>
              <w:bottom w:val="single" w:sz="8" w:space="0" w:color="auto"/>
              <w:right w:val="single" w:sz="8" w:space="0" w:color="auto"/>
            </w:tcBorders>
            <w:vAlign w:val="bottom"/>
            <w:hideMark/>
          </w:tcPr>
          <w:p w14:paraId="0BC18C3F"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235,110,000.00</w:t>
            </w:r>
          </w:p>
        </w:tc>
        <w:tc>
          <w:tcPr>
            <w:tcW w:w="1660" w:type="dxa"/>
            <w:tcBorders>
              <w:top w:val="nil"/>
              <w:left w:val="nil"/>
              <w:bottom w:val="single" w:sz="8" w:space="0" w:color="auto"/>
              <w:right w:val="single" w:sz="8" w:space="0" w:color="auto"/>
            </w:tcBorders>
            <w:vAlign w:val="bottom"/>
            <w:hideMark/>
          </w:tcPr>
          <w:p w14:paraId="1B2DFD71"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243,190,000.00</w:t>
            </w:r>
          </w:p>
        </w:tc>
      </w:tr>
      <w:tr w:rsidR="00EA0FD7" w:rsidRPr="00EA0FD7" w14:paraId="0D629C5F" w14:textId="77777777" w:rsidTr="00EA0FD7">
        <w:trPr>
          <w:trHeight w:val="930"/>
        </w:trPr>
        <w:tc>
          <w:tcPr>
            <w:tcW w:w="1860" w:type="dxa"/>
            <w:tcBorders>
              <w:top w:val="nil"/>
              <w:left w:val="single" w:sz="8" w:space="0" w:color="auto"/>
              <w:bottom w:val="single" w:sz="8" w:space="0" w:color="auto"/>
              <w:right w:val="single" w:sz="8" w:space="0" w:color="auto"/>
            </w:tcBorders>
            <w:vAlign w:val="center"/>
            <w:hideMark/>
          </w:tcPr>
          <w:p w14:paraId="6CE05D28" w14:textId="77777777" w:rsidR="00EA0FD7" w:rsidRPr="00EA0FD7" w:rsidRDefault="00EA0FD7" w:rsidP="00EA0FD7">
            <w:pPr>
              <w:spacing w:after="0" w:line="240" w:lineRule="auto"/>
              <w:rPr>
                <w:rFonts w:ascii="Arial" w:eastAsia="Times New Roman" w:hAnsi="Arial" w:cs="Arial"/>
                <w:lang w:val="sr-Cyrl-RS"/>
              </w:rPr>
            </w:pPr>
            <w:r w:rsidRPr="00EA0FD7">
              <w:rPr>
                <w:rFonts w:ascii="Arial" w:eastAsia="Times New Roman" w:hAnsi="Arial" w:cs="Arial"/>
                <w:lang w:val="sr-Cyrl-RS"/>
              </w:rPr>
              <w:t>Приходи од директног опорезивања</w:t>
            </w:r>
          </w:p>
        </w:tc>
        <w:tc>
          <w:tcPr>
            <w:tcW w:w="1660" w:type="dxa"/>
            <w:tcBorders>
              <w:top w:val="nil"/>
              <w:left w:val="nil"/>
              <w:bottom w:val="single" w:sz="8" w:space="0" w:color="auto"/>
              <w:right w:val="single" w:sz="8" w:space="0" w:color="auto"/>
            </w:tcBorders>
            <w:vAlign w:val="bottom"/>
            <w:hideMark/>
          </w:tcPr>
          <w:p w14:paraId="7662AD81"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27,331,052.12</w:t>
            </w:r>
          </w:p>
        </w:tc>
        <w:tc>
          <w:tcPr>
            <w:tcW w:w="1660" w:type="dxa"/>
            <w:tcBorders>
              <w:top w:val="nil"/>
              <w:left w:val="nil"/>
              <w:bottom w:val="single" w:sz="8" w:space="0" w:color="auto"/>
              <w:right w:val="single" w:sz="8" w:space="0" w:color="auto"/>
            </w:tcBorders>
            <w:vAlign w:val="bottom"/>
            <w:hideMark/>
          </w:tcPr>
          <w:p w14:paraId="42A7364F"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33,000,000.00</w:t>
            </w:r>
          </w:p>
        </w:tc>
        <w:tc>
          <w:tcPr>
            <w:tcW w:w="1660" w:type="dxa"/>
            <w:tcBorders>
              <w:top w:val="nil"/>
              <w:left w:val="nil"/>
              <w:bottom w:val="single" w:sz="8" w:space="0" w:color="auto"/>
              <w:right w:val="single" w:sz="8" w:space="0" w:color="auto"/>
            </w:tcBorders>
            <w:vAlign w:val="bottom"/>
            <w:hideMark/>
          </w:tcPr>
          <w:p w14:paraId="23DB45B3"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33,132,000.00</w:t>
            </w:r>
          </w:p>
        </w:tc>
        <w:tc>
          <w:tcPr>
            <w:tcW w:w="1660" w:type="dxa"/>
            <w:tcBorders>
              <w:top w:val="nil"/>
              <w:left w:val="nil"/>
              <w:bottom w:val="single" w:sz="8" w:space="0" w:color="auto"/>
              <w:right w:val="single" w:sz="8" w:space="0" w:color="auto"/>
            </w:tcBorders>
            <w:vAlign w:val="bottom"/>
            <w:hideMark/>
          </w:tcPr>
          <w:p w14:paraId="2E0DA511"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33,132,000.00</w:t>
            </w:r>
          </w:p>
        </w:tc>
        <w:tc>
          <w:tcPr>
            <w:tcW w:w="1660" w:type="dxa"/>
            <w:tcBorders>
              <w:top w:val="nil"/>
              <w:left w:val="nil"/>
              <w:bottom w:val="single" w:sz="8" w:space="0" w:color="auto"/>
              <w:right w:val="single" w:sz="8" w:space="0" w:color="auto"/>
            </w:tcBorders>
            <w:vAlign w:val="bottom"/>
            <w:hideMark/>
          </w:tcPr>
          <w:p w14:paraId="5C824A20"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33,132,000.00</w:t>
            </w:r>
          </w:p>
        </w:tc>
      </w:tr>
      <w:tr w:rsidR="00EA0FD7" w:rsidRPr="00EA0FD7" w14:paraId="736878B6" w14:textId="77777777" w:rsidTr="00EA0FD7">
        <w:trPr>
          <w:trHeight w:val="675"/>
        </w:trPr>
        <w:tc>
          <w:tcPr>
            <w:tcW w:w="1860" w:type="dxa"/>
            <w:tcBorders>
              <w:top w:val="nil"/>
              <w:left w:val="single" w:sz="8" w:space="0" w:color="auto"/>
              <w:bottom w:val="single" w:sz="8" w:space="0" w:color="auto"/>
              <w:right w:val="single" w:sz="8" w:space="0" w:color="auto"/>
            </w:tcBorders>
            <w:shd w:val="clear" w:color="auto" w:fill="FFFFFF"/>
            <w:vAlign w:val="center"/>
            <w:hideMark/>
          </w:tcPr>
          <w:p w14:paraId="1B15ADD3" w14:textId="233F0C20" w:rsidR="00EA0FD7" w:rsidRPr="00EA0FD7" w:rsidRDefault="00752F04" w:rsidP="00EA0FD7">
            <w:pPr>
              <w:spacing w:after="0" w:line="240" w:lineRule="auto"/>
              <w:rPr>
                <w:rFonts w:ascii="Arial" w:eastAsia="Times New Roman" w:hAnsi="Arial" w:cs="Arial"/>
                <w:b/>
                <w:bCs/>
                <w:i/>
                <w:iCs/>
                <w:lang w:val="sr-Cyrl-RS"/>
              </w:rPr>
            </w:pPr>
            <w:r>
              <w:rPr>
                <w:rFonts w:ascii="Arial" w:eastAsia="Times New Roman" w:hAnsi="Arial" w:cs="Arial"/>
                <w:b/>
                <w:bCs/>
                <w:i/>
                <w:iCs/>
              </w:rPr>
              <w:t>II</w:t>
            </w:r>
            <w:r w:rsidR="00EA0FD7" w:rsidRPr="00EA0FD7">
              <w:rPr>
                <w:rFonts w:ascii="Arial" w:eastAsia="Times New Roman" w:hAnsi="Arial" w:cs="Arial"/>
                <w:b/>
                <w:bCs/>
                <w:i/>
                <w:iCs/>
                <w:lang w:val="sr-Cyrl-RS"/>
              </w:rPr>
              <w:t xml:space="preserve">  Непорески приходи</w:t>
            </w:r>
          </w:p>
        </w:tc>
        <w:tc>
          <w:tcPr>
            <w:tcW w:w="1660" w:type="dxa"/>
            <w:tcBorders>
              <w:top w:val="nil"/>
              <w:left w:val="nil"/>
              <w:bottom w:val="single" w:sz="8" w:space="0" w:color="auto"/>
              <w:right w:val="single" w:sz="8" w:space="0" w:color="auto"/>
            </w:tcBorders>
            <w:shd w:val="clear" w:color="auto" w:fill="FFFFFF"/>
            <w:vAlign w:val="bottom"/>
            <w:hideMark/>
          </w:tcPr>
          <w:p w14:paraId="29BA2BCE"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11,736,721.64</w:t>
            </w:r>
          </w:p>
        </w:tc>
        <w:tc>
          <w:tcPr>
            <w:tcW w:w="1660" w:type="dxa"/>
            <w:tcBorders>
              <w:top w:val="nil"/>
              <w:left w:val="nil"/>
              <w:bottom w:val="single" w:sz="8" w:space="0" w:color="auto"/>
              <w:right w:val="single" w:sz="8" w:space="0" w:color="auto"/>
            </w:tcBorders>
            <w:shd w:val="clear" w:color="auto" w:fill="FFFFFF"/>
            <w:vAlign w:val="bottom"/>
            <w:hideMark/>
          </w:tcPr>
          <w:p w14:paraId="662F417F"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12,719,824.16</w:t>
            </w:r>
          </w:p>
        </w:tc>
        <w:tc>
          <w:tcPr>
            <w:tcW w:w="1660" w:type="dxa"/>
            <w:tcBorders>
              <w:top w:val="nil"/>
              <w:left w:val="nil"/>
              <w:bottom w:val="single" w:sz="8" w:space="0" w:color="auto"/>
              <w:right w:val="single" w:sz="8" w:space="0" w:color="auto"/>
            </w:tcBorders>
            <w:shd w:val="clear" w:color="auto" w:fill="FFFFFF"/>
            <w:vAlign w:val="bottom"/>
            <w:hideMark/>
          </w:tcPr>
          <w:p w14:paraId="3DF07FCD"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10,961,160.00</w:t>
            </w:r>
          </w:p>
        </w:tc>
        <w:tc>
          <w:tcPr>
            <w:tcW w:w="1660" w:type="dxa"/>
            <w:tcBorders>
              <w:top w:val="nil"/>
              <w:left w:val="nil"/>
              <w:bottom w:val="single" w:sz="8" w:space="0" w:color="auto"/>
              <w:right w:val="single" w:sz="8" w:space="0" w:color="auto"/>
            </w:tcBorders>
            <w:shd w:val="clear" w:color="auto" w:fill="FFFFFF"/>
            <w:vAlign w:val="bottom"/>
            <w:hideMark/>
          </w:tcPr>
          <w:p w14:paraId="4E63AD12"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11,142,483.00</w:t>
            </w:r>
          </w:p>
        </w:tc>
        <w:tc>
          <w:tcPr>
            <w:tcW w:w="1660" w:type="dxa"/>
            <w:tcBorders>
              <w:top w:val="nil"/>
              <w:left w:val="nil"/>
              <w:bottom w:val="single" w:sz="8" w:space="0" w:color="auto"/>
              <w:right w:val="single" w:sz="8" w:space="0" w:color="auto"/>
            </w:tcBorders>
            <w:shd w:val="clear" w:color="auto" w:fill="FFFFFF"/>
            <w:vAlign w:val="bottom"/>
            <w:hideMark/>
          </w:tcPr>
          <w:p w14:paraId="60F35DF5"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11,362,463.00</w:t>
            </w:r>
          </w:p>
        </w:tc>
      </w:tr>
      <w:tr w:rsidR="00EA0FD7" w:rsidRPr="00EA0FD7" w14:paraId="67400641" w14:textId="77777777" w:rsidTr="00EA0FD7">
        <w:trPr>
          <w:trHeight w:val="960"/>
        </w:trPr>
        <w:tc>
          <w:tcPr>
            <w:tcW w:w="1860" w:type="dxa"/>
            <w:tcBorders>
              <w:top w:val="nil"/>
              <w:left w:val="single" w:sz="8" w:space="0" w:color="auto"/>
              <w:bottom w:val="single" w:sz="8" w:space="0" w:color="auto"/>
              <w:right w:val="single" w:sz="8" w:space="0" w:color="auto"/>
            </w:tcBorders>
            <w:shd w:val="clear" w:color="auto" w:fill="FFFFFF"/>
            <w:vAlign w:val="center"/>
            <w:hideMark/>
          </w:tcPr>
          <w:p w14:paraId="09EBCFDD" w14:textId="55B835F2" w:rsidR="00EA0FD7" w:rsidRPr="00EA0FD7" w:rsidRDefault="00752F04" w:rsidP="00EA0FD7">
            <w:pPr>
              <w:spacing w:after="0" w:line="240" w:lineRule="auto"/>
              <w:rPr>
                <w:rFonts w:ascii="Arial" w:eastAsia="Times New Roman" w:hAnsi="Arial" w:cs="Arial"/>
                <w:b/>
                <w:bCs/>
                <w:i/>
                <w:iCs/>
                <w:lang w:val="sr-Cyrl-RS"/>
              </w:rPr>
            </w:pPr>
            <w:r>
              <w:rPr>
                <w:rFonts w:ascii="Arial" w:eastAsia="Times New Roman" w:hAnsi="Arial" w:cs="Arial"/>
                <w:b/>
                <w:bCs/>
                <w:i/>
                <w:iCs/>
              </w:rPr>
              <w:t>III</w:t>
            </w:r>
            <w:r w:rsidR="00EA0FD7" w:rsidRPr="00EA0FD7">
              <w:rPr>
                <w:rFonts w:ascii="Arial" w:eastAsia="Times New Roman" w:hAnsi="Arial" w:cs="Arial"/>
                <w:b/>
                <w:bCs/>
                <w:i/>
                <w:iCs/>
                <w:lang w:val="sr-Cyrl-RS"/>
              </w:rPr>
              <w:t xml:space="preserve"> Текуће донације и трансфери</w:t>
            </w:r>
          </w:p>
        </w:tc>
        <w:tc>
          <w:tcPr>
            <w:tcW w:w="1660" w:type="dxa"/>
            <w:tcBorders>
              <w:top w:val="nil"/>
              <w:left w:val="nil"/>
              <w:bottom w:val="single" w:sz="8" w:space="0" w:color="auto"/>
              <w:right w:val="single" w:sz="8" w:space="0" w:color="auto"/>
            </w:tcBorders>
            <w:shd w:val="clear" w:color="auto" w:fill="FFFFFF"/>
            <w:vAlign w:val="bottom"/>
            <w:hideMark/>
          </w:tcPr>
          <w:p w14:paraId="3691FA92"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560,442.17</w:t>
            </w:r>
          </w:p>
        </w:tc>
        <w:tc>
          <w:tcPr>
            <w:tcW w:w="1660" w:type="dxa"/>
            <w:tcBorders>
              <w:top w:val="nil"/>
              <w:left w:val="nil"/>
              <w:bottom w:val="single" w:sz="8" w:space="0" w:color="auto"/>
              <w:right w:val="single" w:sz="8" w:space="0" w:color="auto"/>
            </w:tcBorders>
            <w:shd w:val="clear" w:color="auto" w:fill="FFFFFF"/>
            <w:vAlign w:val="bottom"/>
            <w:hideMark/>
          </w:tcPr>
          <w:p w14:paraId="1946901A"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145,205.46</w:t>
            </w:r>
          </w:p>
        </w:tc>
        <w:tc>
          <w:tcPr>
            <w:tcW w:w="1660" w:type="dxa"/>
            <w:tcBorders>
              <w:top w:val="nil"/>
              <w:left w:val="nil"/>
              <w:bottom w:val="single" w:sz="8" w:space="0" w:color="auto"/>
              <w:right w:val="single" w:sz="8" w:space="0" w:color="auto"/>
            </w:tcBorders>
            <w:shd w:val="clear" w:color="auto" w:fill="FFFFFF"/>
            <w:vAlign w:val="bottom"/>
            <w:hideMark/>
          </w:tcPr>
          <w:p w14:paraId="4312FFD9"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10,500.00</w:t>
            </w:r>
          </w:p>
        </w:tc>
        <w:tc>
          <w:tcPr>
            <w:tcW w:w="1660" w:type="dxa"/>
            <w:tcBorders>
              <w:top w:val="nil"/>
              <w:left w:val="nil"/>
              <w:bottom w:val="single" w:sz="8" w:space="0" w:color="auto"/>
              <w:right w:val="single" w:sz="8" w:space="0" w:color="auto"/>
            </w:tcBorders>
            <w:shd w:val="clear" w:color="auto" w:fill="FFFFFF"/>
            <w:vAlign w:val="bottom"/>
            <w:hideMark/>
          </w:tcPr>
          <w:p w14:paraId="4AEE0FD5"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10,500.00</w:t>
            </w:r>
          </w:p>
        </w:tc>
        <w:tc>
          <w:tcPr>
            <w:tcW w:w="1660" w:type="dxa"/>
            <w:tcBorders>
              <w:top w:val="nil"/>
              <w:left w:val="nil"/>
              <w:bottom w:val="single" w:sz="8" w:space="0" w:color="auto"/>
              <w:right w:val="single" w:sz="8" w:space="0" w:color="auto"/>
            </w:tcBorders>
            <w:shd w:val="clear" w:color="auto" w:fill="FFFFFF"/>
            <w:vAlign w:val="bottom"/>
            <w:hideMark/>
          </w:tcPr>
          <w:p w14:paraId="29E23CB7"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10,500.00</w:t>
            </w:r>
          </w:p>
        </w:tc>
      </w:tr>
      <w:tr w:rsidR="00EA0FD7" w:rsidRPr="00EA0FD7" w14:paraId="2DFD3B84" w14:textId="77777777" w:rsidTr="00EA0FD7">
        <w:trPr>
          <w:trHeight w:val="600"/>
        </w:trPr>
        <w:tc>
          <w:tcPr>
            <w:tcW w:w="1860" w:type="dxa"/>
            <w:tcBorders>
              <w:top w:val="nil"/>
              <w:left w:val="single" w:sz="8" w:space="0" w:color="auto"/>
              <w:bottom w:val="single" w:sz="8" w:space="0" w:color="auto"/>
              <w:right w:val="single" w:sz="8" w:space="0" w:color="auto"/>
            </w:tcBorders>
            <w:shd w:val="clear" w:color="auto" w:fill="FFFFFF"/>
            <w:vAlign w:val="center"/>
            <w:hideMark/>
          </w:tcPr>
          <w:p w14:paraId="1E3CDA49" w14:textId="5C520FF2" w:rsidR="00EA0FD7" w:rsidRPr="00EA0FD7" w:rsidRDefault="00752F04" w:rsidP="00EA0FD7">
            <w:pPr>
              <w:spacing w:after="0" w:line="240" w:lineRule="auto"/>
              <w:rPr>
                <w:rFonts w:ascii="Arial" w:eastAsia="Times New Roman" w:hAnsi="Arial" w:cs="Arial"/>
                <w:b/>
                <w:bCs/>
                <w:i/>
                <w:iCs/>
                <w:lang w:val="sr-Cyrl-RS"/>
              </w:rPr>
            </w:pPr>
            <w:r>
              <w:rPr>
                <w:rFonts w:ascii="Arial" w:eastAsia="Times New Roman" w:hAnsi="Arial" w:cs="Arial"/>
                <w:b/>
                <w:bCs/>
                <w:i/>
                <w:iCs/>
              </w:rPr>
              <w:t>IV</w:t>
            </w:r>
            <w:r w:rsidR="00EA0FD7" w:rsidRPr="00EA0FD7">
              <w:rPr>
                <w:rFonts w:ascii="Arial" w:eastAsia="Times New Roman" w:hAnsi="Arial" w:cs="Arial"/>
                <w:b/>
                <w:bCs/>
                <w:i/>
                <w:iCs/>
                <w:lang w:val="sr-Cyrl-RS"/>
              </w:rPr>
              <w:t xml:space="preserve"> Ванбуџетски фондови</w:t>
            </w:r>
          </w:p>
        </w:tc>
        <w:tc>
          <w:tcPr>
            <w:tcW w:w="1660" w:type="dxa"/>
            <w:tcBorders>
              <w:top w:val="nil"/>
              <w:left w:val="nil"/>
              <w:bottom w:val="single" w:sz="8" w:space="0" w:color="auto"/>
              <w:right w:val="single" w:sz="8" w:space="0" w:color="auto"/>
            </w:tcBorders>
            <w:shd w:val="clear" w:color="auto" w:fill="FFFFFF"/>
            <w:vAlign w:val="bottom"/>
            <w:hideMark/>
          </w:tcPr>
          <w:p w14:paraId="1F8EE0DD"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38,264,045.00</w:t>
            </w:r>
          </w:p>
        </w:tc>
        <w:tc>
          <w:tcPr>
            <w:tcW w:w="1660" w:type="dxa"/>
            <w:tcBorders>
              <w:top w:val="nil"/>
              <w:left w:val="nil"/>
              <w:bottom w:val="single" w:sz="8" w:space="0" w:color="auto"/>
              <w:right w:val="single" w:sz="8" w:space="0" w:color="auto"/>
            </w:tcBorders>
            <w:shd w:val="clear" w:color="auto" w:fill="FFFFFF"/>
            <w:vAlign w:val="bottom"/>
            <w:hideMark/>
          </w:tcPr>
          <w:p w14:paraId="4755368E"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37,487,816.00</w:t>
            </w:r>
          </w:p>
        </w:tc>
        <w:tc>
          <w:tcPr>
            <w:tcW w:w="1660" w:type="dxa"/>
            <w:tcBorders>
              <w:top w:val="nil"/>
              <w:left w:val="nil"/>
              <w:bottom w:val="single" w:sz="8" w:space="0" w:color="auto"/>
              <w:right w:val="single" w:sz="8" w:space="0" w:color="auto"/>
            </w:tcBorders>
            <w:shd w:val="clear" w:color="auto" w:fill="FFFFFF"/>
            <w:vAlign w:val="bottom"/>
            <w:hideMark/>
          </w:tcPr>
          <w:p w14:paraId="2B1ACF3D"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37,324,487.00</w:t>
            </w:r>
          </w:p>
        </w:tc>
        <w:tc>
          <w:tcPr>
            <w:tcW w:w="1660" w:type="dxa"/>
            <w:tcBorders>
              <w:top w:val="nil"/>
              <w:left w:val="nil"/>
              <w:bottom w:val="single" w:sz="8" w:space="0" w:color="auto"/>
              <w:right w:val="single" w:sz="8" w:space="0" w:color="auto"/>
            </w:tcBorders>
            <w:shd w:val="clear" w:color="auto" w:fill="FFFFFF"/>
            <w:vAlign w:val="bottom"/>
            <w:hideMark/>
          </w:tcPr>
          <w:p w14:paraId="3E8D0EFB"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37,299,487.00</w:t>
            </w:r>
          </w:p>
        </w:tc>
        <w:tc>
          <w:tcPr>
            <w:tcW w:w="1660" w:type="dxa"/>
            <w:tcBorders>
              <w:top w:val="nil"/>
              <w:left w:val="nil"/>
              <w:bottom w:val="single" w:sz="8" w:space="0" w:color="auto"/>
              <w:right w:val="single" w:sz="8" w:space="0" w:color="auto"/>
            </w:tcBorders>
            <w:shd w:val="clear" w:color="auto" w:fill="FFFFFF"/>
            <w:vAlign w:val="bottom"/>
            <w:hideMark/>
          </w:tcPr>
          <w:p w14:paraId="44849963"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37,349,487.00</w:t>
            </w:r>
          </w:p>
        </w:tc>
      </w:tr>
      <w:tr w:rsidR="00EA0FD7" w:rsidRPr="00EA0FD7" w14:paraId="515AA1EA" w14:textId="77777777" w:rsidTr="00EA0FD7">
        <w:trPr>
          <w:trHeight w:val="930"/>
        </w:trPr>
        <w:tc>
          <w:tcPr>
            <w:tcW w:w="1860" w:type="dxa"/>
            <w:tcBorders>
              <w:top w:val="nil"/>
              <w:left w:val="single" w:sz="8" w:space="0" w:color="auto"/>
              <w:bottom w:val="single" w:sz="8" w:space="0" w:color="auto"/>
              <w:right w:val="single" w:sz="8" w:space="0" w:color="auto"/>
            </w:tcBorders>
            <w:vAlign w:val="center"/>
            <w:hideMark/>
          </w:tcPr>
          <w:p w14:paraId="66E0F48B" w14:textId="77777777" w:rsidR="00EA0FD7" w:rsidRPr="00EA0FD7" w:rsidRDefault="00EA0FD7" w:rsidP="00EA0FD7">
            <w:pPr>
              <w:spacing w:after="0" w:line="240" w:lineRule="auto"/>
              <w:rPr>
                <w:rFonts w:ascii="Arial" w:eastAsia="Times New Roman" w:hAnsi="Arial" w:cs="Arial"/>
                <w:lang w:val="sr-Cyrl-RS"/>
              </w:rPr>
            </w:pPr>
            <w:r w:rsidRPr="00EA0FD7">
              <w:rPr>
                <w:rFonts w:ascii="Arial" w:eastAsia="Times New Roman" w:hAnsi="Arial" w:cs="Arial"/>
                <w:lang w:val="sr-Cyrl-RS"/>
              </w:rPr>
              <w:t>Фонд здравственог  осигурања</w:t>
            </w:r>
          </w:p>
        </w:tc>
        <w:tc>
          <w:tcPr>
            <w:tcW w:w="1660" w:type="dxa"/>
            <w:tcBorders>
              <w:top w:val="nil"/>
              <w:left w:val="nil"/>
              <w:bottom w:val="single" w:sz="8" w:space="0" w:color="auto"/>
              <w:right w:val="single" w:sz="8" w:space="0" w:color="auto"/>
            </w:tcBorders>
            <w:vAlign w:val="bottom"/>
            <w:hideMark/>
          </w:tcPr>
          <w:p w14:paraId="5F125E2C"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34,485,236.00</w:t>
            </w:r>
          </w:p>
        </w:tc>
        <w:tc>
          <w:tcPr>
            <w:tcW w:w="1660" w:type="dxa"/>
            <w:tcBorders>
              <w:top w:val="nil"/>
              <w:left w:val="nil"/>
              <w:bottom w:val="single" w:sz="8" w:space="0" w:color="auto"/>
              <w:right w:val="single" w:sz="8" w:space="0" w:color="auto"/>
            </w:tcBorders>
            <w:vAlign w:val="bottom"/>
            <w:hideMark/>
          </w:tcPr>
          <w:p w14:paraId="5EB3AA7B"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33,233,236.00</w:t>
            </w:r>
          </w:p>
        </w:tc>
        <w:tc>
          <w:tcPr>
            <w:tcW w:w="1660" w:type="dxa"/>
            <w:tcBorders>
              <w:top w:val="nil"/>
              <w:left w:val="nil"/>
              <w:bottom w:val="single" w:sz="8" w:space="0" w:color="auto"/>
              <w:right w:val="single" w:sz="8" w:space="0" w:color="auto"/>
            </w:tcBorders>
            <w:vAlign w:val="bottom"/>
            <w:hideMark/>
          </w:tcPr>
          <w:p w14:paraId="2DA00B20"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32,971,267.00</w:t>
            </w:r>
          </w:p>
        </w:tc>
        <w:tc>
          <w:tcPr>
            <w:tcW w:w="1660" w:type="dxa"/>
            <w:tcBorders>
              <w:top w:val="nil"/>
              <w:left w:val="nil"/>
              <w:bottom w:val="single" w:sz="8" w:space="0" w:color="auto"/>
              <w:right w:val="single" w:sz="8" w:space="0" w:color="auto"/>
            </w:tcBorders>
            <w:vAlign w:val="bottom"/>
            <w:hideMark/>
          </w:tcPr>
          <w:p w14:paraId="6FD78750"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33,021,267.00</w:t>
            </w:r>
          </w:p>
        </w:tc>
        <w:tc>
          <w:tcPr>
            <w:tcW w:w="1660" w:type="dxa"/>
            <w:tcBorders>
              <w:top w:val="nil"/>
              <w:left w:val="nil"/>
              <w:bottom w:val="single" w:sz="8" w:space="0" w:color="auto"/>
              <w:right w:val="single" w:sz="8" w:space="0" w:color="auto"/>
            </w:tcBorders>
            <w:vAlign w:val="bottom"/>
            <w:hideMark/>
          </w:tcPr>
          <w:p w14:paraId="3A6F0D36"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33,071,267.00</w:t>
            </w:r>
          </w:p>
        </w:tc>
      </w:tr>
      <w:tr w:rsidR="00EA0FD7" w:rsidRPr="00EA0FD7" w14:paraId="73948C0A" w14:textId="77777777" w:rsidTr="00EA0FD7">
        <w:trPr>
          <w:trHeight w:val="675"/>
        </w:trPr>
        <w:tc>
          <w:tcPr>
            <w:tcW w:w="1860" w:type="dxa"/>
            <w:tcBorders>
              <w:top w:val="nil"/>
              <w:left w:val="single" w:sz="8" w:space="0" w:color="auto"/>
              <w:bottom w:val="single" w:sz="8" w:space="0" w:color="auto"/>
              <w:right w:val="single" w:sz="8" w:space="0" w:color="auto"/>
            </w:tcBorders>
            <w:vAlign w:val="center"/>
            <w:hideMark/>
          </w:tcPr>
          <w:p w14:paraId="1D026AEC" w14:textId="77777777" w:rsidR="00EA0FD7" w:rsidRPr="00EA0FD7" w:rsidRDefault="00EA0FD7" w:rsidP="00EA0FD7">
            <w:pPr>
              <w:spacing w:after="0" w:line="240" w:lineRule="auto"/>
              <w:rPr>
                <w:rFonts w:ascii="Arial" w:eastAsia="Times New Roman" w:hAnsi="Arial" w:cs="Arial"/>
                <w:lang w:val="sr-Cyrl-RS"/>
              </w:rPr>
            </w:pPr>
            <w:r w:rsidRPr="00EA0FD7">
              <w:rPr>
                <w:rFonts w:ascii="Arial" w:eastAsia="Times New Roman" w:hAnsi="Arial" w:cs="Arial"/>
                <w:lang w:val="sr-Cyrl-RS"/>
              </w:rPr>
              <w:t>Завод за запошљавање</w:t>
            </w:r>
          </w:p>
        </w:tc>
        <w:tc>
          <w:tcPr>
            <w:tcW w:w="1660" w:type="dxa"/>
            <w:tcBorders>
              <w:top w:val="nil"/>
              <w:left w:val="nil"/>
              <w:bottom w:val="single" w:sz="8" w:space="0" w:color="auto"/>
              <w:right w:val="single" w:sz="8" w:space="0" w:color="auto"/>
            </w:tcBorders>
            <w:vAlign w:val="bottom"/>
            <w:hideMark/>
          </w:tcPr>
          <w:p w14:paraId="00CC9C35"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3,765,415.00</w:t>
            </w:r>
          </w:p>
        </w:tc>
        <w:tc>
          <w:tcPr>
            <w:tcW w:w="1660" w:type="dxa"/>
            <w:tcBorders>
              <w:top w:val="nil"/>
              <w:left w:val="nil"/>
              <w:bottom w:val="single" w:sz="8" w:space="0" w:color="auto"/>
              <w:right w:val="single" w:sz="8" w:space="0" w:color="auto"/>
            </w:tcBorders>
            <w:vAlign w:val="bottom"/>
            <w:hideMark/>
          </w:tcPr>
          <w:p w14:paraId="449140C5"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4,175,360.00</w:t>
            </w:r>
          </w:p>
        </w:tc>
        <w:tc>
          <w:tcPr>
            <w:tcW w:w="1660" w:type="dxa"/>
            <w:tcBorders>
              <w:top w:val="nil"/>
              <w:left w:val="nil"/>
              <w:bottom w:val="single" w:sz="8" w:space="0" w:color="auto"/>
              <w:right w:val="single" w:sz="8" w:space="0" w:color="auto"/>
            </w:tcBorders>
            <w:vAlign w:val="bottom"/>
            <w:hideMark/>
          </w:tcPr>
          <w:p w14:paraId="136EA328"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4,274,000.00</w:t>
            </w:r>
          </w:p>
        </w:tc>
        <w:tc>
          <w:tcPr>
            <w:tcW w:w="1660" w:type="dxa"/>
            <w:tcBorders>
              <w:top w:val="nil"/>
              <w:left w:val="nil"/>
              <w:bottom w:val="single" w:sz="8" w:space="0" w:color="auto"/>
              <w:right w:val="single" w:sz="8" w:space="0" w:color="auto"/>
            </w:tcBorders>
            <w:vAlign w:val="bottom"/>
            <w:hideMark/>
          </w:tcPr>
          <w:p w14:paraId="1675EF74"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4,199,000.00</w:t>
            </w:r>
          </w:p>
        </w:tc>
        <w:tc>
          <w:tcPr>
            <w:tcW w:w="1660" w:type="dxa"/>
            <w:tcBorders>
              <w:top w:val="nil"/>
              <w:left w:val="nil"/>
              <w:bottom w:val="single" w:sz="8" w:space="0" w:color="auto"/>
              <w:right w:val="single" w:sz="8" w:space="0" w:color="auto"/>
            </w:tcBorders>
            <w:vAlign w:val="bottom"/>
            <w:hideMark/>
          </w:tcPr>
          <w:p w14:paraId="456FF847"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4,199,000.00</w:t>
            </w:r>
          </w:p>
        </w:tc>
      </w:tr>
      <w:tr w:rsidR="00EA0FD7" w:rsidRPr="00EA0FD7" w14:paraId="70228BA5" w14:textId="77777777" w:rsidTr="00EA0FD7">
        <w:trPr>
          <w:trHeight w:val="600"/>
        </w:trPr>
        <w:tc>
          <w:tcPr>
            <w:tcW w:w="1860" w:type="dxa"/>
            <w:tcBorders>
              <w:top w:val="nil"/>
              <w:left w:val="single" w:sz="8" w:space="0" w:color="auto"/>
              <w:bottom w:val="single" w:sz="8" w:space="0" w:color="auto"/>
              <w:right w:val="single" w:sz="8" w:space="0" w:color="auto"/>
            </w:tcBorders>
            <w:vAlign w:val="center"/>
            <w:hideMark/>
          </w:tcPr>
          <w:p w14:paraId="24CD4A14" w14:textId="78C355B9" w:rsidR="00EA0FD7" w:rsidRPr="00EA0FD7" w:rsidRDefault="00EA0FD7" w:rsidP="00EA0FD7">
            <w:pPr>
              <w:spacing w:after="0" w:line="240" w:lineRule="auto"/>
              <w:rPr>
                <w:rFonts w:ascii="Arial" w:eastAsia="Times New Roman" w:hAnsi="Arial" w:cs="Arial"/>
                <w:lang w:val="sr-Cyrl-RS"/>
              </w:rPr>
            </w:pPr>
            <w:r w:rsidRPr="00EA0FD7">
              <w:rPr>
                <w:rFonts w:ascii="Arial" w:eastAsia="Times New Roman" w:hAnsi="Arial" w:cs="Arial"/>
                <w:lang w:val="sr-Cyrl-RS"/>
              </w:rPr>
              <w:t>Развојно</w:t>
            </w:r>
            <w:r w:rsidR="0078010E">
              <w:rPr>
                <w:rFonts w:ascii="Arial" w:eastAsia="Times New Roman" w:hAnsi="Arial" w:cs="Arial"/>
                <w:lang w:val="sr-Cyrl-RS"/>
              </w:rPr>
              <w:t>-</w:t>
            </w:r>
            <w:r w:rsidRPr="00EA0FD7">
              <w:rPr>
                <w:rFonts w:ascii="Arial" w:eastAsia="Times New Roman" w:hAnsi="Arial" w:cs="Arial"/>
                <w:lang w:val="sr-Cyrl-RS"/>
              </w:rPr>
              <w:t>гарантни фонд</w:t>
            </w:r>
          </w:p>
        </w:tc>
        <w:tc>
          <w:tcPr>
            <w:tcW w:w="1660" w:type="dxa"/>
            <w:tcBorders>
              <w:top w:val="nil"/>
              <w:left w:val="nil"/>
              <w:bottom w:val="single" w:sz="8" w:space="0" w:color="auto"/>
              <w:right w:val="single" w:sz="8" w:space="0" w:color="auto"/>
            </w:tcBorders>
            <w:vAlign w:val="bottom"/>
            <w:hideMark/>
          </w:tcPr>
          <w:p w14:paraId="729FB136"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0.00</w:t>
            </w:r>
          </w:p>
        </w:tc>
        <w:tc>
          <w:tcPr>
            <w:tcW w:w="1660" w:type="dxa"/>
            <w:tcBorders>
              <w:top w:val="nil"/>
              <w:left w:val="nil"/>
              <w:bottom w:val="single" w:sz="8" w:space="0" w:color="auto"/>
              <w:right w:val="single" w:sz="8" w:space="0" w:color="auto"/>
            </w:tcBorders>
            <w:vAlign w:val="bottom"/>
            <w:hideMark/>
          </w:tcPr>
          <w:p w14:paraId="735E5D8C"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0.00</w:t>
            </w:r>
          </w:p>
        </w:tc>
        <w:tc>
          <w:tcPr>
            <w:tcW w:w="1660" w:type="dxa"/>
            <w:tcBorders>
              <w:top w:val="nil"/>
              <w:left w:val="nil"/>
              <w:bottom w:val="single" w:sz="8" w:space="0" w:color="auto"/>
              <w:right w:val="single" w:sz="8" w:space="0" w:color="auto"/>
            </w:tcBorders>
            <w:vAlign w:val="bottom"/>
            <w:hideMark/>
          </w:tcPr>
          <w:p w14:paraId="0637CAA9"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0.00</w:t>
            </w:r>
          </w:p>
        </w:tc>
        <w:tc>
          <w:tcPr>
            <w:tcW w:w="1660" w:type="dxa"/>
            <w:tcBorders>
              <w:top w:val="nil"/>
              <w:left w:val="nil"/>
              <w:bottom w:val="single" w:sz="8" w:space="0" w:color="auto"/>
              <w:right w:val="single" w:sz="8" w:space="0" w:color="auto"/>
            </w:tcBorders>
            <w:vAlign w:val="bottom"/>
            <w:hideMark/>
          </w:tcPr>
          <w:p w14:paraId="2566602E"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0.00</w:t>
            </w:r>
          </w:p>
        </w:tc>
        <w:tc>
          <w:tcPr>
            <w:tcW w:w="1660" w:type="dxa"/>
            <w:tcBorders>
              <w:top w:val="nil"/>
              <w:left w:val="nil"/>
              <w:bottom w:val="single" w:sz="8" w:space="0" w:color="auto"/>
              <w:right w:val="single" w:sz="8" w:space="0" w:color="auto"/>
            </w:tcBorders>
            <w:vAlign w:val="bottom"/>
            <w:hideMark/>
          </w:tcPr>
          <w:p w14:paraId="638493AF"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0.00</w:t>
            </w:r>
          </w:p>
        </w:tc>
      </w:tr>
      <w:tr w:rsidR="00EA0FD7" w:rsidRPr="00EA0FD7" w14:paraId="564401A7" w14:textId="77777777" w:rsidTr="00EA0FD7">
        <w:trPr>
          <w:trHeight w:val="1230"/>
        </w:trPr>
        <w:tc>
          <w:tcPr>
            <w:tcW w:w="1860" w:type="dxa"/>
            <w:tcBorders>
              <w:top w:val="nil"/>
              <w:left w:val="single" w:sz="8" w:space="0" w:color="auto"/>
              <w:bottom w:val="single" w:sz="8" w:space="0" w:color="auto"/>
              <w:right w:val="single" w:sz="8" w:space="0" w:color="auto"/>
            </w:tcBorders>
            <w:vAlign w:val="center"/>
            <w:hideMark/>
          </w:tcPr>
          <w:p w14:paraId="7854286E" w14:textId="77777777" w:rsidR="00EA0FD7" w:rsidRPr="00EA0FD7" w:rsidRDefault="00EA0FD7" w:rsidP="00EA0FD7">
            <w:pPr>
              <w:spacing w:after="0" w:line="240" w:lineRule="auto"/>
              <w:rPr>
                <w:rFonts w:ascii="Arial" w:eastAsia="Times New Roman" w:hAnsi="Arial" w:cs="Arial"/>
                <w:lang w:val="sr-Cyrl-RS"/>
              </w:rPr>
            </w:pPr>
            <w:r w:rsidRPr="00EA0FD7">
              <w:rPr>
                <w:rFonts w:ascii="Arial" w:eastAsia="Times New Roman" w:hAnsi="Arial" w:cs="Arial"/>
                <w:lang w:val="sr-Cyrl-RS"/>
              </w:rPr>
              <w:lastRenderedPageBreak/>
              <w:t xml:space="preserve">Завод за планирање, пројектовање и развој </w:t>
            </w:r>
          </w:p>
        </w:tc>
        <w:tc>
          <w:tcPr>
            <w:tcW w:w="1660" w:type="dxa"/>
            <w:tcBorders>
              <w:top w:val="nil"/>
              <w:left w:val="nil"/>
              <w:bottom w:val="single" w:sz="8" w:space="0" w:color="auto"/>
              <w:right w:val="single" w:sz="8" w:space="0" w:color="auto"/>
            </w:tcBorders>
            <w:vAlign w:val="bottom"/>
            <w:hideMark/>
          </w:tcPr>
          <w:p w14:paraId="4FA00EF4"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0.00</w:t>
            </w:r>
          </w:p>
        </w:tc>
        <w:tc>
          <w:tcPr>
            <w:tcW w:w="1660" w:type="dxa"/>
            <w:tcBorders>
              <w:top w:val="nil"/>
              <w:left w:val="nil"/>
              <w:bottom w:val="single" w:sz="8" w:space="0" w:color="auto"/>
              <w:right w:val="single" w:sz="8" w:space="0" w:color="auto"/>
            </w:tcBorders>
            <w:vAlign w:val="bottom"/>
            <w:hideMark/>
          </w:tcPr>
          <w:p w14:paraId="4A6A7E62"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0.00</w:t>
            </w:r>
          </w:p>
        </w:tc>
        <w:tc>
          <w:tcPr>
            <w:tcW w:w="1660" w:type="dxa"/>
            <w:tcBorders>
              <w:top w:val="nil"/>
              <w:left w:val="nil"/>
              <w:bottom w:val="single" w:sz="8" w:space="0" w:color="auto"/>
              <w:right w:val="single" w:sz="8" w:space="0" w:color="auto"/>
            </w:tcBorders>
            <w:vAlign w:val="bottom"/>
            <w:hideMark/>
          </w:tcPr>
          <w:p w14:paraId="727F43F9"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0.00</w:t>
            </w:r>
          </w:p>
        </w:tc>
        <w:tc>
          <w:tcPr>
            <w:tcW w:w="1660" w:type="dxa"/>
            <w:tcBorders>
              <w:top w:val="nil"/>
              <w:left w:val="nil"/>
              <w:bottom w:val="single" w:sz="8" w:space="0" w:color="auto"/>
              <w:right w:val="single" w:sz="8" w:space="0" w:color="auto"/>
            </w:tcBorders>
            <w:vAlign w:val="bottom"/>
            <w:hideMark/>
          </w:tcPr>
          <w:p w14:paraId="175FA783"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0.00</w:t>
            </w:r>
          </w:p>
        </w:tc>
        <w:tc>
          <w:tcPr>
            <w:tcW w:w="1660" w:type="dxa"/>
            <w:tcBorders>
              <w:top w:val="nil"/>
              <w:left w:val="nil"/>
              <w:bottom w:val="single" w:sz="8" w:space="0" w:color="auto"/>
              <w:right w:val="single" w:sz="8" w:space="0" w:color="auto"/>
            </w:tcBorders>
            <w:vAlign w:val="bottom"/>
            <w:hideMark/>
          </w:tcPr>
          <w:p w14:paraId="4BAA1066"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0.00</w:t>
            </w:r>
          </w:p>
        </w:tc>
      </w:tr>
      <w:tr w:rsidR="00EA0FD7" w:rsidRPr="00EA0FD7" w14:paraId="4807D70B" w14:textId="77777777" w:rsidTr="00EA0FD7">
        <w:trPr>
          <w:trHeight w:val="1230"/>
        </w:trPr>
        <w:tc>
          <w:tcPr>
            <w:tcW w:w="1860" w:type="dxa"/>
            <w:tcBorders>
              <w:top w:val="nil"/>
              <w:left w:val="single" w:sz="8" w:space="0" w:color="auto"/>
              <w:bottom w:val="single" w:sz="8" w:space="0" w:color="auto"/>
              <w:right w:val="single" w:sz="8" w:space="0" w:color="auto"/>
            </w:tcBorders>
            <w:shd w:val="clear" w:color="auto" w:fill="FFFFFF"/>
            <w:vAlign w:val="center"/>
            <w:hideMark/>
          </w:tcPr>
          <w:p w14:paraId="0A005364" w14:textId="034178C4" w:rsidR="00EA0FD7" w:rsidRPr="00752F04" w:rsidRDefault="00EA0FD7" w:rsidP="00EA0FD7">
            <w:pPr>
              <w:spacing w:after="0" w:line="240" w:lineRule="auto"/>
              <w:rPr>
                <w:rFonts w:ascii="Arial" w:eastAsia="Times New Roman" w:hAnsi="Arial" w:cs="Arial"/>
                <w:color w:val="000000"/>
              </w:rPr>
            </w:pPr>
            <w:r w:rsidRPr="00EA0FD7">
              <w:rPr>
                <w:rFonts w:ascii="Arial" w:eastAsia="Times New Roman" w:hAnsi="Arial" w:cs="Arial"/>
                <w:color w:val="000000"/>
                <w:lang w:val="sr-Cyrl-RS"/>
              </w:rPr>
              <w:t>Радио</w:t>
            </w:r>
            <w:r w:rsidR="00752F04">
              <w:rPr>
                <w:rFonts w:ascii="Arial" w:eastAsia="Times New Roman" w:hAnsi="Arial" w:cs="Arial"/>
                <w:color w:val="000000"/>
              </w:rPr>
              <w:t>-</w:t>
            </w:r>
            <w:r w:rsidRPr="00EA0FD7">
              <w:rPr>
                <w:rFonts w:ascii="Arial" w:eastAsia="Times New Roman" w:hAnsi="Arial" w:cs="Arial"/>
                <w:color w:val="000000"/>
                <w:lang w:val="sr-Cyrl-RS"/>
              </w:rPr>
              <w:t xml:space="preserve">новинска и издавачка установа </w:t>
            </w:r>
            <w:r w:rsidR="00752F04">
              <w:rPr>
                <w:rFonts w:ascii="Arial" w:eastAsia="Times New Roman" w:hAnsi="Arial" w:cs="Arial"/>
                <w:color w:val="000000"/>
              </w:rPr>
              <w:t>„</w:t>
            </w:r>
            <w:r w:rsidRPr="00EA0FD7">
              <w:rPr>
                <w:rFonts w:ascii="Arial" w:eastAsia="Times New Roman" w:hAnsi="Arial" w:cs="Arial"/>
                <w:color w:val="000000"/>
                <w:lang w:val="sr-Cyrl-RS"/>
              </w:rPr>
              <w:t>Радио Брчко</w:t>
            </w:r>
            <w:r w:rsidR="00752F04">
              <w:rPr>
                <w:rFonts w:ascii="Arial" w:eastAsia="Times New Roman" w:hAnsi="Arial" w:cs="Arial"/>
                <w:color w:val="000000"/>
              </w:rPr>
              <w:t>“</w:t>
            </w:r>
          </w:p>
        </w:tc>
        <w:tc>
          <w:tcPr>
            <w:tcW w:w="1660" w:type="dxa"/>
            <w:tcBorders>
              <w:top w:val="nil"/>
              <w:left w:val="nil"/>
              <w:bottom w:val="single" w:sz="8" w:space="0" w:color="auto"/>
              <w:right w:val="single" w:sz="8" w:space="0" w:color="auto"/>
            </w:tcBorders>
            <w:vAlign w:val="bottom"/>
            <w:hideMark/>
          </w:tcPr>
          <w:p w14:paraId="498BD023"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13,394.00</w:t>
            </w:r>
          </w:p>
        </w:tc>
        <w:tc>
          <w:tcPr>
            <w:tcW w:w="1660" w:type="dxa"/>
            <w:tcBorders>
              <w:top w:val="nil"/>
              <w:left w:val="nil"/>
              <w:bottom w:val="single" w:sz="8" w:space="0" w:color="auto"/>
              <w:right w:val="single" w:sz="8" w:space="0" w:color="auto"/>
            </w:tcBorders>
            <w:vAlign w:val="bottom"/>
            <w:hideMark/>
          </w:tcPr>
          <w:p w14:paraId="13BC9A05"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79,220.00</w:t>
            </w:r>
          </w:p>
        </w:tc>
        <w:tc>
          <w:tcPr>
            <w:tcW w:w="1660" w:type="dxa"/>
            <w:tcBorders>
              <w:top w:val="nil"/>
              <w:left w:val="nil"/>
              <w:bottom w:val="single" w:sz="8" w:space="0" w:color="auto"/>
              <w:right w:val="single" w:sz="8" w:space="0" w:color="auto"/>
            </w:tcBorders>
            <w:vAlign w:val="bottom"/>
            <w:hideMark/>
          </w:tcPr>
          <w:p w14:paraId="456D7A59"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79,220.00</w:t>
            </w:r>
          </w:p>
        </w:tc>
        <w:tc>
          <w:tcPr>
            <w:tcW w:w="1660" w:type="dxa"/>
            <w:tcBorders>
              <w:top w:val="nil"/>
              <w:left w:val="nil"/>
              <w:bottom w:val="single" w:sz="8" w:space="0" w:color="auto"/>
              <w:right w:val="single" w:sz="8" w:space="0" w:color="auto"/>
            </w:tcBorders>
            <w:vAlign w:val="bottom"/>
            <w:hideMark/>
          </w:tcPr>
          <w:p w14:paraId="13FB7B95"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79,220.00</w:t>
            </w:r>
          </w:p>
        </w:tc>
        <w:tc>
          <w:tcPr>
            <w:tcW w:w="1660" w:type="dxa"/>
            <w:tcBorders>
              <w:top w:val="nil"/>
              <w:left w:val="nil"/>
              <w:bottom w:val="single" w:sz="8" w:space="0" w:color="auto"/>
              <w:right w:val="single" w:sz="8" w:space="0" w:color="auto"/>
            </w:tcBorders>
            <w:vAlign w:val="bottom"/>
            <w:hideMark/>
          </w:tcPr>
          <w:p w14:paraId="31C0AF0A" w14:textId="77777777" w:rsidR="00EA0FD7" w:rsidRPr="00EA0FD7" w:rsidRDefault="00EA0FD7" w:rsidP="00EA0FD7">
            <w:pPr>
              <w:spacing w:after="0" w:line="240" w:lineRule="auto"/>
              <w:jc w:val="right"/>
              <w:rPr>
                <w:rFonts w:ascii="Arial" w:eastAsia="Times New Roman" w:hAnsi="Arial" w:cs="Arial"/>
                <w:lang w:val="sr-Cyrl-RS"/>
              </w:rPr>
            </w:pPr>
            <w:r w:rsidRPr="00EA0FD7">
              <w:rPr>
                <w:rFonts w:ascii="Arial" w:eastAsia="Times New Roman" w:hAnsi="Arial" w:cs="Arial"/>
                <w:lang w:val="sr-Cyrl-RS"/>
              </w:rPr>
              <w:t>79,220.00</w:t>
            </w:r>
          </w:p>
        </w:tc>
      </w:tr>
      <w:tr w:rsidR="00EA0FD7" w:rsidRPr="00EA0FD7" w14:paraId="7D2D91B1" w14:textId="77777777" w:rsidTr="00EA0FD7">
        <w:trPr>
          <w:trHeight w:val="900"/>
        </w:trPr>
        <w:tc>
          <w:tcPr>
            <w:tcW w:w="1860" w:type="dxa"/>
            <w:tcBorders>
              <w:top w:val="nil"/>
              <w:left w:val="single" w:sz="8" w:space="0" w:color="auto"/>
              <w:bottom w:val="single" w:sz="8" w:space="0" w:color="auto"/>
              <w:right w:val="single" w:sz="8" w:space="0" w:color="auto"/>
            </w:tcBorders>
            <w:shd w:val="clear" w:color="auto" w:fill="FFFFFF"/>
            <w:vAlign w:val="center"/>
            <w:hideMark/>
          </w:tcPr>
          <w:p w14:paraId="6FD1949D" w14:textId="28879229" w:rsidR="00EA0FD7" w:rsidRPr="00752F04" w:rsidRDefault="00EA0FD7" w:rsidP="00EA0FD7">
            <w:pPr>
              <w:spacing w:after="0" w:line="240" w:lineRule="auto"/>
              <w:rPr>
                <w:rFonts w:ascii="Arial" w:eastAsia="Times New Roman" w:hAnsi="Arial" w:cs="Arial"/>
                <w:b/>
                <w:bCs/>
              </w:rPr>
            </w:pPr>
            <w:r w:rsidRPr="00EA0FD7">
              <w:rPr>
                <w:rFonts w:ascii="Arial" w:eastAsia="Times New Roman" w:hAnsi="Arial" w:cs="Arial"/>
                <w:b/>
                <w:bCs/>
                <w:lang w:val="sr-Cyrl-RS"/>
              </w:rPr>
              <w:t xml:space="preserve">УКУПНО ЈАВНИ ПРИХОДИ </w:t>
            </w:r>
            <w:r w:rsidR="00752F04">
              <w:rPr>
                <w:rFonts w:ascii="Arial" w:eastAsia="Times New Roman" w:hAnsi="Arial" w:cs="Arial"/>
                <w:b/>
                <w:bCs/>
              </w:rPr>
              <w:t>I</w:t>
            </w:r>
            <w:r w:rsidRPr="00EA0FD7">
              <w:rPr>
                <w:rFonts w:ascii="Arial" w:eastAsia="Times New Roman" w:hAnsi="Arial" w:cs="Arial"/>
                <w:b/>
                <w:bCs/>
                <w:lang w:val="sr-Cyrl-RS"/>
              </w:rPr>
              <w:t>+</w:t>
            </w:r>
            <w:r w:rsidR="00752F04">
              <w:rPr>
                <w:rFonts w:ascii="Arial" w:eastAsia="Times New Roman" w:hAnsi="Arial" w:cs="Arial"/>
                <w:b/>
                <w:bCs/>
              </w:rPr>
              <w:t>II</w:t>
            </w:r>
            <w:r w:rsidRPr="00EA0FD7">
              <w:rPr>
                <w:rFonts w:ascii="Arial" w:eastAsia="Times New Roman" w:hAnsi="Arial" w:cs="Arial"/>
                <w:b/>
                <w:bCs/>
                <w:lang w:val="sr-Cyrl-RS"/>
              </w:rPr>
              <w:t>+</w:t>
            </w:r>
            <w:r w:rsidR="00752F04">
              <w:rPr>
                <w:rFonts w:ascii="Arial" w:eastAsia="Times New Roman" w:hAnsi="Arial" w:cs="Arial"/>
                <w:b/>
                <w:bCs/>
              </w:rPr>
              <w:t>III</w:t>
            </w:r>
            <w:r w:rsidRPr="00EA0FD7">
              <w:rPr>
                <w:rFonts w:ascii="Arial" w:eastAsia="Times New Roman" w:hAnsi="Arial" w:cs="Arial"/>
                <w:b/>
                <w:bCs/>
                <w:lang w:val="sr-Cyrl-RS"/>
              </w:rPr>
              <w:t>+</w:t>
            </w:r>
            <w:r w:rsidR="00752F04">
              <w:rPr>
                <w:rFonts w:ascii="Arial" w:eastAsia="Times New Roman" w:hAnsi="Arial" w:cs="Arial"/>
                <w:b/>
                <w:bCs/>
              </w:rPr>
              <w:t>IV</w:t>
            </w:r>
          </w:p>
        </w:tc>
        <w:tc>
          <w:tcPr>
            <w:tcW w:w="1660" w:type="dxa"/>
            <w:tcBorders>
              <w:top w:val="nil"/>
              <w:left w:val="nil"/>
              <w:bottom w:val="single" w:sz="8" w:space="0" w:color="auto"/>
              <w:right w:val="single" w:sz="8" w:space="0" w:color="auto"/>
            </w:tcBorders>
            <w:shd w:val="clear" w:color="auto" w:fill="FFFFFF"/>
            <w:vAlign w:val="bottom"/>
            <w:hideMark/>
          </w:tcPr>
          <w:p w14:paraId="563F4026" w14:textId="77777777" w:rsidR="00EA0FD7" w:rsidRPr="00EA0FD7" w:rsidRDefault="00EA0FD7" w:rsidP="00EA0FD7">
            <w:pPr>
              <w:spacing w:after="0" w:line="240" w:lineRule="auto"/>
              <w:jc w:val="right"/>
              <w:rPr>
                <w:rFonts w:ascii="Arial" w:eastAsia="Times New Roman" w:hAnsi="Arial" w:cs="Arial"/>
                <w:b/>
                <w:bCs/>
                <w:lang w:val="sr-Cyrl-RS"/>
              </w:rPr>
            </w:pPr>
            <w:r w:rsidRPr="00EA0FD7">
              <w:rPr>
                <w:rFonts w:ascii="Arial" w:eastAsia="Times New Roman" w:hAnsi="Arial" w:cs="Arial"/>
                <w:b/>
                <w:bCs/>
                <w:lang w:val="sr-Cyrl-RS"/>
              </w:rPr>
              <w:t>274,757,487.54</w:t>
            </w:r>
          </w:p>
        </w:tc>
        <w:tc>
          <w:tcPr>
            <w:tcW w:w="1660" w:type="dxa"/>
            <w:tcBorders>
              <w:top w:val="nil"/>
              <w:left w:val="nil"/>
              <w:bottom w:val="single" w:sz="8" w:space="0" w:color="auto"/>
              <w:right w:val="single" w:sz="8" w:space="0" w:color="auto"/>
            </w:tcBorders>
            <w:shd w:val="clear" w:color="auto" w:fill="FFFFFF"/>
            <w:vAlign w:val="bottom"/>
            <w:hideMark/>
          </w:tcPr>
          <w:p w14:paraId="538CC80C" w14:textId="77777777" w:rsidR="00EA0FD7" w:rsidRPr="00EA0FD7" w:rsidRDefault="00EA0FD7" w:rsidP="00EA0FD7">
            <w:pPr>
              <w:spacing w:after="0" w:line="240" w:lineRule="auto"/>
              <w:jc w:val="right"/>
              <w:rPr>
                <w:rFonts w:ascii="Arial" w:eastAsia="Times New Roman" w:hAnsi="Arial" w:cs="Arial"/>
                <w:b/>
                <w:bCs/>
                <w:lang w:val="sr-Cyrl-RS"/>
              </w:rPr>
            </w:pPr>
            <w:r w:rsidRPr="00EA0FD7">
              <w:rPr>
                <w:rFonts w:ascii="Arial" w:eastAsia="Times New Roman" w:hAnsi="Arial" w:cs="Arial"/>
                <w:b/>
                <w:bCs/>
                <w:lang w:val="sr-Cyrl-RS"/>
              </w:rPr>
              <w:t>270,252,845.62</w:t>
            </w:r>
          </w:p>
        </w:tc>
        <w:tc>
          <w:tcPr>
            <w:tcW w:w="1660" w:type="dxa"/>
            <w:tcBorders>
              <w:top w:val="nil"/>
              <w:left w:val="nil"/>
              <w:bottom w:val="single" w:sz="8" w:space="0" w:color="auto"/>
              <w:right w:val="single" w:sz="8" w:space="0" w:color="auto"/>
            </w:tcBorders>
            <w:shd w:val="clear" w:color="auto" w:fill="FFFFFF"/>
            <w:vAlign w:val="bottom"/>
            <w:hideMark/>
          </w:tcPr>
          <w:p w14:paraId="5AE350D2" w14:textId="77777777" w:rsidR="00EA0FD7" w:rsidRPr="00EA0FD7" w:rsidRDefault="00EA0FD7" w:rsidP="00EA0FD7">
            <w:pPr>
              <w:spacing w:after="0" w:line="240" w:lineRule="auto"/>
              <w:jc w:val="right"/>
              <w:rPr>
                <w:rFonts w:ascii="Arial" w:eastAsia="Times New Roman" w:hAnsi="Arial" w:cs="Arial"/>
                <w:b/>
                <w:bCs/>
                <w:lang w:val="sr-Cyrl-RS"/>
              </w:rPr>
            </w:pPr>
            <w:r w:rsidRPr="00EA0FD7">
              <w:rPr>
                <w:rFonts w:ascii="Arial" w:eastAsia="Times New Roman" w:hAnsi="Arial" w:cs="Arial"/>
                <w:b/>
                <w:bCs/>
                <w:lang w:val="sr-Cyrl-RS"/>
              </w:rPr>
              <w:t>308,988,147.00</w:t>
            </w:r>
          </w:p>
        </w:tc>
        <w:tc>
          <w:tcPr>
            <w:tcW w:w="1660" w:type="dxa"/>
            <w:tcBorders>
              <w:top w:val="nil"/>
              <w:left w:val="nil"/>
              <w:bottom w:val="single" w:sz="8" w:space="0" w:color="auto"/>
              <w:right w:val="single" w:sz="8" w:space="0" w:color="auto"/>
            </w:tcBorders>
            <w:shd w:val="clear" w:color="auto" w:fill="FFFFFF"/>
            <w:vAlign w:val="bottom"/>
            <w:hideMark/>
          </w:tcPr>
          <w:p w14:paraId="5DA067AC" w14:textId="77777777" w:rsidR="00EA0FD7" w:rsidRPr="00EA0FD7" w:rsidRDefault="00EA0FD7" w:rsidP="00EA0FD7">
            <w:pPr>
              <w:spacing w:after="0" w:line="240" w:lineRule="auto"/>
              <w:jc w:val="right"/>
              <w:rPr>
                <w:rFonts w:ascii="Arial" w:eastAsia="Times New Roman" w:hAnsi="Arial" w:cs="Arial"/>
                <w:b/>
                <w:bCs/>
                <w:lang w:val="sr-Cyrl-RS"/>
              </w:rPr>
            </w:pPr>
            <w:r w:rsidRPr="00EA0FD7">
              <w:rPr>
                <w:rFonts w:ascii="Arial" w:eastAsia="Times New Roman" w:hAnsi="Arial" w:cs="Arial"/>
                <w:b/>
                <w:bCs/>
                <w:lang w:val="sr-Cyrl-RS"/>
              </w:rPr>
              <w:t>316,694,470.00</w:t>
            </w:r>
          </w:p>
        </w:tc>
        <w:tc>
          <w:tcPr>
            <w:tcW w:w="1660" w:type="dxa"/>
            <w:tcBorders>
              <w:top w:val="nil"/>
              <w:left w:val="nil"/>
              <w:bottom w:val="single" w:sz="8" w:space="0" w:color="auto"/>
              <w:right w:val="single" w:sz="8" w:space="0" w:color="auto"/>
            </w:tcBorders>
            <w:shd w:val="clear" w:color="auto" w:fill="FFFFFF"/>
            <w:vAlign w:val="bottom"/>
            <w:hideMark/>
          </w:tcPr>
          <w:p w14:paraId="6DB61416" w14:textId="77777777" w:rsidR="00EA0FD7" w:rsidRPr="00EA0FD7" w:rsidRDefault="00EA0FD7" w:rsidP="00EA0FD7">
            <w:pPr>
              <w:spacing w:after="0" w:line="240" w:lineRule="auto"/>
              <w:jc w:val="right"/>
              <w:rPr>
                <w:rFonts w:ascii="Arial" w:eastAsia="Times New Roman" w:hAnsi="Arial" w:cs="Arial"/>
                <w:b/>
                <w:bCs/>
                <w:lang w:val="sr-Cyrl-RS"/>
              </w:rPr>
            </w:pPr>
            <w:r w:rsidRPr="00EA0FD7">
              <w:rPr>
                <w:rFonts w:ascii="Arial" w:eastAsia="Times New Roman" w:hAnsi="Arial" w:cs="Arial"/>
                <w:b/>
                <w:bCs/>
                <w:lang w:val="sr-Cyrl-RS"/>
              </w:rPr>
              <w:t>325,044,450.00</w:t>
            </w:r>
          </w:p>
        </w:tc>
      </w:tr>
      <w:tr w:rsidR="00EA0FD7" w:rsidRPr="00EA0FD7" w14:paraId="707F552D" w14:textId="77777777" w:rsidTr="00EA0FD7">
        <w:trPr>
          <w:trHeight w:val="402"/>
        </w:trPr>
        <w:tc>
          <w:tcPr>
            <w:tcW w:w="1860" w:type="dxa"/>
            <w:tcBorders>
              <w:top w:val="nil"/>
              <w:left w:val="single" w:sz="8" w:space="0" w:color="auto"/>
              <w:bottom w:val="single" w:sz="8" w:space="0" w:color="auto"/>
              <w:right w:val="single" w:sz="8" w:space="0" w:color="auto"/>
            </w:tcBorders>
            <w:shd w:val="clear" w:color="auto" w:fill="FFFFFF"/>
            <w:vAlign w:val="center"/>
            <w:hideMark/>
          </w:tcPr>
          <w:p w14:paraId="583B1D53" w14:textId="0B5110F3" w:rsidR="00EA0FD7" w:rsidRPr="00EA0FD7" w:rsidRDefault="00752F04" w:rsidP="00EA0FD7">
            <w:pPr>
              <w:spacing w:after="0" w:line="240" w:lineRule="auto"/>
              <w:rPr>
                <w:rFonts w:ascii="Arial" w:eastAsia="Times New Roman" w:hAnsi="Arial" w:cs="Arial"/>
                <w:b/>
                <w:bCs/>
                <w:i/>
                <w:iCs/>
                <w:sz w:val="21"/>
                <w:szCs w:val="21"/>
                <w:lang w:val="sr-Cyrl-RS"/>
              </w:rPr>
            </w:pPr>
            <w:r>
              <w:rPr>
                <w:rFonts w:ascii="Arial" w:eastAsia="Times New Roman" w:hAnsi="Arial" w:cs="Arial"/>
                <w:b/>
                <w:bCs/>
                <w:i/>
                <w:iCs/>
                <w:sz w:val="21"/>
                <w:szCs w:val="21"/>
              </w:rPr>
              <w:t>V</w:t>
            </w:r>
            <w:r w:rsidR="00EA0FD7" w:rsidRPr="00EA0FD7">
              <w:rPr>
                <w:rFonts w:ascii="Arial" w:eastAsia="Times New Roman" w:hAnsi="Arial" w:cs="Arial"/>
                <w:b/>
                <w:bCs/>
                <w:i/>
                <w:iCs/>
                <w:sz w:val="21"/>
                <w:szCs w:val="21"/>
                <w:lang w:val="sr-Cyrl-RS"/>
              </w:rPr>
              <w:t xml:space="preserve"> </w:t>
            </w:r>
            <w:r w:rsidR="00EA0FD7" w:rsidRPr="00EA0FD7">
              <w:rPr>
                <w:rFonts w:ascii="Arial" w:eastAsia="Times New Roman" w:hAnsi="Arial" w:cs="Arial"/>
                <w:b/>
                <w:bCs/>
                <w:sz w:val="21"/>
                <w:szCs w:val="21"/>
                <w:lang w:val="sr-Cyrl-RS"/>
              </w:rPr>
              <w:t>ФИНАНСИРАЊЕ</w:t>
            </w:r>
          </w:p>
        </w:tc>
        <w:tc>
          <w:tcPr>
            <w:tcW w:w="1660" w:type="dxa"/>
            <w:tcBorders>
              <w:top w:val="nil"/>
              <w:left w:val="nil"/>
              <w:bottom w:val="single" w:sz="8" w:space="0" w:color="auto"/>
              <w:right w:val="single" w:sz="8" w:space="0" w:color="auto"/>
            </w:tcBorders>
            <w:shd w:val="clear" w:color="auto" w:fill="FFFFFF"/>
            <w:vAlign w:val="bottom"/>
            <w:hideMark/>
          </w:tcPr>
          <w:p w14:paraId="6EE0D3E3"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8,794,836.48</w:t>
            </w:r>
          </w:p>
        </w:tc>
        <w:tc>
          <w:tcPr>
            <w:tcW w:w="1660" w:type="dxa"/>
            <w:tcBorders>
              <w:top w:val="nil"/>
              <w:left w:val="nil"/>
              <w:bottom w:val="single" w:sz="8" w:space="0" w:color="auto"/>
              <w:right w:val="single" w:sz="8" w:space="0" w:color="auto"/>
            </w:tcBorders>
            <w:shd w:val="clear" w:color="auto" w:fill="FFFFFF"/>
            <w:vAlign w:val="bottom"/>
            <w:hideMark/>
          </w:tcPr>
          <w:p w14:paraId="422DAA65"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34,253,309.89</w:t>
            </w:r>
          </w:p>
        </w:tc>
        <w:tc>
          <w:tcPr>
            <w:tcW w:w="1660" w:type="dxa"/>
            <w:tcBorders>
              <w:top w:val="nil"/>
              <w:left w:val="nil"/>
              <w:bottom w:val="single" w:sz="8" w:space="0" w:color="auto"/>
              <w:right w:val="single" w:sz="8" w:space="0" w:color="auto"/>
            </w:tcBorders>
            <w:shd w:val="clear" w:color="auto" w:fill="FFFFFF"/>
            <w:vAlign w:val="bottom"/>
            <w:hideMark/>
          </w:tcPr>
          <w:p w14:paraId="6CEEB324"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6,420,000.00</w:t>
            </w:r>
          </w:p>
        </w:tc>
        <w:tc>
          <w:tcPr>
            <w:tcW w:w="1660" w:type="dxa"/>
            <w:tcBorders>
              <w:top w:val="nil"/>
              <w:left w:val="nil"/>
              <w:bottom w:val="single" w:sz="8" w:space="0" w:color="auto"/>
              <w:right w:val="single" w:sz="8" w:space="0" w:color="auto"/>
            </w:tcBorders>
            <w:shd w:val="clear" w:color="auto" w:fill="FFFFFF"/>
            <w:vAlign w:val="bottom"/>
            <w:hideMark/>
          </w:tcPr>
          <w:p w14:paraId="1C5B4CBD"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6,360,000.00</w:t>
            </w:r>
          </w:p>
        </w:tc>
        <w:tc>
          <w:tcPr>
            <w:tcW w:w="1660" w:type="dxa"/>
            <w:tcBorders>
              <w:top w:val="nil"/>
              <w:left w:val="nil"/>
              <w:bottom w:val="single" w:sz="8" w:space="0" w:color="auto"/>
              <w:right w:val="single" w:sz="8" w:space="0" w:color="auto"/>
            </w:tcBorders>
            <w:shd w:val="clear" w:color="auto" w:fill="FFFFFF"/>
            <w:vAlign w:val="bottom"/>
            <w:hideMark/>
          </w:tcPr>
          <w:p w14:paraId="759BAE6C" w14:textId="77777777" w:rsidR="00EA0FD7" w:rsidRPr="00EA0FD7" w:rsidRDefault="00EA0FD7" w:rsidP="00EA0FD7">
            <w:pPr>
              <w:spacing w:after="0" w:line="240" w:lineRule="auto"/>
              <w:jc w:val="right"/>
              <w:rPr>
                <w:rFonts w:ascii="Arial" w:eastAsia="Times New Roman" w:hAnsi="Arial" w:cs="Arial"/>
                <w:b/>
                <w:bCs/>
                <w:i/>
                <w:iCs/>
                <w:lang w:val="sr-Cyrl-RS"/>
              </w:rPr>
            </w:pPr>
            <w:r w:rsidRPr="00EA0FD7">
              <w:rPr>
                <w:rFonts w:ascii="Arial" w:eastAsia="Times New Roman" w:hAnsi="Arial" w:cs="Arial"/>
                <w:b/>
                <w:bCs/>
                <w:i/>
                <w:iCs/>
                <w:lang w:val="sr-Cyrl-RS"/>
              </w:rPr>
              <w:t>6,290,000.00</w:t>
            </w:r>
          </w:p>
        </w:tc>
      </w:tr>
      <w:tr w:rsidR="00EA0FD7" w:rsidRPr="00EA0FD7" w14:paraId="19408842" w14:textId="77777777" w:rsidTr="00EA0FD7">
        <w:trPr>
          <w:trHeight w:val="900"/>
        </w:trPr>
        <w:tc>
          <w:tcPr>
            <w:tcW w:w="1860" w:type="dxa"/>
            <w:tcBorders>
              <w:top w:val="nil"/>
              <w:left w:val="single" w:sz="8" w:space="0" w:color="auto"/>
              <w:bottom w:val="single" w:sz="8" w:space="0" w:color="auto"/>
              <w:right w:val="single" w:sz="8" w:space="0" w:color="auto"/>
            </w:tcBorders>
            <w:shd w:val="clear" w:color="auto" w:fill="FFFFFF"/>
            <w:vAlign w:val="center"/>
            <w:hideMark/>
          </w:tcPr>
          <w:p w14:paraId="5FF38792" w14:textId="77777777" w:rsidR="00EA0FD7" w:rsidRPr="00EA0FD7" w:rsidRDefault="00EA0FD7" w:rsidP="00EA0FD7">
            <w:pPr>
              <w:spacing w:after="0" w:line="240" w:lineRule="auto"/>
              <w:rPr>
                <w:rFonts w:ascii="Arial" w:eastAsia="Times New Roman" w:hAnsi="Arial" w:cs="Arial"/>
                <w:b/>
                <w:bCs/>
                <w:lang w:val="sr-Cyrl-RS"/>
              </w:rPr>
            </w:pPr>
            <w:r w:rsidRPr="00EA0FD7">
              <w:rPr>
                <w:rFonts w:ascii="Arial" w:eastAsia="Times New Roman" w:hAnsi="Arial" w:cs="Arial"/>
                <w:b/>
                <w:bCs/>
                <w:lang w:val="sr-Cyrl-RS"/>
              </w:rPr>
              <w:t>УКУПНО ЈАВНИ ПРИХОДИ И ФИНАНСИРАЊЕ</w:t>
            </w:r>
          </w:p>
        </w:tc>
        <w:tc>
          <w:tcPr>
            <w:tcW w:w="1660" w:type="dxa"/>
            <w:tcBorders>
              <w:top w:val="nil"/>
              <w:left w:val="nil"/>
              <w:bottom w:val="single" w:sz="8" w:space="0" w:color="auto"/>
              <w:right w:val="single" w:sz="8" w:space="0" w:color="auto"/>
            </w:tcBorders>
            <w:shd w:val="clear" w:color="auto" w:fill="FFFFFF"/>
            <w:vAlign w:val="bottom"/>
            <w:hideMark/>
          </w:tcPr>
          <w:p w14:paraId="1CA4DF5B" w14:textId="77777777" w:rsidR="00EA0FD7" w:rsidRPr="00EA0FD7" w:rsidRDefault="00EA0FD7" w:rsidP="00EA0FD7">
            <w:pPr>
              <w:spacing w:after="0" w:line="240" w:lineRule="auto"/>
              <w:jc w:val="right"/>
              <w:rPr>
                <w:rFonts w:ascii="Arial" w:eastAsia="Times New Roman" w:hAnsi="Arial" w:cs="Arial"/>
                <w:b/>
                <w:bCs/>
                <w:lang w:val="sr-Cyrl-RS"/>
              </w:rPr>
            </w:pPr>
            <w:r w:rsidRPr="00EA0FD7">
              <w:rPr>
                <w:rFonts w:ascii="Arial" w:eastAsia="Times New Roman" w:hAnsi="Arial" w:cs="Arial"/>
                <w:b/>
                <w:bCs/>
                <w:lang w:val="sr-Cyrl-RS"/>
              </w:rPr>
              <w:t>283,552,324.02</w:t>
            </w:r>
          </w:p>
        </w:tc>
        <w:tc>
          <w:tcPr>
            <w:tcW w:w="1660" w:type="dxa"/>
            <w:tcBorders>
              <w:top w:val="nil"/>
              <w:left w:val="nil"/>
              <w:bottom w:val="single" w:sz="8" w:space="0" w:color="auto"/>
              <w:right w:val="single" w:sz="8" w:space="0" w:color="auto"/>
            </w:tcBorders>
            <w:shd w:val="clear" w:color="auto" w:fill="FFFFFF"/>
            <w:vAlign w:val="bottom"/>
            <w:hideMark/>
          </w:tcPr>
          <w:p w14:paraId="7C196E70" w14:textId="77777777" w:rsidR="00EA0FD7" w:rsidRPr="00EA0FD7" w:rsidRDefault="00EA0FD7" w:rsidP="00EA0FD7">
            <w:pPr>
              <w:spacing w:after="0" w:line="240" w:lineRule="auto"/>
              <w:jc w:val="right"/>
              <w:rPr>
                <w:rFonts w:ascii="Arial" w:eastAsia="Times New Roman" w:hAnsi="Arial" w:cs="Arial"/>
                <w:b/>
                <w:bCs/>
                <w:lang w:val="sr-Cyrl-RS"/>
              </w:rPr>
            </w:pPr>
            <w:r w:rsidRPr="00EA0FD7">
              <w:rPr>
                <w:rFonts w:ascii="Arial" w:eastAsia="Times New Roman" w:hAnsi="Arial" w:cs="Arial"/>
                <w:b/>
                <w:bCs/>
                <w:lang w:val="sr-Cyrl-RS"/>
              </w:rPr>
              <w:t>304,506,155.51</w:t>
            </w:r>
          </w:p>
        </w:tc>
        <w:tc>
          <w:tcPr>
            <w:tcW w:w="1660" w:type="dxa"/>
            <w:tcBorders>
              <w:top w:val="nil"/>
              <w:left w:val="nil"/>
              <w:bottom w:val="single" w:sz="8" w:space="0" w:color="auto"/>
              <w:right w:val="single" w:sz="8" w:space="0" w:color="auto"/>
            </w:tcBorders>
            <w:shd w:val="clear" w:color="auto" w:fill="FFFFFF"/>
            <w:vAlign w:val="bottom"/>
            <w:hideMark/>
          </w:tcPr>
          <w:p w14:paraId="76AEAA5B" w14:textId="77777777" w:rsidR="00EA0FD7" w:rsidRPr="00EA0FD7" w:rsidRDefault="00EA0FD7" w:rsidP="00EA0FD7">
            <w:pPr>
              <w:spacing w:after="0" w:line="240" w:lineRule="auto"/>
              <w:jc w:val="right"/>
              <w:rPr>
                <w:rFonts w:ascii="Arial" w:eastAsia="Times New Roman" w:hAnsi="Arial" w:cs="Arial"/>
                <w:b/>
                <w:bCs/>
                <w:lang w:val="sr-Cyrl-RS"/>
              </w:rPr>
            </w:pPr>
            <w:r w:rsidRPr="00EA0FD7">
              <w:rPr>
                <w:rFonts w:ascii="Arial" w:eastAsia="Times New Roman" w:hAnsi="Arial" w:cs="Arial"/>
                <w:b/>
                <w:bCs/>
                <w:lang w:val="sr-Cyrl-RS"/>
              </w:rPr>
              <w:t>315,408,147.00</w:t>
            </w:r>
          </w:p>
        </w:tc>
        <w:tc>
          <w:tcPr>
            <w:tcW w:w="1660" w:type="dxa"/>
            <w:tcBorders>
              <w:top w:val="nil"/>
              <w:left w:val="nil"/>
              <w:bottom w:val="single" w:sz="8" w:space="0" w:color="auto"/>
              <w:right w:val="single" w:sz="8" w:space="0" w:color="auto"/>
            </w:tcBorders>
            <w:shd w:val="clear" w:color="auto" w:fill="FFFFFF"/>
            <w:vAlign w:val="bottom"/>
            <w:hideMark/>
          </w:tcPr>
          <w:p w14:paraId="25CA6603" w14:textId="77777777" w:rsidR="00EA0FD7" w:rsidRPr="00EA0FD7" w:rsidRDefault="00EA0FD7" w:rsidP="00EA0FD7">
            <w:pPr>
              <w:spacing w:after="0" w:line="240" w:lineRule="auto"/>
              <w:jc w:val="right"/>
              <w:rPr>
                <w:rFonts w:ascii="Arial" w:eastAsia="Times New Roman" w:hAnsi="Arial" w:cs="Arial"/>
                <w:b/>
                <w:bCs/>
                <w:lang w:val="sr-Cyrl-RS"/>
              </w:rPr>
            </w:pPr>
            <w:r w:rsidRPr="00EA0FD7">
              <w:rPr>
                <w:rFonts w:ascii="Arial" w:eastAsia="Times New Roman" w:hAnsi="Arial" w:cs="Arial"/>
                <w:b/>
                <w:bCs/>
                <w:lang w:val="sr-Cyrl-RS"/>
              </w:rPr>
              <w:t>323,054,470.00</w:t>
            </w:r>
          </w:p>
        </w:tc>
        <w:tc>
          <w:tcPr>
            <w:tcW w:w="1660" w:type="dxa"/>
            <w:tcBorders>
              <w:top w:val="nil"/>
              <w:left w:val="nil"/>
              <w:bottom w:val="single" w:sz="8" w:space="0" w:color="auto"/>
              <w:right w:val="single" w:sz="8" w:space="0" w:color="auto"/>
            </w:tcBorders>
            <w:shd w:val="clear" w:color="auto" w:fill="FFFFFF"/>
            <w:vAlign w:val="bottom"/>
            <w:hideMark/>
          </w:tcPr>
          <w:p w14:paraId="60B84BCB" w14:textId="77777777" w:rsidR="00EA0FD7" w:rsidRPr="00EA0FD7" w:rsidRDefault="00EA0FD7" w:rsidP="00EA0FD7">
            <w:pPr>
              <w:spacing w:after="0" w:line="240" w:lineRule="auto"/>
              <w:jc w:val="right"/>
              <w:rPr>
                <w:rFonts w:ascii="Arial" w:eastAsia="Times New Roman" w:hAnsi="Arial" w:cs="Arial"/>
                <w:b/>
                <w:bCs/>
                <w:lang w:val="sr-Cyrl-RS"/>
              </w:rPr>
            </w:pPr>
            <w:r w:rsidRPr="00EA0FD7">
              <w:rPr>
                <w:rFonts w:ascii="Arial" w:eastAsia="Times New Roman" w:hAnsi="Arial" w:cs="Arial"/>
                <w:b/>
                <w:bCs/>
                <w:lang w:val="sr-Cyrl-RS"/>
              </w:rPr>
              <w:t>331,334,450.00</w:t>
            </w:r>
          </w:p>
        </w:tc>
      </w:tr>
    </w:tbl>
    <w:p w14:paraId="5BB819D3" w14:textId="77777777" w:rsidR="00EA0FD7" w:rsidRPr="00EA0FD7" w:rsidRDefault="00EA0FD7" w:rsidP="00EA0FD7">
      <w:pPr>
        <w:spacing w:after="0" w:line="240" w:lineRule="auto"/>
        <w:jc w:val="both"/>
        <w:rPr>
          <w:rFonts w:ascii="Times New Roman" w:eastAsia="Times New Roman" w:hAnsi="Times New Roman" w:cs="Times New Roman"/>
          <w:b/>
          <w:bCs/>
          <w:sz w:val="18"/>
          <w:szCs w:val="18"/>
          <w:lang w:val="sr-Cyrl-RS" w:eastAsia="hr-HR"/>
        </w:rPr>
      </w:pPr>
    </w:p>
    <w:p w14:paraId="40C3A94A" w14:textId="77777777" w:rsidR="00EA0FD7" w:rsidRPr="00EA0FD7" w:rsidRDefault="00EA0FD7" w:rsidP="00EA0FD7">
      <w:pPr>
        <w:spacing w:after="0" w:line="240" w:lineRule="auto"/>
        <w:jc w:val="both"/>
        <w:rPr>
          <w:rFonts w:ascii="Times New Roman" w:eastAsia="Times New Roman" w:hAnsi="Times New Roman" w:cs="Times New Roman"/>
          <w:b/>
          <w:bCs/>
          <w:sz w:val="18"/>
          <w:szCs w:val="18"/>
          <w:lang w:val="sr-Cyrl-RS" w:eastAsia="hr-HR"/>
        </w:rPr>
      </w:pPr>
    </w:p>
    <w:p w14:paraId="2D425C78" w14:textId="77777777" w:rsidR="00EA0FD7" w:rsidRPr="00EA0FD7" w:rsidRDefault="00EA0FD7" w:rsidP="00EA0FD7">
      <w:pPr>
        <w:spacing w:after="0" w:line="240" w:lineRule="auto"/>
        <w:jc w:val="both"/>
        <w:rPr>
          <w:rFonts w:ascii="Times New Roman" w:eastAsia="Times New Roman" w:hAnsi="Times New Roman" w:cs="Times New Roman"/>
          <w:b/>
          <w:bCs/>
          <w:sz w:val="27"/>
          <w:szCs w:val="27"/>
          <w:lang w:val="sr-Cyrl-RS" w:eastAsia="hr-HR"/>
        </w:rPr>
      </w:pPr>
    </w:p>
    <w:p w14:paraId="65E2203D" w14:textId="77777777" w:rsidR="00EA0FD7" w:rsidRPr="00EA0FD7" w:rsidRDefault="00EA0FD7" w:rsidP="00EA0FD7">
      <w:pPr>
        <w:spacing w:after="0" w:line="240" w:lineRule="auto"/>
        <w:jc w:val="both"/>
        <w:rPr>
          <w:rFonts w:ascii="Times New Roman" w:eastAsia="Times New Roman" w:hAnsi="Times New Roman" w:cs="Times New Roman"/>
          <w:b/>
          <w:bCs/>
          <w:sz w:val="27"/>
          <w:szCs w:val="27"/>
          <w:lang w:val="sr-Cyrl-RS" w:eastAsia="hr-HR"/>
        </w:rPr>
      </w:pPr>
    </w:p>
    <w:p w14:paraId="2EFBAA4A"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07C0A277"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042570F2"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2B6AB2DB"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375C4537"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69D817A9"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22108F94"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7060EACB"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511C5944"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479978B8"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65B8FDB6"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04EA2B47"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268AF572"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3BF6E829"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0A354D42"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39E180B8"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1B13DEF9"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645DBEE9"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7B71E348"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5B293DE9"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5838FE1E"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1D79A303"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5E6F62F5"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72344C09"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5B55D8D9"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076CE61C"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77C47B83"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47C34B66"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2A3056CE"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1B7EF302"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6C8B2C2F" w14:textId="77777777" w:rsidR="00752F04" w:rsidRDefault="00752F04" w:rsidP="00EA0FD7">
      <w:pPr>
        <w:spacing w:after="0" w:line="240" w:lineRule="auto"/>
        <w:jc w:val="both"/>
        <w:rPr>
          <w:rFonts w:ascii="Times New Roman" w:eastAsia="Times New Roman" w:hAnsi="Times New Roman" w:cs="Times New Roman"/>
          <w:b/>
          <w:bCs/>
          <w:sz w:val="24"/>
          <w:szCs w:val="24"/>
          <w:lang w:val="sr-Cyrl-RS" w:eastAsia="hr-HR"/>
        </w:rPr>
      </w:pPr>
    </w:p>
    <w:p w14:paraId="703D42DB" w14:textId="4901FE72"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bCs/>
          <w:sz w:val="24"/>
          <w:szCs w:val="24"/>
          <w:lang w:val="sr-Cyrl-RS" w:eastAsia="hr-HR"/>
        </w:rPr>
        <w:lastRenderedPageBreak/>
        <w:t xml:space="preserve">ПОГЛАВЉЕ 4:  ПРОБЛЕМАТИКА ПОТРОШЊЕ У ЈАВНОМ СЕКТОРУ </w:t>
      </w:r>
    </w:p>
    <w:p w14:paraId="6D488E01" w14:textId="77777777" w:rsidR="00752F04" w:rsidRDefault="00752F04" w:rsidP="00EA0FD7">
      <w:pPr>
        <w:spacing w:after="0" w:line="240" w:lineRule="auto"/>
        <w:ind w:firstLine="720"/>
        <w:jc w:val="both"/>
        <w:rPr>
          <w:rFonts w:ascii="Times New Roman" w:eastAsia="Times New Roman" w:hAnsi="Times New Roman" w:cs="Times New Roman"/>
          <w:sz w:val="24"/>
          <w:lang w:val="sr-Cyrl-RS" w:eastAsia="hr-HR"/>
        </w:rPr>
      </w:pPr>
    </w:p>
    <w:p w14:paraId="5B5ADB0B" w14:textId="18040535" w:rsidR="00EA0FD7" w:rsidRPr="00EA0FD7" w:rsidRDefault="00EA0FD7" w:rsidP="00EA0FD7">
      <w:pPr>
        <w:spacing w:after="0" w:line="240" w:lineRule="auto"/>
        <w:ind w:firstLine="720"/>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У овом поглављу су сажета најважнија питања из области управљања средствима јавног сектора која утичу на буџет Брчко дистрикта БиХ. </w:t>
      </w:r>
    </w:p>
    <w:p w14:paraId="479213EE" w14:textId="77777777" w:rsidR="00EA0FD7" w:rsidRPr="00EA0FD7" w:rsidRDefault="00EA0FD7" w:rsidP="00EA0FD7">
      <w:pPr>
        <w:spacing w:after="0" w:line="240" w:lineRule="auto"/>
        <w:ind w:firstLine="720"/>
        <w:jc w:val="both"/>
        <w:rPr>
          <w:rFonts w:ascii="Times New Roman" w:eastAsia="Times New Roman" w:hAnsi="Times New Roman" w:cs="Times New Roman"/>
          <w:sz w:val="24"/>
          <w:lang w:val="sr-Cyrl-RS" w:eastAsia="hr-HR"/>
        </w:rPr>
      </w:pPr>
    </w:p>
    <w:p w14:paraId="4A13709F"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У овом поглављу се анализирају и дају препоруке по питању структуре годишњег буџета, у вези с потрошњом на бруто плате и доприносе, накнаде трошкова запослених, расходе за материјал, робе, ситан инвентар и услуге,  текуће и капиталне трансфере, донације и субвенције, капитални буџет, отплату дуга, судске пресуде и рјешења, судска и вансудска поравнања, као и планираних средстава резерве.</w:t>
      </w:r>
    </w:p>
    <w:p w14:paraId="66D45176" w14:textId="77777777" w:rsidR="00EA0FD7" w:rsidRPr="00EA0FD7" w:rsidRDefault="00EA0FD7" w:rsidP="00EA0FD7">
      <w:pPr>
        <w:spacing w:after="0" w:line="240" w:lineRule="auto"/>
        <w:ind w:firstLine="720"/>
        <w:jc w:val="both"/>
        <w:rPr>
          <w:rFonts w:ascii="Times New Roman" w:eastAsia="Times New Roman" w:hAnsi="Times New Roman" w:cs="Times New Roman"/>
          <w:b/>
          <w:bCs/>
          <w:iCs/>
          <w:sz w:val="24"/>
          <w:szCs w:val="24"/>
          <w:lang w:val="sr-Cyrl-RS" w:eastAsia="hr-HR"/>
        </w:rPr>
      </w:pPr>
      <w:bookmarkStart w:id="95" w:name="_Toc152056763"/>
    </w:p>
    <w:p w14:paraId="7A460391" w14:textId="77777777" w:rsidR="00EA0FD7" w:rsidRPr="00EA0FD7" w:rsidRDefault="00EA0FD7" w:rsidP="00EA0FD7">
      <w:pPr>
        <w:spacing w:after="0" w:line="240" w:lineRule="auto"/>
        <w:ind w:firstLine="720"/>
        <w:jc w:val="both"/>
        <w:rPr>
          <w:rFonts w:ascii="Times New Roman" w:eastAsia="Times New Roman" w:hAnsi="Times New Roman" w:cs="Times New Roman"/>
          <w:b/>
          <w:bCs/>
          <w:iCs/>
          <w:sz w:val="24"/>
          <w:szCs w:val="24"/>
          <w:lang w:val="sr-Cyrl-RS" w:eastAsia="hr-HR"/>
        </w:rPr>
      </w:pPr>
      <w:r w:rsidRPr="00EA0FD7">
        <w:rPr>
          <w:rFonts w:ascii="Times New Roman" w:eastAsia="Times New Roman" w:hAnsi="Times New Roman" w:cs="Times New Roman"/>
          <w:b/>
          <w:bCs/>
          <w:iCs/>
          <w:sz w:val="24"/>
          <w:szCs w:val="24"/>
          <w:lang w:val="sr-Cyrl-RS" w:eastAsia="hr-HR"/>
        </w:rPr>
        <w:t xml:space="preserve"> </w:t>
      </w:r>
    </w:p>
    <w:p w14:paraId="6B03BA80" w14:textId="77777777" w:rsidR="00EA0FD7" w:rsidRPr="00EA0FD7" w:rsidRDefault="00EA0FD7" w:rsidP="00EA0FD7">
      <w:pPr>
        <w:spacing w:after="0" w:line="240" w:lineRule="auto"/>
        <w:jc w:val="both"/>
        <w:rPr>
          <w:rFonts w:ascii="Times New Roman" w:eastAsia="Times New Roman" w:hAnsi="Times New Roman" w:cs="Times New Roman"/>
          <w:b/>
          <w:bCs/>
          <w:iCs/>
          <w:sz w:val="24"/>
          <w:szCs w:val="24"/>
          <w:lang w:val="sr-Cyrl-RS" w:eastAsia="hr-HR"/>
        </w:rPr>
      </w:pPr>
      <w:r w:rsidRPr="00EA0FD7">
        <w:rPr>
          <w:rFonts w:ascii="Times New Roman" w:eastAsia="Times New Roman" w:hAnsi="Times New Roman" w:cs="Times New Roman"/>
          <w:b/>
          <w:bCs/>
          <w:iCs/>
          <w:sz w:val="24"/>
          <w:szCs w:val="24"/>
          <w:lang w:val="sr-Cyrl-RS" w:eastAsia="hr-HR"/>
        </w:rPr>
        <w:t>Бруто плате и доприноси</w:t>
      </w:r>
    </w:p>
    <w:p w14:paraId="09169ED7" w14:textId="77777777" w:rsidR="00EA0FD7" w:rsidRPr="00EA0FD7" w:rsidRDefault="00EA0FD7" w:rsidP="00EA0FD7">
      <w:pPr>
        <w:spacing w:after="0" w:line="240" w:lineRule="auto"/>
        <w:ind w:firstLine="720"/>
        <w:jc w:val="both"/>
        <w:rPr>
          <w:rFonts w:ascii="Times New Roman" w:eastAsia="Times New Roman" w:hAnsi="Times New Roman" w:cs="Times New Roman"/>
          <w:sz w:val="24"/>
          <w:szCs w:val="24"/>
          <w:lang w:val="sr-Cyrl-RS" w:eastAsia="hr-HR"/>
        </w:rPr>
      </w:pPr>
    </w:p>
    <w:p w14:paraId="43D84598" w14:textId="77777777" w:rsidR="00EA0FD7" w:rsidRPr="00EA0FD7" w:rsidRDefault="00EA0FD7" w:rsidP="00EA0FD7">
      <w:pPr>
        <w:spacing w:after="0" w:line="240" w:lineRule="auto"/>
        <w:ind w:firstLine="720"/>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Укупна очекивана потрошња за бруто плате и доприносе буџетских корисника у 2023. години износи 94.934.128 КМ, што представља 34,14% од укупно планиране потрошње у 2023. години, а што је за 3.638.141 КМ више у односу на планирана средства за 2022. годину.</w:t>
      </w:r>
    </w:p>
    <w:p w14:paraId="5AF2A77E"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Бруто плате запослених у 2023. години планиране су на нивоу пуне попуњености позиција (попуњеност на 12 мјесеци) одобрених Буџетом и измјеном буџета за 2022. годину.  </w:t>
      </w:r>
    </w:p>
    <w:p w14:paraId="2A106D5C"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53401B11"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Број запослених у 2023. години је планиран у броју од 3.114. </w:t>
      </w:r>
    </w:p>
    <w:p w14:paraId="5D5B414D"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10E516EB"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Средства планирана за бруто плате и доприносе у 2024. години износе 95.050.608 КМ што представља 33,26% од укупно планиране потрошње у 2024. години, а у 2025. години износе 95.254.714 КМ што представља 32,40% од укупно планиране потрошње у 2025. години.</w:t>
      </w:r>
    </w:p>
    <w:p w14:paraId="3FACF715"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698FC5EE" w14:textId="137CAEB5"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Процентуално учешће буџетских корисника у укупним средствима за бруто плате и доприносе за 2023. годину је приказано у Графикону 4.1, а број запослених у периоду 2021–2025. године у Табели 4.1.</w:t>
      </w:r>
    </w:p>
    <w:p w14:paraId="792D8EF7" w14:textId="77777777" w:rsidR="00EA0FD7" w:rsidRPr="00EA0FD7" w:rsidRDefault="00EA0FD7" w:rsidP="00EA0FD7">
      <w:pPr>
        <w:spacing w:after="0" w:line="240" w:lineRule="auto"/>
        <w:rPr>
          <w:rFonts w:ascii="Times New Roman" w:eastAsia="Times New Roman" w:hAnsi="Times New Roman" w:cs="Times New Roman"/>
          <w:sz w:val="24"/>
          <w:lang w:val="sr-Cyrl-RS" w:eastAsia="hr-HR"/>
        </w:rPr>
      </w:pPr>
      <w:r w:rsidRPr="00EA0FD7">
        <w:rPr>
          <w:rFonts w:ascii="Times New Roman" w:eastAsia="Times New Roman" w:hAnsi="Times New Roman" w:cs="Times New Roman"/>
          <w:b/>
          <w:sz w:val="24"/>
          <w:lang w:val="sr-Cyrl-RS" w:eastAsia="hr-HR"/>
        </w:rPr>
        <w:t xml:space="preserve">Графикон 4.1.  </w:t>
      </w:r>
      <w:r w:rsidRPr="00EA0FD7">
        <w:rPr>
          <w:rFonts w:ascii="Times New Roman" w:eastAsia="Times New Roman" w:hAnsi="Times New Roman" w:cs="Times New Roman"/>
          <w:sz w:val="24"/>
          <w:lang w:val="sr-Cyrl-RS" w:eastAsia="hr-HR"/>
        </w:rPr>
        <w:t>Учешће буџетских корисника у укупним средствима за плате у 2023. години</w:t>
      </w:r>
    </w:p>
    <w:p w14:paraId="521C9598" w14:textId="3147106D" w:rsidR="00EA0FD7" w:rsidRPr="00752F04" w:rsidRDefault="00EA0FD7" w:rsidP="00EA0FD7">
      <w:pPr>
        <w:spacing w:after="0" w:line="240" w:lineRule="auto"/>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3FE8542A" wp14:editId="4EF1B443">
            <wp:extent cx="5830570" cy="3936365"/>
            <wp:effectExtent l="0" t="0" r="0" b="698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30570" cy="3936365"/>
                    </a:xfrm>
                    <a:prstGeom prst="rect">
                      <a:avLst/>
                    </a:prstGeom>
                    <a:noFill/>
                    <a:ln>
                      <a:noFill/>
                    </a:ln>
                  </pic:spPr>
                </pic:pic>
              </a:graphicData>
            </a:graphic>
          </wp:inline>
        </w:drawing>
      </w:r>
    </w:p>
    <w:p w14:paraId="2DA3DA7C"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szCs w:val="24"/>
          <w:lang w:val="sr-Cyrl-RS" w:eastAsia="hr-HR"/>
        </w:rPr>
        <w:lastRenderedPageBreak/>
        <w:t xml:space="preserve">Табела 4.1. </w:t>
      </w:r>
      <w:r w:rsidRPr="00EA0FD7">
        <w:rPr>
          <w:rFonts w:ascii="Times New Roman" w:eastAsia="Times New Roman" w:hAnsi="Times New Roman" w:cs="Times New Roman"/>
          <w:sz w:val="24"/>
          <w:szCs w:val="24"/>
          <w:lang w:val="sr-Cyrl-RS" w:eastAsia="hr-HR"/>
        </w:rPr>
        <w:t>Број запослених по буџетским корисницима 2021–2025. године</w:t>
      </w:r>
    </w:p>
    <w:tbl>
      <w:tblPr>
        <w:tblW w:w="9309" w:type="dxa"/>
        <w:tblInd w:w="93" w:type="dxa"/>
        <w:tblLook w:val="04A0" w:firstRow="1" w:lastRow="0" w:firstColumn="1" w:lastColumn="0" w:noHBand="0" w:noVBand="1"/>
      </w:tblPr>
      <w:tblGrid>
        <w:gridCol w:w="633"/>
        <w:gridCol w:w="3100"/>
        <w:gridCol w:w="1375"/>
        <w:gridCol w:w="1375"/>
        <w:gridCol w:w="1007"/>
        <w:gridCol w:w="1007"/>
        <w:gridCol w:w="1007"/>
      </w:tblGrid>
      <w:tr w:rsidR="00EA0FD7" w:rsidRPr="00EA0FD7" w14:paraId="6F25DA7F" w14:textId="77777777" w:rsidTr="00EA0FD7">
        <w:trPr>
          <w:trHeight w:val="855"/>
        </w:trPr>
        <w:tc>
          <w:tcPr>
            <w:tcW w:w="628" w:type="dxa"/>
            <w:vMerge w:val="restart"/>
            <w:tcBorders>
              <w:top w:val="single" w:sz="8" w:space="0" w:color="auto"/>
              <w:left w:val="single" w:sz="8" w:space="0" w:color="auto"/>
              <w:bottom w:val="single" w:sz="8" w:space="0" w:color="auto"/>
              <w:right w:val="single" w:sz="8" w:space="0" w:color="auto"/>
            </w:tcBorders>
            <w:shd w:val="clear" w:color="auto" w:fill="969696"/>
            <w:vAlign w:val="center"/>
            <w:hideMark/>
          </w:tcPr>
          <w:p w14:paraId="0201A0F7"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eastAsia="hr-HR"/>
              </w:rPr>
            </w:pPr>
            <w:r w:rsidRPr="00EA0FD7">
              <w:rPr>
                <w:rFonts w:ascii="Arial" w:eastAsia="Times New Roman" w:hAnsi="Arial" w:cs="Arial"/>
                <w:b/>
                <w:bCs/>
                <w:color w:val="FFFFFF"/>
                <w:sz w:val="20"/>
                <w:szCs w:val="20"/>
                <w:lang w:val="sr-Cyrl-RS" w:eastAsia="hr-HR"/>
              </w:rPr>
              <w:t>Орг. Код</w:t>
            </w:r>
          </w:p>
        </w:tc>
        <w:tc>
          <w:tcPr>
            <w:tcW w:w="3100" w:type="dxa"/>
            <w:vMerge w:val="restart"/>
            <w:tcBorders>
              <w:top w:val="single" w:sz="8" w:space="0" w:color="auto"/>
              <w:left w:val="single" w:sz="8" w:space="0" w:color="auto"/>
              <w:bottom w:val="single" w:sz="8" w:space="0" w:color="auto"/>
              <w:right w:val="single" w:sz="8" w:space="0" w:color="auto"/>
            </w:tcBorders>
            <w:shd w:val="clear" w:color="auto" w:fill="969696"/>
            <w:noWrap/>
            <w:vAlign w:val="center"/>
            <w:hideMark/>
          </w:tcPr>
          <w:p w14:paraId="1388D603"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eastAsia="hr-HR"/>
              </w:rPr>
            </w:pPr>
            <w:r w:rsidRPr="00EA0FD7">
              <w:rPr>
                <w:rFonts w:ascii="Arial" w:eastAsia="Times New Roman" w:hAnsi="Arial" w:cs="Arial"/>
                <w:b/>
                <w:bCs/>
                <w:color w:val="FFFFFF"/>
                <w:sz w:val="20"/>
                <w:szCs w:val="20"/>
                <w:lang w:val="sr-Cyrl-RS" w:eastAsia="hr-HR"/>
              </w:rPr>
              <w:t>Буџетски корисник</w:t>
            </w:r>
          </w:p>
        </w:tc>
        <w:tc>
          <w:tcPr>
            <w:tcW w:w="1280" w:type="dxa"/>
            <w:vMerge w:val="restart"/>
            <w:tcBorders>
              <w:top w:val="single" w:sz="8" w:space="0" w:color="auto"/>
              <w:left w:val="single" w:sz="8" w:space="0" w:color="auto"/>
              <w:bottom w:val="single" w:sz="8" w:space="0" w:color="auto"/>
              <w:right w:val="single" w:sz="8" w:space="0" w:color="auto"/>
            </w:tcBorders>
            <w:shd w:val="clear" w:color="auto" w:fill="969696"/>
            <w:vAlign w:val="center"/>
            <w:hideMark/>
          </w:tcPr>
          <w:p w14:paraId="0386E000"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eastAsia="hr-HR"/>
              </w:rPr>
            </w:pPr>
            <w:r w:rsidRPr="00EA0FD7">
              <w:rPr>
                <w:rFonts w:ascii="Arial" w:eastAsia="Times New Roman" w:hAnsi="Arial" w:cs="Arial"/>
                <w:b/>
                <w:bCs/>
                <w:color w:val="FFFFFF"/>
                <w:sz w:val="20"/>
                <w:szCs w:val="20"/>
                <w:lang w:val="sr-Cyrl-RS" w:eastAsia="hr-HR"/>
              </w:rPr>
              <w:t>Број запослених  са 31.12.</w:t>
            </w:r>
            <w:r w:rsidRPr="00EA0FD7">
              <w:rPr>
                <w:rFonts w:ascii="Arial" w:eastAsia="Times New Roman" w:hAnsi="Arial" w:cs="Arial"/>
                <w:b/>
                <w:bCs/>
                <w:color w:val="FFFFFF"/>
                <w:sz w:val="20"/>
                <w:szCs w:val="20"/>
                <w:lang w:val="sr-Cyrl-RS" w:eastAsia="hr-HR"/>
              </w:rPr>
              <w:br/>
              <w:t>2021. *</w:t>
            </w:r>
          </w:p>
        </w:tc>
        <w:tc>
          <w:tcPr>
            <w:tcW w:w="1280" w:type="dxa"/>
            <w:vMerge w:val="restart"/>
            <w:tcBorders>
              <w:top w:val="single" w:sz="8" w:space="0" w:color="auto"/>
              <w:left w:val="single" w:sz="8" w:space="0" w:color="auto"/>
              <w:bottom w:val="single" w:sz="8" w:space="0" w:color="auto"/>
              <w:right w:val="single" w:sz="8" w:space="0" w:color="auto"/>
            </w:tcBorders>
            <w:shd w:val="clear" w:color="auto" w:fill="969696"/>
            <w:vAlign w:val="center"/>
            <w:hideMark/>
          </w:tcPr>
          <w:p w14:paraId="684C1F3D" w14:textId="0E4DE1B2" w:rsidR="00EA0FD7" w:rsidRPr="00EA0FD7" w:rsidRDefault="00EA0FD7" w:rsidP="00EA0FD7">
            <w:pPr>
              <w:spacing w:after="0" w:line="240" w:lineRule="auto"/>
              <w:jc w:val="center"/>
              <w:rPr>
                <w:rFonts w:ascii="Arial" w:eastAsia="Times New Roman" w:hAnsi="Arial" w:cs="Arial"/>
                <w:b/>
                <w:bCs/>
                <w:color w:val="FFFFFF"/>
                <w:sz w:val="20"/>
                <w:szCs w:val="20"/>
                <w:lang w:val="sr-Cyrl-RS" w:eastAsia="hr-HR"/>
              </w:rPr>
            </w:pPr>
            <w:r w:rsidRPr="00EA0FD7">
              <w:rPr>
                <w:rFonts w:ascii="Arial" w:eastAsia="Times New Roman" w:hAnsi="Arial" w:cs="Arial"/>
                <w:b/>
                <w:bCs/>
                <w:color w:val="FFFFFF"/>
                <w:sz w:val="20"/>
                <w:szCs w:val="20"/>
                <w:lang w:val="sr-Cyrl-RS" w:eastAsia="hr-HR"/>
              </w:rPr>
              <w:t>Планирани број запослених са 31.</w:t>
            </w:r>
            <w:r w:rsidR="00752F04">
              <w:rPr>
                <w:rFonts w:ascii="Arial" w:eastAsia="Times New Roman" w:hAnsi="Arial" w:cs="Arial"/>
                <w:b/>
                <w:bCs/>
                <w:color w:val="FFFFFF"/>
                <w:sz w:val="20"/>
                <w:szCs w:val="20"/>
                <w:lang w:eastAsia="hr-HR"/>
              </w:rPr>
              <w:t xml:space="preserve"> </w:t>
            </w:r>
            <w:r w:rsidRPr="00EA0FD7">
              <w:rPr>
                <w:rFonts w:ascii="Arial" w:eastAsia="Times New Roman" w:hAnsi="Arial" w:cs="Arial"/>
                <w:b/>
                <w:bCs/>
                <w:color w:val="FFFFFF"/>
                <w:sz w:val="20"/>
                <w:szCs w:val="20"/>
                <w:lang w:val="sr-Cyrl-RS" w:eastAsia="hr-HR"/>
              </w:rPr>
              <w:t>12.</w:t>
            </w:r>
            <w:r w:rsidRPr="00EA0FD7">
              <w:rPr>
                <w:rFonts w:ascii="Arial" w:eastAsia="Times New Roman" w:hAnsi="Arial" w:cs="Arial"/>
                <w:b/>
                <w:bCs/>
                <w:color w:val="FFFFFF"/>
                <w:sz w:val="20"/>
                <w:szCs w:val="20"/>
                <w:lang w:val="sr-Cyrl-RS" w:eastAsia="hr-HR"/>
              </w:rPr>
              <w:br/>
              <w:t>2022.</w:t>
            </w:r>
          </w:p>
        </w:tc>
        <w:tc>
          <w:tcPr>
            <w:tcW w:w="3021" w:type="dxa"/>
            <w:gridSpan w:val="3"/>
            <w:tcBorders>
              <w:top w:val="single" w:sz="8" w:space="0" w:color="auto"/>
              <w:left w:val="nil"/>
              <w:bottom w:val="single" w:sz="8" w:space="0" w:color="auto"/>
              <w:right w:val="single" w:sz="8" w:space="0" w:color="auto"/>
            </w:tcBorders>
            <w:shd w:val="clear" w:color="auto" w:fill="969696"/>
            <w:noWrap/>
            <w:vAlign w:val="center"/>
            <w:hideMark/>
          </w:tcPr>
          <w:p w14:paraId="4B574CB0"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eastAsia="hr-HR"/>
              </w:rPr>
            </w:pPr>
            <w:r w:rsidRPr="00EA0FD7">
              <w:rPr>
                <w:rFonts w:ascii="Arial" w:eastAsia="Times New Roman" w:hAnsi="Arial" w:cs="Arial"/>
                <w:b/>
                <w:bCs/>
                <w:color w:val="FFFFFF"/>
                <w:sz w:val="20"/>
                <w:szCs w:val="20"/>
                <w:lang w:val="sr-Cyrl-RS" w:eastAsia="hr-HR"/>
              </w:rPr>
              <w:t>Пројицирани број запослених</w:t>
            </w:r>
          </w:p>
        </w:tc>
      </w:tr>
      <w:tr w:rsidR="00EA0FD7" w:rsidRPr="00EA0FD7" w14:paraId="02E33FC8" w14:textId="77777777" w:rsidTr="00EA0FD7">
        <w:trPr>
          <w:trHeight w:val="40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A3C1CD2" w14:textId="77777777" w:rsidR="00EA0FD7" w:rsidRPr="00EA0FD7" w:rsidRDefault="00EA0FD7" w:rsidP="00EA0FD7">
            <w:pPr>
              <w:spacing w:after="0" w:line="240" w:lineRule="auto"/>
              <w:rPr>
                <w:rFonts w:ascii="Arial" w:eastAsia="Times New Roman" w:hAnsi="Arial" w:cs="Arial"/>
                <w:b/>
                <w:bCs/>
                <w:color w:val="FFFFFF"/>
                <w:sz w:val="20"/>
                <w:szCs w:val="20"/>
                <w:lang w:val="sr-Cyrl-RS" w:eastAsia="hr-HR"/>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F2A604F" w14:textId="77777777" w:rsidR="00EA0FD7" w:rsidRPr="00EA0FD7" w:rsidRDefault="00EA0FD7" w:rsidP="00EA0FD7">
            <w:pPr>
              <w:spacing w:after="0" w:line="240" w:lineRule="auto"/>
              <w:rPr>
                <w:rFonts w:ascii="Arial" w:eastAsia="Times New Roman" w:hAnsi="Arial" w:cs="Arial"/>
                <w:b/>
                <w:bCs/>
                <w:color w:val="FFFFFF"/>
                <w:sz w:val="20"/>
                <w:szCs w:val="20"/>
                <w:lang w:val="sr-Cyrl-RS" w:eastAsia="hr-HR"/>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7BD7D21" w14:textId="77777777" w:rsidR="00EA0FD7" w:rsidRPr="00EA0FD7" w:rsidRDefault="00EA0FD7" w:rsidP="00EA0FD7">
            <w:pPr>
              <w:spacing w:after="0" w:line="240" w:lineRule="auto"/>
              <w:rPr>
                <w:rFonts w:ascii="Arial" w:eastAsia="Times New Roman" w:hAnsi="Arial" w:cs="Arial"/>
                <w:b/>
                <w:bCs/>
                <w:color w:val="FFFFFF"/>
                <w:sz w:val="20"/>
                <w:szCs w:val="20"/>
                <w:lang w:val="sr-Cyrl-RS" w:eastAsia="hr-HR"/>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B76514C" w14:textId="77777777" w:rsidR="00EA0FD7" w:rsidRPr="00EA0FD7" w:rsidRDefault="00EA0FD7" w:rsidP="00EA0FD7">
            <w:pPr>
              <w:spacing w:after="0" w:line="240" w:lineRule="auto"/>
              <w:rPr>
                <w:rFonts w:ascii="Arial" w:eastAsia="Times New Roman" w:hAnsi="Arial" w:cs="Arial"/>
                <w:b/>
                <w:bCs/>
                <w:color w:val="FFFFFF"/>
                <w:sz w:val="20"/>
                <w:szCs w:val="20"/>
                <w:lang w:val="sr-Cyrl-RS" w:eastAsia="hr-HR"/>
              </w:rPr>
            </w:pPr>
          </w:p>
        </w:tc>
        <w:tc>
          <w:tcPr>
            <w:tcW w:w="1007" w:type="dxa"/>
            <w:tcBorders>
              <w:top w:val="nil"/>
              <w:left w:val="nil"/>
              <w:bottom w:val="single" w:sz="8" w:space="0" w:color="auto"/>
              <w:right w:val="single" w:sz="8" w:space="0" w:color="auto"/>
            </w:tcBorders>
            <w:shd w:val="clear" w:color="auto" w:fill="969696"/>
            <w:noWrap/>
            <w:vAlign w:val="bottom"/>
            <w:hideMark/>
          </w:tcPr>
          <w:p w14:paraId="3519C98B"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eastAsia="hr-HR"/>
              </w:rPr>
            </w:pPr>
            <w:r w:rsidRPr="00EA0FD7">
              <w:rPr>
                <w:rFonts w:ascii="Arial" w:eastAsia="Times New Roman" w:hAnsi="Arial" w:cs="Arial"/>
                <w:b/>
                <w:bCs/>
                <w:color w:val="FFFFFF"/>
                <w:sz w:val="20"/>
                <w:szCs w:val="20"/>
                <w:lang w:val="sr-Cyrl-RS" w:eastAsia="hr-HR"/>
              </w:rPr>
              <w:t>2023</w:t>
            </w:r>
          </w:p>
        </w:tc>
        <w:tc>
          <w:tcPr>
            <w:tcW w:w="1007" w:type="dxa"/>
            <w:tcBorders>
              <w:top w:val="nil"/>
              <w:left w:val="nil"/>
              <w:bottom w:val="single" w:sz="8" w:space="0" w:color="auto"/>
              <w:right w:val="single" w:sz="8" w:space="0" w:color="auto"/>
            </w:tcBorders>
            <w:shd w:val="clear" w:color="auto" w:fill="969696"/>
            <w:noWrap/>
            <w:vAlign w:val="bottom"/>
            <w:hideMark/>
          </w:tcPr>
          <w:p w14:paraId="3955B9EE"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eastAsia="hr-HR"/>
              </w:rPr>
            </w:pPr>
            <w:r w:rsidRPr="00EA0FD7">
              <w:rPr>
                <w:rFonts w:ascii="Arial" w:eastAsia="Times New Roman" w:hAnsi="Arial" w:cs="Arial"/>
                <w:b/>
                <w:bCs/>
                <w:color w:val="FFFFFF"/>
                <w:sz w:val="20"/>
                <w:szCs w:val="20"/>
                <w:lang w:val="sr-Cyrl-RS" w:eastAsia="hr-HR"/>
              </w:rPr>
              <w:t>2024</w:t>
            </w:r>
          </w:p>
        </w:tc>
        <w:tc>
          <w:tcPr>
            <w:tcW w:w="1007" w:type="dxa"/>
            <w:tcBorders>
              <w:top w:val="nil"/>
              <w:left w:val="nil"/>
              <w:bottom w:val="single" w:sz="8" w:space="0" w:color="auto"/>
              <w:right w:val="single" w:sz="8" w:space="0" w:color="auto"/>
            </w:tcBorders>
            <w:shd w:val="clear" w:color="auto" w:fill="969696"/>
            <w:noWrap/>
            <w:vAlign w:val="bottom"/>
            <w:hideMark/>
          </w:tcPr>
          <w:p w14:paraId="28CAB089" w14:textId="77777777" w:rsidR="00EA0FD7" w:rsidRPr="00EA0FD7" w:rsidRDefault="00EA0FD7" w:rsidP="00EA0FD7">
            <w:pPr>
              <w:spacing w:after="0" w:line="240" w:lineRule="auto"/>
              <w:jc w:val="center"/>
              <w:rPr>
                <w:rFonts w:ascii="Arial" w:eastAsia="Times New Roman" w:hAnsi="Arial" w:cs="Arial"/>
                <w:b/>
                <w:bCs/>
                <w:color w:val="FFFFFF"/>
                <w:sz w:val="20"/>
                <w:szCs w:val="20"/>
                <w:lang w:val="sr-Cyrl-RS" w:eastAsia="hr-HR"/>
              </w:rPr>
            </w:pPr>
            <w:r w:rsidRPr="00EA0FD7">
              <w:rPr>
                <w:rFonts w:ascii="Arial" w:eastAsia="Times New Roman" w:hAnsi="Arial" w:cs="Arial"/>
                <w:b/>
                <w:bCs/>
                <w:color w:val="FFFFFF"/>
                <w:sz w:val="20"/>
                <w:szCs w:val="20"/>
                <w:lang w:val="sr-Cyrl-RS" w:eastAsia="hr-HR"/>
              </w:rPr>
              <w:t>2025</w:t>
            </w:r>
          </w:p>
        </w:tc>
      </w:tr>
      <w:tr w:rsidR="00EA0FD7" w:rsidRPr="00EA0FD7" w14:paraId="69A699B0" w14:textId="77777777" w:rsidTr="00EA0FD7">
        <w:trPr>
          <w:trHeight w:val="480"/>
        </w:trPr>
        <w:tc>
          <w:tcPr>
            <w:tcW w:w="628" w:type="dxa"/>
            <w:tcBorders>
              <w:top w:val="nil"/>
              <w:left w:val="single" w:sz="8" w:space="0" w:color="auto"/>
              <w:bottom w:val="single" w:sz="8" w:space="0" w:color="auto"/>
              <w:right w:val="single" w:sz="8" w:space="0" w:color="auto"/>
            </w:tcBorders>
            <w:noWrap/>
            <w:vAlign w:val="bottom"/>
            <w:hideMark/>
          </w:tcPr>
          <w:p w14:paraId="63127E1F"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10</w:t>
            </w:r>
          </w:p>
        </w:tc>
        <w:tc>
          <w:tcPr>
            <w:tcW w:w="3100" w:type="dxa"/>
            <w:tcBorders>
              <w:top w:val="nil"/>
              <w:left w:val="nil"/>
              <w:bottom w:val="single" w:sz="8" w:space="0" w:color="auto"/>
              <w:right w:val="single" w:sz="8" w:space="0" w:color="auto"/>
            </w:tcBorders>
            <w:noWrap/>
            <w:vAlign w:val="bottom"/>
            <w:hideMark/>
          </w:tcPr>
          <w:p w14:paraId="577D5A62"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Скупштина Брчко дистрикта БиХ</w:t>
            </w:r>
          </w:p>
        </w:tc>
        <w:tc>
          <w:tcPr>
            <w:tcW w:w="1280" w:type="dxa"/>
            <w:tcBorders>
              <w:top w:val="nil"/>
              <w:left w:val="nil"/>
              <w:bottom w:val="single" w:sz="8" w:space="0" w:color="auto"/>
              <w:right w:val="single" w:sz="8" w:space="0" w:color="auto"/>
            </w:tcBorders>
            <w:noWrap/>
            <w:vAlign w:val="bottom"/>
            <w:hideMark/>
          </w:tcPr>
          <w:p w14:paraId="7F013A63"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67</w:t>
            </w:r>
          </w:p>
        </w:tc>
        <w:tc>
          <w:tcPr>
            <w:tcW w:w="1280" w:type="dxa"/>
            <w:tcBorders>
              <w:top w:val="nil"/>
              <w:left w:val="nil"/>
              <w:bottom w:val="single" w:sz="8" w:space="0" w:color="auto"/>
              <w:right w:val="single" w:sz="8" w:space="0" w:color="auto"/>
            </w:tcBorders>
            <w:noWrap/>
            <w:vAlign w:val="bottom"/>
            <w:hideMark/>
          </w:tcPr>
          <w:p w14:paraId="6D29F188"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75</w:t>
            </w:r>
          </w:p>
        </w:tc>
        <w:tc>
          <w:tcPr>
            <w:tcW w:w="1007" w:type="dxa"/>
            <w:tcBorders>
              <w:top w:val="nil"/>
              <w:left w:val="nil"/>
              <w:bottom w:val="single" w:sz="8" w:space="0" w:color="auto"/>
              <w:right w:val="single" w:sz="8" w:space="0" w:color="auto"/>
            </w:tcBorders>
            <w:noWrap/>
            <w:vAlign w:val="bottom"/>
            <w:hideMark/>
          </w:tcPr>
          <w:p w14:paraId="7D23DB20"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75</w:t>
            </w:r>
          </w:p>
        </w:tc>
        <w:tc>
          <w:tcPr>
            <w:tcW w:w="1007" w:type="dxa"/>
            <w:tcBorders>
              <w:top w:val="nil"/>
              <w:left w:val="nil"/>
              <w:bottom w:val="single" w:sz="8" w:space="0" w:color="auto"/>
              <w:right w:val="single" w:sz="8" w:space="0" w:color="auto"/>
            </w:tcBorders>
            <w:noWrap/>
            <w:vAlign w:val="bottom"/>
            <w:hideMark/>
          </w:tcPr>
          <w:p w14:paraId="639A4A0B"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75</w:t>
            </w:r>
          </w:p>
        </w:tc>
        <w:tc>
          <w:tcPr>
            <w:tcW w:w="1007" w:type="dxa"/>
            <w:tcBorders>
              <w:top w:val="nil"/>
              <w:left w:val="nil"/>
              <w:bottom w:val="single" w:sz="8" w:space="0" w:color="auto"/>
              <w:right w:val="single" w:sz="8" w:space="0" w:color="auto"/>
            </w:tcBorders>
            <w:noWrap/>
            <w:vAlign w:val="bottom"/>
            <w:hideMark/>
          </w:tcPr>
          <w:p w14:paraId="311765BC"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75</w:t>
            </w:r>
          </w:p>
        </w:tc>
      </w:tr>
      <w:tr w:rsidR="00EA0FD7" w:rsidRPr="00EA0FD7" w14:paraId="0BF7B2E5" w14:textId="77777777" w:rsidTr="00EA0FD7">
        <w:trPr>
          <w:trHeight w:val="405"/>
        </w:trPr>
        <w:tc>
          <w:tcPr>
            <w:tcW w:w="628" w:type="dxa"/>
            <w:tcBorders>
              <w:top w:val="nil"/>
              <w:left w:val="single" w:sz="8" w:space="0" w:color="auto"/>
              <w:bottom w:val="single" w:sz="8" w:space="0" w:color="auto"/>
              <w:right w:val="single" w:sz="8" w:space="0" w:color="auto"/>
            </w:tcBorders>
            <w:noWrap/>
            <w:vAlign w:val="bottom"/>
            <w:hideMark/>
          </w:tcPr>
          <w:p w14:paraId="3762DE36"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11</w:t>
            </w:r>
          </w:p>
        </w:tc>
        <w:tc>
          <w:tcPr>
            <w:tcW w:w="3100" w:type="dxa"/>
            <w:tcBorders>
              <w:top w:val="nil"/>
              <w:left w:val="nil"/>
              <w:bottom w:val="single" w:sz="8" w:space="0" w:color="auto"/>
              <w:right w:val="single" w:sz="8" w:space="0" w:color="auto"/>
            </w:tcBorders>
            <w:noWrap/>
            <w:vAlign w:val="bottom"/>
            <w:hideMark/>
          </w:tcPr>
          <w:p w14:paraId="66F39F52"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Канцеларија градоначелника</w:t>
            </w:r>
          </w:p>
        </w:tc>
        <w:tc>
          <w:tcPr>
            <w:tcW w:w="1280" w:type="dxa"/>
            <w:tcBorders>
              <w:top w:val="nil"/>
              <w:left w:val="nil"/>
              <w:bottom w:val="single" w:sz="8" w:space="0" w:color="auto"/>
              <w:right w:val="single" w:sz="8" w:space="0" w:color="auto"/>
            </w:tcBorders>
            <w:noWrap/>
            <w:vAlign w:val="bottom"/>
            <w:hideMark/>
          </w:tcPr>
          <w:p w14:paraId="2B340799"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136</w:t>
            </w:r>
          </w:p>
        </w:tc>
        <w:tc>
          <w:tcPr>
            <w:tcW w:w="1280" w:type="dxa"/>
            <w:tcBorders>
              <w:top w:val="nil"/>
              <w:left w:val="nil"/>
              <w:bottom w:val="single" w:sz="8" w:space="0" w:color="auto"/>
              <w:right w:val="single" w:sz="8" w:space="0" w:color="auto"/>
            </w:tcBorders>
            <w:noWrap/>
            <w:vAlign w:val="bottom"/>
            <w:hideMark/>
          </w:tcPr>
          <w:p w14:paraId="06144743"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144</w:t>
            </w:r>
          </w:p>
        </w:tc>
        <w:tc>
          <w:tcPr>
            <w:tcW w:w="1007" w:type="dxa"/>
            <w:tcBorders>
              <w:top w:val="nil"/>
              <w:left w:val="nil"/>
              <w:bottom w:val="single" w:sz="8" w:space="0" w:color="auto"/>
              <w:right w:val="single" w:sz="8" w:space="0" w:color="auto"/>
            </w:tcBorders>
            <w:noWrap/>
            <w:vAlign w:val="bottom"/>
            <w:hideMark/>
          </w:tcPr>
          <w:p w14:paraId="52FE7E2D"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144</w:t>
            </w:r>
          </w:p>
        </w:tc>
        <w:tc>
          <w:tcPr>
            <w:tcW w:w="1007" w:type="dxa"/>
            <w:tcBorders>
              <w:top w:val="nil"/>
              <w:left w:val="nil"/>
              <w:bottom w:val="single" w:sz="8" w:space="0" w:color="auto"/>
              <w:right w:val="single" w:sz="8" w:space="0" w:color="auto"/>
            </w:tcBorders>
            <w:noWrap/>
            <w:vAlign w:val="bottom"/>
            <w:hideMark/>
          </w:tcPr>
          <w:p w14:paraId="083B5DF7"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144</w:t>
            </w:r>
          </w:p>
        </w:tc>
        <w:tc>
          <w:tcPr>
            <w:tcW w:w="1007" w:type="dxa"/>
            <w:tcBorders>
              <w:top w:val="nil"/>
              <w:left w:val="nil"/>
              <w:bottom w:val="single" w:sz="8" w:space="0" w:color="auto"/>
              <w:right w:val="single" w:sz="8" w:space="0" w:color="auto"/>
            </w:tcBorders>
            <w:noWrap/>
            <w:vAlign w:val="bottom"/>
            <w:hideMark/>
          </w:tcPr>
          <w:p w14:paraId="6890897F"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144</w:t>
            </w:r>
          </w:p>
        </w:tc>
      </w:tr>
      <w:tr w:rsidR="00EA0FD7" w:rsidRPr="00EA0FD7" w14:paraId="53297BF3" w14:textId="77777777" w:rsidTr="00EA0FD7">
        <w:trPr>
          <w:trHeight w:val="360"/>
        </w:trPr>
        <w:tc>
          <w:tcPr>
            <w:tcW w:w="628" w:type="dxa"/>
            <w:tcBorders>
              <w:top w:val="nil"/>
              <w:left w:val="single" w:sz="8" w:space="0" w:color="auto"/>
              <w:bottom w:val="single" w:sz="8" w:space="0" w:color="auto"/>
              <w:right w:val="single" w:sz="8" w:space="0" w:color="auto"/>
            </w:tcBorders>
            <w:noWrap/>
            <w:vAlign w:val="bottom"/>
            <w:hideMark/>
          </w:tcPr>
          <w:p w14:paraId="3896A1EE"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12</w:t>
            </w:r>
          </w:p>
        </w:tc>
        <w:tc>
          <w:tcPr>
            <w:tcW w:w="3100" w:type="dxa"/>
            <w:tcBorders>
              <w:top w:val="nil"/>
              <w:left w:val="nil"/>
              <w:bottom w:val="single" w:sz="8" w:space="0" w:color="auto"/>
              <w:right w:val="single" w:sz="8" w:space="0" w:color="auto"/>
            </w:tcBorders>
            <w:noWrap/>
            <w:vAlign w:val="bottom"/>
            <w:hideMark/>
          </w:tcPr>
          <w:p w14:paraId="05CEFDC8" w14:textId="527E8C1F" w:rsidR="00EA0FD7" w:rsidRPr="00752F04" w:rsidRDefault="00EA0FD7" w:rsidP="00EA0FD7">
            <w:pPr>
              <w:spacing w:after="0" w:line="240" w:lineRule="auto"/>
              <w:rPr>
                <w:rFonts w:ascii="Arial" w:eastAsia="Times New Roman" w:hAnsi="Arial" w:cs="Arial"/>
                <w:sz w:val="16"/>
                <w:szCs w:val="16"/>
                <w:lang w:val="bs-Cyrl-BA" w:eastAsia="hr-HR"/>
              </w:rPr>
            </w:pPr>
            <w:r w:rsidRPr="00EA0FD7">
              <w:rPr>
                <w:rFonts w:ascii="Arial" w:eastAsia="Times New Roman" w:hAnsi="Arial" w:cs="Arial"/>
                <w:sz w:val="16"/>
                <w:szCs w:val="16"/>
                <w:lang w:val="sr-Cyrl-RS" w:eastAsia="hr-HR"/>
              </w:rPr>
              <w:t>Правосуђе Брчко дистрикта</w:t>
            </w:r>
            <w:r w:rsidR="00752F04">
              <w:rPr>
                <w:rFonts w:ascii="Arial" w:eastAsia="Times New Roman" w:hAnsi="Arial" w:cs="Arial"/>
                <w:sz w:val="16"/>
                <w:szCs w:val="16"/>
                <w:lang w:eastAsia="hr-HR"/>
              </w:rPr>
              <w:t xml:space="preserve"> </w:t>
            </w:r>
            <w:r w:rsidR="00752F04">
              <w:rPr>
                <w:rFonts w:ascii="Arial" w:eastAsia="Times New Roman" w:hAnsi="Arial" w:cs="Arial"/>
                <w:sz w:val="16"/>
                <w:szCs w:val="16"/>
                <w:lang w:val="bs-Cyrl-BA" w:eastAsia="hr-HR"/>
              </w:rPr>
              <w:t>БиХ</w:t>
            </w:r>
          </w:p>
        </w:tc>
        <w:tc>
          <w:tcPr>
            <w:tcW w:w="1280" w:type="dxa"/>
            <w:tcBorders>
              <w:top w:val="nil"/>
              <w:left w:val="nil"/>
              <w:bottom w:val="single" w:sz="8" w:space="0" w:color="auto"/>
              <w:right w:val="single" w:sz="8" w:space="0" w:color="auto"/>
            </w:tcBorders>
            <w:noWrap/>
            <w:vAlign w:val="bottom"/>
            <w:hideMark/>
          </w:tcPr>
          <w:p w14:paraId="70EA9EB8"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236</w:t>
            </w:r>
          </w:p>
        </w:tc>
        <w:tc>
          <w:tcPr>
            <w:tcW w:w="1280" w:type="dxa"/>
            <w:tcBorders>
              <w:top w:val="nil"/>
              <w:left w:val="nil"/>
              <w:bottom w:val="single" w:sz="8" w:space="0" w:color="auto"/>
              <w:right w:val="single" w:sz="8" w:space="0" w:color="auto"/>
            </w:tcBorders>
            <w:noWrap/>
            <w:vAlign w:val="bottom"/>
            <w:hideMark/>
          </w:tcPr>
          <w:p w14:paraId="73D7FA78"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260</w:t>
            </w:r>
          </w:p>
        </w:tc>
        <w:tc>
          <w:tcPr>
            <w:tcW w:w="1007" w:type="dxa"/>
            <w:tcBorders>
              <w:top w:val="nil"/>
              <w:left w:val="nil"/>
              <w:bottom w:val="single" w:sz="8" w:space="0" w:color="auto"/>
              <w:right w:val="single" w:sz="8" w:space="0" w:color="auto"/>
            </w:tcBorders>
            <w:noWrap/>
            <w:vAlign w:val="bottom"/>
            <w:hideMark/>
          </w:tcPr>
          <w:p w14:paraId="3FB0B0B9"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261</w:t>
            </w:r>
          </w:p>
        </w:tc>
        <w:tc>
          <w:tcPr>
            <w:tcW w:w="1007" w:type="dxa"/>
            <w:tcBorders>
              <w:top w:val="nil"/>
              <w:left w:val="nil"/>
              <w:bottom w:val="single" w:sz="8" w:space="0" w:color="auto"/>
              <w:right w:val="single" w:sz="8" w:space="0" w:color="auto"/>
            </w:tcBorders>
            <w:noWrap/>
            <w:vAlign w:val="bottom"/>
            <w:hideMark/>
          </w:tcPr>
          <w:p w14:paraId="78788F08"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261</w:t>
            </w:r>
          </w:p>
        </w:tc>
        <w:tc>
          <w:tcPr>
            <w:tcW w:w="1007" w:type="dxa"/>
            <w:tcBorders>
              <w:top w:val="nil"/>
              <w:left w:val="nil"/>
              <w:bottom w:val="single" w:sz="8" w:space="0" w:color="auto"/>
              <w:right w:val="single" w:sz="8" w:space="0" w:color="auto"/>
            </w:tcBorders>
            <w:noWrap/>
            <w:vAlign w:val="bottom"/>
            <w:hideMark/>
          </w:tcPr>
          <w:p w14:paraId="44142057"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261</w:t>
            </w:r>
          </w:p>
        </w:tc>
      </w:tr>
      <w:tr w:rsidR="00EA0FD7" w:rsidRPr="00EA0FD7" w14:paraId="68F313C1" w14:textId="77777777" w:rsidTr="00EA0FD7">
        <w:trPr>
          <w:trHeight w:val="375"/>
        </w:trPr>
        <w:tc>
          <w:tcPr>
            <w:tcW w:w="628" w:type="dxa"/>
            <w:tcBorders>
              <w:top w:val="nil"/>
              <w:left w:val="single" w:sz="8" w:space="0" w:color="auto"/>
              <w:bottom w:val="single" w:sz="8" w:space="0" w:color="auto"/>
              <w:right w:val="single" w:sz="8" w:space="0" w:color="auto"/>
            </w:tcBorders>
            <w:noWrap/>
            <w:vAlign w:val="bottom"/>
            <w:hideMark/>
          </w:tcPr>
          <w:p w14:paraId="79850B04"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13</w:t>
            </w:r>
          </w:p>
        </w:tc>
        <w:tc>
          <w:tcPr>
            <w:tcW w:w="3100" w:type="dxa"/>
            <w:tcBorders>
              <w:top w:val="nil"/>
              <w:left w:val="nil"/>
              <w:bottom w:val="single" w:sz="8" w:space="0" w:color="auto"/>
              <w:right w:val="single" w:sz="8" w:space="0" w:color="auto"/>
            </w:tcBorders>
            <w:noWrap/>
            <w:vAlign w:val="bottom"/>
            <w:hideMark/>
          </w:tcPr>
          <w:p w14:paraId="00048E52"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Полиција Дистрикта</w:t>
            </w:r>
          </w:p>
        </w:tc>
        <w:tc>
          <w:tcPr>
            <w:tcW w:w="1280" w:type="dxa"/>
            <w:tcBorders>
              <w:top w:val="nil"/>
              <w:left w:val="nil"/>
              <w:bottom w:val="single" w:sz="8" w:space="0" w:color="auto"/>
              <w:right w:val="single" w:sz="8" w:space="0" w:color="auto"/>
            </w:tcBorders>
            <w:noWrap/>
            <w:vAlign w:val="bottom"/>
            <w:hideMark/>
          </w:tcPr>
          <w:p w14:paraId="49D488A0"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321</w:t>
            </w:r>
          </w:p>
        </w:tc>
        <w:tc>
          <w:tcPr>
            <w:tcW w:w="1280" w:type="dxa"/>
            <w:tcBorders>
              <w:top w:val="nil"/>
              <w:left w:val="nil"/>
              <w:bottom w:val="single" w:sz="8" w:space="0" w:color="auto"/>
              <w:right w:val="single" w:sz="8" w:space="0" w:color="auto"/>
            </w:tcBorders>
            <w:noWrap/>
            <w:vAlign w:val="bottom"/>
            <w:hideMark/>
          </w:tcPr>
          <w:p w14:paraId="798A3BBD"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333</w:t>
            </w:r>
          </w:p>
        </w:tc>
        <w:tc>
          <w:tcPr>
            <w:tcW w:w="1007" w:type="dxa"/>
            <w:tcBorders>
              <w:top w:val="nil"/>
              <w:left w:val="nil"/>
              <w:bottom w:val="single" w:sz="8" w:space="0" w:color="auto"/>
              <w:right w:val="single" w:sz="8" w:space="0" w:color="auto"/>
            </w:tcBorders>
            <w:noWrap/>
            <w:vAlign w:val="bottom"/>
            <w:hideMark/>
          </w:tcPr>
          <w:p w14:paraId="4722B2A7"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333</w:t>
            </w:r>
          </w:p>
        </w:tc>
        <w:tc>
          <w:tcPr>
            <w:tcW w:w="1007" w:type="dxa"/>
            <w:tcBorders>
              <w:top w:val="nil"/>
              <w:left w:val="nil"/>
              <w:bottom w:val="single" w:sz="8" w:space="0" w:color="auto"/>
              <w:right w:val="single" w:sz="8" w:space="0" w:color="auto"/>
            </w:tcBorders>
            <w:noWrap/>
            <w:vAlign w:val="bottom"/>
            <w:hideMark/>
          </w:tcPr>
          <w:p w14:paraId="192C8736"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333</w:t>
            </w:r>
          </w:p>
        </w:tc>
        <w:tc>
          <w:tcPr>
            <w:tcW w:w="1007" w:type="dxa"/>
            <w:tcBorders>
              <w:top w:val="nil"/>
              <w:left w:val="nil"/>
              <w:bottom w:val="single" w:sz="8" w:space="0" w:color="auto"/>
              <w:right w:val="single" w:sz="8" w:space="0" w:color="auto"/>
            </w:tcBorders>
            <w:noWrap/>
            <w:vAlign w:val="bottom"/>
            <w:hideMark/>
          </w:tcPr>
          <w:p w14:paraId="5C4BF496"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333</w:t>
            </w:r>
          </w:p>
        </w:tc>
      </w:tr>
      <w:tr w:rsidR="00EA0FD7" w:rsidRPr="00EA0FD7" w14:paraId="65BE33E2" w14:textId="77777777" w:rsidTr="00EA0FD7">
        <w:trPr>
          <w:trHeight w:val="390"/>
        </w:trPr>
        <w:tc>
          <w:tcPr>
            <w:tcW w:w="628" w:type="dxa"/>
            <w:tcBorders>
              <w:top w:val="nil"/>
              <w:left w:val="single" w:sz="8" w:space="0" w:color="auto"/>
              <w:bottom w:val="single" w:sz="8" w:space="0" w:color="auto"/>
              <w:right w:val="single" w:sz="8" w:space="0" w:color="auto"/>
            </w:tcBorders>
            <w:noWrap/>
            <w:vAlign w:val="bottom"/>
            <w:hideMark/>
          </w:tcPr>
          <w:p w14:paraId="5049B738"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14</w:t>
            </w:r>
          </w:p>
        </w:tc>
        <w:tc>
          <w:tcPr>
            <w:tcW w:w="3100" w:type="dxa"/>
            <w:tcBorders>
              <w:top w:val="nil"/>
              <w:left w:val="nil"/>
              <w:bottom w:val="single" w:sz="8" w:space="0" w:color="auto"/>
              <w:right w:val="single" w:sz="8" w:space="0" w:color="auto"/>
            </w:tcBorders>
            <w:noWrap/>
            <w:vAlign w:val="bottom"/>
            <w:hideMark/>
          </w:tcPr>
          <w:p w14:paraId="3706AC98" w14:textId="610B15CA"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 xml:space="preserve">Одјељење за јавну </w:t>
            </w:r>
            <w:r w:rsidR="00752F04">
              <w:rPr>
                <w:rFonts w:ascii="Arial" w:eastAsia="Times New Roman" w:hAnsi="Arial" w:cs="Arial"/>
                <w:sz w:val="16"/>
                <w:szCs w:val="16"/>
                <w:lang w:val="sr-Cyrl-RS" w:eastAsia="hr-HR"/>
              </w:rPr>
              <w:t>безбједност</w:t>
            </w:r>
          </w:p>
        </w:tc>
        <w:tc>
          <w:tcPr>
            <w:tcW w:w="1280" w:type="dxa"/>
            <w:tcBorders>
              <w:top w:val="nil"/>
              <w:left w:val="nil"/>
              <w:bottom w:val="single" w:sz="8" w:space="0" w:color="auto"/>
              <w:right w:val="single" w:sz="8" w:space="0" w:color="auto"/>
            </w:tcBorders>
            <w:noWrap/>
            <w:vAlign w:val="bottom"/>
            <w:hideMark/>
          </w:tcPr>
          <w:p w14:paraId="1618277A"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151</w:t>
            </w:r>
          </w:p>
        </w:tc>
        <w:tc>
          <w:tcPr>
            <w:tcW w:w="1280" w:type="dxa"/>
            <w:tcBorders>
              <w:top w:val="nil"/>
              <w:left w:val="nil"/>
              <w:bottom w:val="single" w:sz="8" w:space="0" w:color="auto"/>
              <w:right w:val="single" w:sz="8" w:space="0" w:color="auto"/>
            </w:tcBorders>
            <w:noWrap/>
            <w:vAlign w:val="bottom"/>
            <w:hideMark/>
          </w:tcPr>
          <w:p w14:paraId="37AF2825"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205</w:t>
            </w:r>
          </w:p>
        </w:tc>
        <w:tc>
          <w:tcPr>
            <w:tcW w:w="1007" w:type="dxa"/>
            <w:tcBorders>
              <w:top w:val="nil"/>
              <w:left w:val="nil"/>
              <w:bottom w:val="single" w:sz="8" w:space="0" w:color="auto"/>
              <w:right w:val="single" w:sz="8" w:space="0" w:color="auto"/>
            </w:tcBorders>
            <w:noWrap/>
            <w:vAlign w:val="bottom"/>
            <w:hideMark/>
          </w:tcPr>
          <w:p w14:paraId="55A3EF74"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205</w:t>
            </w:r>
          </w:p>
        </w:tc>
        <w:tc>
          <w:tcPr>
            <w:tcW w:w="1007" w:type="dxa"/>
            <w:tcBorders>
              <w:top w:val="nil"/>
              <w:left w:val="nil"/>
              <w:bottom w:val="single" w:sz="8" w:space="0" w:color="auto"/>
              <w:right w:val="single" w:sz="8" w:space="0" w:color="auto"/>
            </w:tcBorders>
            <w:noWrap/>
            <w:vAlign w:val="bottom"/>
            <w:hideMark/>
          </w:tcPr>
          <w:p w14:paraId="0D261115"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205</w:t>
            </w:r>
          </w:p>
        </w:tc>
        <w:tc>
          <w:tcPr>
            <w:tcW w:w="1007" w:type="dxa"/>
            <w:tcBorders>
              <w:top w:val="nil"/>
              <w:left w:val="nil"/>
              <w:bottom w:val="single" w:sz="8" w:space="0" w:color="auto"/>
              <w:right w:val="single" w:sz="8" w:space="0" w:color="auto"/>
            </w:tcBorders>
            <w:noWrap/>
            <w:vAlign w:val="bottom"/>
            <w:hideMark/>
          </w:tcPr>
          <w:p w14:paraId="086A013D"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205</w:t>
            </w:r>
          </w:p>
        </w:tc>
      </w:tr>
      <w:tr w:rsidR="00EA0FD7" w:rsidRPr="00EA0FD7" w14:paraId="7D1D6CF4" w14:textId="77777777" w:rsidTr="00EA0FD7">
        <w:trPr>
          <w:trHeight w:val="480"/>
        </w:trPr>
        <w:tc>
          <w:tcPr>
            <w:tcW w:w="628" w:type="dxa"/>
            <w:tcBorders>
              <w:top w:val="nil"/>
              <w:left w:val="single" w:sz="8" w:space="0" w:color="auto"/>
              <w:bottom w:val="single" w:sz="8" w:space="0" w:color="auto"/>
              <w:right w:val="single" w:sz="8" w:space="0" w:color="auto"/>
            </w:tcBorders>
            <w:noWrap/>
            <w:vAlign w:val="bottom"/>
            <w:hideMark/>
          </w:tcPr>
          <w:p w14:paraId="4CD9642E"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15</w:t>
            </w:r>
          </w:p>
        </w:tc>
        <w:tc>
          <w:tcPr>
            <w:tcW w:w="3100" w:type="dxa"/>
            <w:tcBorders>
              <w:top w:val="nil"/>
              <w:left w:val="nil"/>
              <w:bottom w:val="single" w:sz="8" w:space="0" w:color="auto"/>
              <w:right w:val="single" w:sz="8" w:space="0" w:color="auto"/>
            </w:tcBorders>
            <w:vAlign w:val="bottom"/>
            <w:hideMark/>
          </w:tcPr>
          <w:p w14:paraId="4AE514F3"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 xml:space="preserve">Одјељење за стручне и административне </w:t>
            </w:r>
            <w:r w:rsidRPr="00EA0FD7">
              <w:rPr>
                <w:rFonts w:ascii="Arial" w:eastAsia="Times New Roman" w:hAnsi="Arial" w:cs="Arial"/>
                <w:sz w:val="16"/>
                <w:szCs w:val="16"/>
                <w:lang w:val="sr-Cyrl-RS" w:eastAsia="hr-HR"/>
              </w:rPr>
              <w:br/>
              <w:t>послове</w:t>
            </w:r>
          </w:p>
        </w:tc>
        <w:tc>
          <w:tcPr>
            <w:tcW w:w="1280" w:type="dxa"/>
            <w:tcBorders>
              <w:top w:val="nil"/>
              <w:left w:val="nil"/>
              <w:bottom w:val="single" w:sz="8" w:space="0" w:color="auto"/>
              <w:right w:val="single" w:sz="8" w:space="0" w:color="auto"/>
            </w:tcBorders>
            <w:noWrap/>
            <w:vAlign w:val="bottom"/>
            <w:hideMark/>
          </w:tcPr>
          <w:p w14:paraId="516178C1"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50</w:t>
            </w:r>
          </w:p>
        </w:tc>
        <w:tc>
          <w:tcPr>
            <w:tcW w:w="1280" w:type="dxa"/>
            <w:tcBorders>
              <w:top w:val="nil"/>
              <w:left w:val="nil"/>
              <w:bottom w:val="single" w:sz="8" w:space="0" w:color="auto"/>
              <w:right w:val="single" w:sz="8" w:space="0" w:color="auto"/>
            </w:tcBorders>
            <w:noWrap/>
            <w:vAlign w:val="bottom"/>
            <w:hideMark/>
          </w:tcPr>
          <w:p w14:paraId="23627316"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54</w:t>
            </w:r>
          </w:p>
        </w:tc>
        <w:tc>
          <w:tcPr>
            <w:tcW w:w="1007" w:type="dxa"/>
            <w:tcBorders>
              <w:top w:val="nil"/>
              <w:left w:val="nil"/>
              <w:bottom w:val="single" w:sz="8" w:space="0" w:color="auto"/>
              <w:right w:val="single" w:sz="8" w:space="0" w:color="auto"/>
            </w:tcBorders>
            <w:noWrap/>
            <w:vAlign w:val="bottom"/>
            <w:hideMark/>
          </w:tcPr>
          <w:p w14:paraId="12E5C6D8"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54</w:t>
            </w:r>
          </w:p>
        </w:tc>
        <w:tc>
          <w:tcPr>
            <w:tcW w:w="1007" w:type="dxa"/>
            <w:tcBorders>
              <w:top w:val="nil"/>
              <w:left w:val="nil"/>
              <w:bottom w:val="single" w:sz="8" w:space="0" w:color="auto"/>
              <w:right w:val="single" w:sz="8" w:space="0" w:color="auto"/>
            </w:tcBorders>
            <w:noWrap/>
            <w:vAlign w:val="bottom"/>
            <w:hideMark/>
          </w:tcPr>
          <w:p w14:paraId="140A1A9F"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54</w:t>
            </w:r>
          </w:p>
        </w:tc>
        <w:tc>
          <w:tcPr>
            <w:tcW w:w="1007" w:type="dxa"/>
            <w:tcBorders>
              <w:top w:val="nil"/>
              <w:left w:val="nil"/>
              <w:bottom w:val="single" w:sz="8" w:space="0" w:color="auto"/>
              <w:right w:val="single" w:sz="8" w:space="0" w:color="auto"/>
            </w:tcBorders>
            <w:noWrap/>
            <w:vAlign w:val="bottom"/>
            <w:hideMark/>
          </w:tcPr>
          <w:p w14:paraId="62AC0A8B"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54</w:t>
            </w:r>
          </w:p>
        </w:tc>
      </w:tr>
      <w:tr w:rsidR="00EA0FD7" w:rsidRPr="00EA0FD7" w14:paraId="542E0430" w14:textId="77777777" w:rsidTr="00EA0FD7">
        <w:trPr>
          <w:trHeight w:val="375"/>
        </w:trPr>
        <w:tc>
          <w:tcPr>
            <w:tcW w:w="628" w:type="dxa"/>
            <w:tcBorders>
              <w:top w:val="nil"/>
              <w:left w:val="single" w:sz="8" w:space="0" w:color="auto"/>
              <w:bottom w:val="single" w:sz="8" w:space="0" w:color="auto"/>
              <w:right w:val="single" w:sz="8" w:space="0" w:color="auto"/>
            </w:tcBorders>
            <w:noWrap/>
            <w:vAlign w:val="bottom"/>
            <w:hideMark/>
          </w:tcPr>
          <w:p w14:paraId="6CE9D382"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16</w:t>
            </w:r>
          </w:p>
        </w:tc>
        <w:tc>
          <w:tcPr>
            <w:tcW w:w="3100" w:type="dxa"/>
            <w:tcBorders>
              <w:top w:val="nil"/>
              <w:left w:val="nil"/>
              <w:bottom w:val="single" w:sz="8" w:space="0" w:color="auto"/>
              <w:right w:val="single" w:sz="8" w:space="0" w:color="auto"/>
            </w:tcBorders>
            <w:noWrap/>
            <w:vAlign w:val="bottom"/>
            <w:hideMark/>
          </w:tcPr>
          <w:p w14:paraId="616420A1"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Дирекција за финансије</w:t>
            </w:r>
          </w:p>
        </w:tc>
        <w:tc>
          <w:tcPr>
            <w:tcW w:w="1280" w:type="dxa"/>
            <w:tcBorders>
              <w:top w:val="nil"/>
              <w:left w:val="nil"/>
              <w:bottom w:val="single" w:sz="8" w:space="0" w:color="auto"/>
              <w:right w:val="single" w:sz="8" w:space="0" w:color="auto"/>
            </w:tcBorders>
            <w:noWrap/>
            <w:vAlign w:val="bottom"/>
            <w:hideMark/>
          </w:tcPr>
          <w:p w14:paraId="5944AACF"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139</w:t>
            </w:r>
          </w:p>
        </w:tc>
        <w:tc>
          <w:tcPr>
            <w:tcW w:w="1280" w:type="dxa"/>
            <w:tcBorders>
              <w:top w:val="nil"/>
              <w:left w:val="nil"/>
              <w:bottom w:val="single" w:sz="8" w:space="0" w:color="auto"/>
              <w:right w:val="single" w:sz="8" w:space="0" w:color="auto"/>
            </w:tcBorders>
            <w:noWrap/>
            <w:vAlign w:val="bottom"/>
            <w:hideMark/>
          </w:tcPr>
          <w:p w14:paraId="3A59BDBD"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154</w:t>
            </w:r>
          </w:p>
        </w:tc>
        <w:tc>
          <w:tcPr>
            <w:tcW w:w="1007" w:type="dxa"/>
            <w:tcBorders>
              <w:top w:val="nil"/>
              <w:left w:val="nil"/>
              <w:bottom w:val="single" w:sz="8" w:space="0" w:color="auto"/>
              <w:right w:val="single" w:sz="8" w:space="0" w:color="auto"/>
            </w:tcBorders>
            <w:noWrap/>
            <w:vAlign w:val="bottom"/>
            <w:hideMark/>
          </w:tcPr>
          <w:p w14:paraId="1FD0BCC6"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154</w:t>
            </w:r>
          </w:p>
        </w:tc>
        <w:tc>
          <w:tcPr>
            <w:tcW w:w="1007" w:type="dxa"/>
            <w:tcBorders>
              <w:top w:val="nil"/>
              <w:left w:val="nil"/>
              <w:bottom w:val="single" w:sz="8" w:space="0" w:color="auto"/>
              <w:right w:val="single" w:sz="8" w:space="0" w:color="auto"/>
            </w:tcBorders>
            <w:noWrap/>
            <w:vAlign w:val="bottom"/>
            <w:hideMark/>
          </w:tcPr>
          <w:p w14:paraId="25E6CBDA"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154</w:t>
            </w:r>
          </w:p>
        </w:tc>
        <w:tc>
          <w:tcPr>
            <w:tcW w:w="1007" w:type="dxa"/>
            <w:tcBorders>
              <w:top w:val="nil"/>
              <w:left w:val="nil"/>
              <w:bottom w:val="single" w:sz="8" w:space="0" w:color="auto"/>
              <w:right w:val="single" w:sz="8" w:space="0" w:color="auto"/>
            </w:tcBorders>
            <w:noWrap/>
            <w:vAlign w:val="bottom"/>
            <w:hideMark/>
          </w:tcPr>
          <w:p w14:paraId="22272E75"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154</w:t>
            </w:r>
          </w:p>
        </w:tc>
      </w:tr>
      <w:tr w:rsidR="00EA0FD7" w:rsidRPr="00EA0FD7" w14:paraId="4F309364" w14:textId="77777777" w:rsidTr="00EA0FD7">
        <w:trPr>
          <w:trHeight w:val="480"/>
        </w:trPr>
        <w:tc>
          <w:tcPr>
            <w:tcW w:w="628" w:type="dxa"/>
            <w:tcBorders>
              <w:top w:val="nil"/>
              <w:left w:val="single" w:sz="8" w:space="0" w:color="auto"/>
              <w:bottom w:val="single" w:sz="8" w:space="0" w:color="auto"/>
              <w:right w:val="single" w:sz="8" w:space="0" w:color="auto"/>
            </w:tcBorders>
            <w:noWrap/>
            <w:vAlign w:val="bottom"/>
            <w:hideMark/>
          </w:tcPr>
          <w:p w14:paraId="04637C6F"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17</w:t>
            </w:r>
          </w:p>
        </w:tc>
        <w:tc>
          <w:tcPr>
            <w:tcW w:w="3100" w:type="dxa"/>
            <w:tcBorders>
              <w:top w:val="nil"/>
              <w:left w:val="nil"/>
              <w:bottom w:val="single" w:sz="8" w:space="0" w:color="auto"/>
              <w:right w:val="single" w:sz="8" w:space="0" w:color="auto"/>
            </w:tcBorders>
            <w:vAlign w:val="bottom"/>
            <w:hideMark/>
          </w:tcPr>
          <w:p w14:paraId="77A95D60" w14:textId="014FCE3D"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Одјељење за привредни развој, спорт и културу</w:t>
            </w:r>
          </w:p>
        </w:tc>
        <w:tc>
          <w:tcPr>
            <w:tcW w:w="1280" w:type="dxa"/>
            <w:tcBorders>
              <w:top w:val="nil"/>
              <w:left w:val="nil"/>
              <w:bottom w:val="single" w:sz="8" w:space="0" w:color="auto"/>
              <w:right w:val="single" w:sz="8" w:space="0" w:color="auto"/>
            </w:tcBorders>
            <w:noWrap/>
            <w:vAlign w:val="bottom"/>
            <w:hideMark/>
          </w:tcPr>
          <w:p w14:paraId="37702EC7"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40</w:t>
            </w:r>
          </w:p>
        </w:tc>
        <w:tc>
          <w:tcPr>
            <w:tcW w:w="1280" w:type="dxa"/>
            <w:tcBorders>
              <w:top w:val="nil"/>
              <w:left w:val="nil"/>
              <w:bottom w:val="single" w:sz="8" w:space="0" w:color="auto"/>
              <w:right w:val="single" w:sz="8" w:space="0" w:color="auto"/>
            </w:tcBorders>
            <w:noWrap/>
            <w:vAlign w:val="bottom"/>
            <w:hideMark/>
          </w:tcPr>
          <w:p w14:paraId="65BF485B"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46</w:t>
            </w:r>
          </w:p>
        </w:tc>
        <w:tc>
          <w:tcPr>
            <w:tcW w:w="1007" w:type="dxa"/>
            <w:tcBorders>
              <w:top w:val="nil"/>
              <w:left w:val="nil"/>
              <w:bottom w:val="single" w:sz="8" w:space="0" w:color="auto"/>
              <w:right w:val="single" w:sz="8" w:space="0" w:color="auto"/>
            </w:tcBorders>
            <w:noWrap/>
            <w:vAlign w:val="bottom"/>
            <w:hideMark/>
          </w:tcPr>
          <w:p w14:paraId="7647B082"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46</w:t>
            </w:r>
          </w:p>
        </w:tc>
        <w:tc>
          <w:tcPr>
            <w:tcW w:w="1007" w:type="dxa"/>
            <w:tcBorders>
              <w:top w:val="nil"/>
              <w:left w:val="nil"/>
              <w:bottom w:val="single" w:sz="8" w:space="0" w:color="auto"/>
              <w:right w:val="single" w:sz="8" w:space="0" w:color="auto"/>
            </w:tcBorders>
            <w:noWrap/>
            <w:vAlign w:val="bottom"/>
            <w:hideMark/>
          </w:tcPr>
          <w:p w14:paraId="374B692F"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46</w:t>
            </w:r>
          </w:p>
        </w:tc>
        <w:tc>
          <w:tcPr>
            <w:tcW w:w="1007" w:type="dxa"/>
            <w:tcBorders>
              <w:top w:val="nil"/>
              <w:left w:val="nil"/>
              <w:bottom w:val="single" w:sz="8" w:space="0" w:color="auto"/>
              <w:right w:val="single" w:sz="8" w:space="0" w:color="auto"/>
            </w:tcBorders>
            <w:noWrap/>
            <w:vAlign w:val="bottom"/>
            <w:hideMark/>
          </w:tcPr>
          <w:p w14:paraId="630EF096"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46</w:t>
            </w:r>
          </w:p>
        </w:tc>
      </w:tr>
      <w:tr w:rsidR="00EA0FD7" w:rsidRPr="00EA0FD7" w14:paraId="18B32353" w14:textId="77777777" w:rsidTr="00EA0FD7">
        <w:trPr>
          <w:trHeight w:val="480"/>
        </w:trPr>
        <w:tc>
          <w:tcPr>
            <w:tcW w:w="628" w:type="dxa"/>
            <w:tcBorders>
              <w:top w:val="nil"/>
              <w:left w:val="single" w:sz="8" w:space="0" w:color="auto"/>
              <w:bottom w:val="single" w:sz="8" w:space="0" w:color="auto"/>
              <w:right w:val="single" w:sz="8" w:space="0" w:color="auto"/>
            </w:tcBorders>
            <w:noWrap/>
            <w:vAlign w:val="bottom"/>
            <w:hideMark/>
          </w:tcPr>
          <w:p w14:paraId="1593488F"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18</w:t>
            </w:r>
          </w:p>
        </w:tc>
        <w:tc>
          <w:tcPr>
            <w:tcW w:w="3100" w:type="dxa"/>
            <w:tcBorders>
              <w:top w:val="nil"/>
              <w:left w:val="nil"/>
              <w:bottom w:val="single" w:sz="8" w:space="0" w:color="auto"/>
              <w:right w:val="single" w:sz="8" w:space="0" w:color="auto"/>
            </w:tcBorders>
            <w:vAlign w:val="bottom"/>
            <w:hideMark/>
          </w:tcPr>
          <w:p w14:paraId="4E5358A3"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 xml:space="preserve">Одјељење за пољопривреду, шумарство и </w:t>
            </w:r>
            <w:r w:rsidRPr="00EA0FD7">
              <w:rPr>
                <w:rFonts w:ascii="Arial" w:eastAsia="Times New Roman" w:hAnsi="Arial" w:cs="Arial"/>
                <w:sz w:val="16"/>
                <w:szCs w:val="16"/>
                <w:lang w:val="sr-Cyrl-RS" w:eastAsia="hr-HR"/>
              </w:rPr>
              <w:br/>
              <w:t>водопривреду</w:t>
            </w:r>
          </w:p>
        </w:tc>
        <w:tc>
          <w:tcPr>
            <w:tcW w:w="1280" w:type="dxa"/>
            <w:tcBorders>
              <w:top w:val="nil"/>
              <w:left w:val="nil"/>
              <w:bottom w:val="single" w:sz="8" w:space="0" w:color="auto"/>
              <w:right w:val="single" w:sz="8" w:space="0" w:color="auto"/>
            </w:tcBorders>
            <w:noWrap/>
            <w:vAlign w:val="bottom"/>
            <w:hideMark/>
          </w:tcPr>
          <w:p w14:paraId="6E7C3204"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76</w:t>
            </w:r>
          </w:p>
        </w:tc>
        <w:tc>
          <w:tcPr>
            <w:tcW w:w="1280" w:type="dxa"/>
            <w:tcBorders>
              <w:top w:val="nil"/>
              <w:left w:val="nil"/>
              <w:bottom w:val="single" w:sz="8" w:space="0" w:color="auto"/>
              <w:right w:val="single" w:sz="8" w:space="0" w:color="auto"/>
            </w:tcBorders>
            <w:noWrap/>
            <w:vAlign w:val="bottom"/>
            <w:hideMark/>
          </w:tcPr>
          <w:p w14:paraId="2D97A443"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83</w:t>
            </w:r>
          </w:p>
        </w:tc>
        <w:tc>
          <w:tcPr>
            <w:tcW w:w="1007" w:type="dxa"/>
            <w:tcBorders>
              <w:top w:val="nil"/>
              <w:left w:val="nil"/>
              <w:bottom w:val="single" w:sz="8" w:space="0" w:color="auto"/>
              <w:right w:val="single" w:sz="8" w:space="0" w:color="auto"/>
            </w:tcBorders>
            <w:noWrap/>
            <w:vAlign w:val="bottom"/>
            <w:hideMark/>
          </w:tcPr>
          <w:p w14:paraId="2D856BE4"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83</w:t>
            </w:r>
          </w:p>
        </w:tc>
        <w:tc>
          <w:tcPr>
            <w:tcW w:w="1007" w:type="dxa"/>
            <w:tcBorders>
              <w:top w:val="nil"/>
              <w:left w:val="nil"/>
              <w:bottom w:val="single" w:sz="8" w:space="0" w:color="auto"/>
              <w:right w:val="single" w:sz="8" w:space="0" w:color="auto"/>
            </w:tcBorders>
            <w:noWrap/>
            <w:vAlign w:val="bottom"/>
            <w:hideMark/>
          </w:tcPr>
          <w:p w14:paraId="7288E397"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83</w:t>
            </w:r>
          </w:p>
        </w:tc>
        <w:tc>
          <w:tcPr>
            <w:tcW w:w="1007" w:type="dxa"/>
            <w:tcBorders>
              <w:top w:val="nil"/>
              <w:left w:val="nil"/>
              <w:bottom w:val="single" w:sz="8" w:space="0" w:color="auto"/>
              <w:right w:val="single" w:sz="8" w:space="0" w:color="auto"/>
            </w:tcBorders>
            <w:noWrap/>
            <w:vAlign w:val="bottom"/>
            <w:hideMark/>
          </w:tcPr>
          <w:p w14:paraId="089008ED"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83</w:t>
            </w:r>
          </w:p>
        </w:tc>
      </w:tr>
      <w:tr w:rsidR="00EA0FD7" w:rsidRPr="00EA0FD7" w14:paraId="2FD73881" w14:textId="77777777" w:rsidTr="00EA0FD7">
        <w:trPr>
          <w:trHeight w:val="375"/>
        </w:trPr>
        <w:tc>
          <w:tcPr>
            <w:tcW w:w="628" w:type="dxa"/>
            <w:tcBorders>
              <w:top w:val="nil"/>
              <w:left w:val="single" w:sz="8" w:space="0" w:color="auto"/>
              <w:bottom w:val="single" w:sz="8" w:space="0" w:color="auto"/>
              <w:right w:val="single" w:sz="8" w:space="0" w:color="auto"/>
            </w:tcBorders>
            <w:noWrap/>
            <w:vAlign w:val="bottom"/>
            <w:hideMark/>
          </w:tcPr>
          <w:p w14:paraId="2B5ED59C"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19</w:t>
            </w:r>
          </w:p>
        </w:tc>
        <w:tc>
          <w:tcPr>
            <w:tcW w:w="3100" w:type="dxa"/>
            <w:tcBorders>
              <w:top w:val="nil"/>
              <w:left w:val="nil"/>
              <w:bottom w:val="single" w:sz="8" w:space="0" w:color="auto"/>
              <w:right w:val="single" w:sz="8" w:space="0" w:color="auto"/>
            </w:tcBorders>
            <w:noWrap/>
            <w:vAlign w:val="bottom"/>
            <w:hideMark/>
          </w:tcPr>
          <w:p w14:paraId="70358CD3"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Одјељење за здравство и остале услуге</w:t>
            </w:r>
          </w:p>
        </w:tc>
        <w:tc>
          <w:tcPr>
            <w:tcW w:w="1280" w:type="dxa"/>
            <w:tcBorders>
              <w:top w:val="nil"/>
              <w:left w:val="nil"/>
              <w:bottom w:val="single" w:sz="8" w:space="0" w:color="auto"/>
              <w:right w:val="single" w:sz="8" w:space="0" w:color="auto"/>
            </w:tcBorders>
            <w:noWrap/>
            <w:vAlign w:val="bottom"/>
            <w:hideMark/>
          </w:tcPr>
          <w:p w14:paraId="51685B9C"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76</w:t>
            </w:r>
          </w:p>
        </w:tc>
        <w:tc>
          <w:tcPr>
            <w:tcW w:w="1280" w:type="dxa"/>
            <w:tcBorders>
              <w:top w:val="nil"/>
              <w:left w:val="nil"/>
              <w:bottom w:val="single" w:sz="8" w:space="0" w:color="auto"/>
              <w:right w:val="single" w:sz="8" w:space="0" w:color="auto"/>
            </w:tcBorders>
            <w:noWrap/>
            <w:vAlign w:val="bottom"/>
            <w:hideMark/>
          </w:tcPr>
          <w:p w14:paraId="2B8F4B50"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107</w:t>
            </w:r>
          </w:p>
        </w:tc>
        <w:tc>
          <w:tcPr>
            <w:tcW w:w="1007" w:type="dxa"/>
            <w:tcBorders>
              <w:top w:val="nil"/>
              <w:left w:val="nil"/>
              <w:bottom w:val="single" w:sz="8" w:space="0" w:color="auto"/>
              <w:right w:val="single" w:sz="8" w:space="0" w:color="auto"/>
            </w:tcBorders>
            <w:noWrap/>
            <w:vAlign w:val="bottom"/>
            <w:hideMark/>
          </w:tcPr>
          <w:p w14:paraId="3348F529"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107</w:t>
            </w:r>
          </w:p>
        </w:tc>
        <w:tc>
          <w:tcPr>
            <w:tcW w:w="1007" w:type="dxa"/>
            <w:tcBorders>
              <w:top w:val="nil"/>
              <w:left w:val="nil"/>
              <w:bottom w:val="single" w:sz="8" w:space="0" w:color="auto"/>
              <w:right w:val="single" w:sz="8" w:space="0" w:color="auto"/>
            </w:tcBorders>
            <w:noWrap/>
            <w:vAlign w:val="bottom"/>
            <w:hideMark/>
          </w:tcPr>
          <w:p w14:paraId="10F1E91C"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107</w:t>
            </w:r>
          </w:p>
        </w:tc>
        <w:tc>
          <w:tcPr>
            <w:tcW w:w="1007" w:type="dxa"/>
            <w:tcBorders>
              <w:top w:val="nil"/>
              <w:left w:val="nil"/>
              <w:bottom w:val="single" w:sz="8" w:space="0" w:color="auto"/>
              <w:right w:val="single" w:sz="8" w:space="0" w:color="auto"/>
            </w:tcBorders>
            <w:noWrap/>
            <w:vAlign w:val="bottom"/>
            <w:hideMark/>
          </w:tcPr>
          <w:p w14:paraId="2B888807"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107</w:t>
            </w:r>
          </w:p>
        </w:tc>
      </w:tr>
      <w:tr w:rsidR="00EA0FD7" w:rsidRPr="00EA0FD7" w14:paraId="51B8BD5E" w14:textId="77777777" w:rsidTr="00EA0FD7">
        <w:trPr>
          <w:trHeight w:val="330"/>
        </w:trPr>
        <w:tc>
          <w:tcPr>
            <w:tcW w:w="628" w:type="dxa"/>
            <w:tcBorders>
              <w:top w:val="nil"/>
              <w:left w:val="single" w:sz="8" w:space="0" w:color="auto"/>
              <w:bottom w:val="single" w:sz="8" w:space="0" w:color="auto"/>
              <w:right w:val="single" w:sz="8" w:space="0" w:color="auto"/>
            </w:tcBorders>
            <w:noWrap/>
            <w:vAlign w:val="bottom"/>
            <w:hideMark/>
          </w:tcPr>
          <w:p w14:paraId="6E9F7D09"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20</w:t>
            </w:r>
          </w:p>
        </w:tc>
        <w:tc>
          <w:tcPr>
            <w:tcW w:w="3100" w:type="dxa"/>
            <w:tcBorders>
              <w:top w:val="nil"/>
              <w:left w:val="nil"/>
              <w:bottom w:val="single" w:sz="8" w:space="0" w:color="auto"/>
              <w:right w:val="single" w:sz="8" w:space="0" w:color="auto"/>
            </w:tcBorders>
            <w:noWrap/>
            <w:vAlign w:val="bottom"/>
            <w:hideMark/>
          </w:tcPr>
          <w:p w14:paraId="778CA9BE"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Одјељење за образовање</w:t>
            </w:r>
          </w:p>
        </w:tc>
        <w:tc>
          <w:tcPr>
            <w:tcW w:w="1280" w:type="dxa"/>
            <w:tcBorders>
              <w:top w:val="nil"/>
              <w:left w:val="nil"/>
              <w:bottom w:val="single" w:sz="8" w:space="0" w:color="auto"/>
              <w:right w:val="single" w:sz="8" w:space="0" w:color="auto"/>
            </w:tcBorders>
            <w:noWrap/>
            <w:vAlign w:val="bottom"/>
            <w:hideMark/>
          </w:tcPr>
          <w:p w14:paraId="6A58D861"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968</w:t>
            </w:r>
          </w:p>
        </w:tc>
        <w:tc>
          <w:tcPr>
            <w:tcW w:w="1280" w:type="dxa"/>
            <w:tcBorders>
              <w:top w:val="nil"/>
              <w:left w:val="nil"/>
              <w:bottom w:val="single" w:sz="8" w:space="0" w:color="auto"/>
              <w:right w:val="single" w:sz="8" w:space="0" w:color="auto"/>
            </w:tcBorders>
            <w:noWrap/>
            <w:vAlign w:val="bottom"/>
            <w:hideMark/>
          </w:tcPr>
          <w:p w14:paraId="6D71F2E7"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1186</w:t>
            </w:r>
          </w:p>
        </w:tc>
        <w:tc>
          <w:tcPr>
            <w:tcW w:w="1007" w:type="dxa"/>
            <w:tcBorders>
              <w:top w:val="nil"/>
              <w:left w:val="nil"/>
              <w:bottom w:val="single" w:sz="8" w:space="0" w:color="auto"/>
              <w:right w:val="single" w:sz="8" w:space="0" w:color="auto"/>
            </w:tcBorders>
            <w:noWrap/>
            <w:vAlign w:val="bottom"/>
            <w:hideMark/>
          </w:tcPr>
          <w:p w14:paraId="478076D0"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1186</w:t>
            </w:r>
          </w:p>
        </w:tc>
        <w:tc>
          <w:tcPr>
            <w:tcW w:w="1007" w:type="dxa"/>
            <w:tcBorders>
              <w:top w:val="nil"/>
              <w:left w:val="nil"/>
              <w:bottom w:val="single" w:sz="8" w:space="0" w:color="auto"/>
              <w:right w:val="single" w:sz="8" w:space="0" w:color="auto"/>
            </w:tcBorders>
            <w:noWrap/>
            <w:vAlign w:val="bottom"/>
            <w:hideMark/>
          </w:tcPr>
          <w:p w14:paraId="265ADCCF"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1186</w:t>
            </w:r>
          </w:p>
        </w:tc>
        <w:tc>
          <w:tcPr>
            <w:tcW w:w="1007" w:type="dxa"/>
            <w:tcBorders>
              <w:top w:val="nil"/>
              <w:left w:val="nil"/>
              <w:bottom w:val="single" w:sz="8" w:space="0" w:color="auto"/>
              <w:right w:val="single" w:sz="8" w:space="0" w:color="auto"/>
            </w:tcBorders>
            <w:noWrap/>
            <w:vAlign w:val="bottom"/>
            <w:hideMark/>
          </w:tcPr>
          <w:p w14:paraId="06D5C379"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1186</w:t>
            </w:r>
          </w:p>
        </w:tc>
      </w:tr>
      <w:tr w:rsidR="00EA0FD7" w:rsidRPr="00EA0FD7" w14:paraId="7ED0AA87" w14:textId="77777777" w:rsidTr="00EA0FD7">
        <w:trPr>
          <w:trHeight w:val="480"/>
        </w:trPr>
        <w:tc>
          <w:tcPr>
            <w:tcW w:w="628" w:type="dxa"/>
            <w:tcBorders>
              <w:top w:val="nil"/>
              <w:left w:val="single" w:sz="8" w:space="0" w:color="auto"/>
              <w:bottom w:val="single" w:sz="8" w:space="0" w:color="auto"/>
              <w:right w:val="single" w:sz="8" w:space="0" w:color="auto"/>
            </w:tcBorders>
            <w:noWrap/>
            <w:vAlign w:val="bottom"/>
            <w:hideMark/>
          </w:tcPr>
          <w:p w14:paraId="374592C5"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21</w:t>
            </w:r>
          </w:p>
        </w:tc>
        <w:tc>
          <w:tcPr>
            <w:tcW w:w="3100" w:type="dxa"/>
            <w:tcBorders>
              <w:top w:val="nil"/>
              <w:left w:val="nil"/>
              <w:bottom w:val="single" w:sz="8" w:space="0" w:color="auto"/>
              <w:right w:val="single" w:sz="8" w:space="0" w:color="auto"/>
            </w:tcBorders>
            <w:vAlign w:val="bottom"/>
            <w:hideMark/>
          </w:tcPr>
          <w:p w14:paraId="031C5E52" w14:textId="5352E82F"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Одјељење за просторно планирање имовинскоправне послове</w:t>
            </w:r>
          </w:p>
        </w:tc>
        <w:tc>
          <w:tcPr>
            <w:tcW w:w="1280" w:type="dxa"/>
            <w:tcBorders>
              <w:top w:val="nil"/>
              <w:left w:val="nil"/>
              <w:bottom w:val="single" w:sz="8" w:space="0" w:color="auto"/>
              <w:right w:val="single" w:sz="8" w:space="0" w:color="auto"/>
            </w:tcBorders>
            <w:noWrap/>
            <w:vAlign w:val="bottom"/>
            <w:hideMark/>
          </w:tcPr>
          <w:p w14:paraId="725B1F97"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43</w:t>
            </w:r>
          </w:p>
        </w:tc>
        <w:tc>
          <w:tcPr>
            <w:tcW w:w="1280" w:type="dxa"/>
            <w:tcBorders>
              <w:top w:val="nil"/>
              <w:left w:val="nil"/>
              <w:bottom w:val="single" w:sz="8" w:space="0" w:color="auto"/>
              <w:right w:val="single" w:sz="8" w:space="0" w:color="auto"/>
            </w:tcBorders>
            <w:noWrap/>
            <w:vAlign w:val="bottom"/>
            <w:hideMark/>
          </w:tcPr>
          <w:p w14:paraId="2CD7DFB7"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59</w:t>
            </w:r>
          </w:p>
        </w:tc>
        <w:tc>
          <w:tcPr>
            <w:tcW w:w="1007" w:type="dxa"/>
            <w:tcBorders>
              <w:top w:val="nil"/>
              <w:left w:val="nil"/>
              <w:bottom w:val="single" w:sz="8" w:space="0" w:color="auto"/>
              <w:right w:val="single" w:sz="8" w:space="0" w:color="auto"/>
            </w:tcBorders>
            <w:noWrap/>
            <w:vAlign w:val="bottom"/>
            <w:hideMark/>
          </w:tcPr>
          <w:p w14:paraId="70AE439F"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59</w:t>
            </w:r>
          </w:p>
        </w:tc>
        <w:tc>
          <w:tcPr>
            <w:tcW w:w="1007" w:type="dxa"/>
            <w:tcBorders>
              <w:top w:val="nil"/>
              <w:left w:val="nil"/>
              <w:bottom w:val="single" w:sz="8" w:space="0" w:color="auto"/>
              <w:right w:val="single" w:sz="8" w:space="0" w:color="auto"/>
            </w:tcBorders>
            <w:noWrap/>
            <w:vAlign w:val="bottom"/>
            <w:hideMark/>
          </w:tcPr>
          <w:p w14:paraId="68652A4A"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59</w:t>
            </w:r>
          </w:p>
        </w:tc>
        <w:tc>
          <w:tcPr>
            <w:tcW w:w="1007" w:type="dxa"/>
            <w:tcBorders>
              <w:top w:val="nil"/>
              <w:left w:val="nil"/>
              <w:bottom w:val="single" w:sz="8" w:space="0" w:color="auto"/>
              <w:right w:val="single" w:sz="8" w:space="0" w:color="auto"/>
            </w:tcBorders>
            <w:noWrap/>
            <w:vAlign w:val="bottom"/>
            <w:hideMark/>
          </w:tcPr>
          <w:p w14:paraId="0C1438B8"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59</w:t>
            </w:r>
          </w:p>
        </w:tc>
      </w:tr>
      <w:tr w:rsidR="00EA0FD7" w:rsidRPr="00EA0FD7" w14:paraId="2B90AE31" w14:textId="77777777" w:rsidTr="00EA0FD7">
        <w:trPr>
          <w:trHeight w:val="480"/>
        </w:trPr>
        <w:tc>
          <w:tcPr>
            <w:tcW w:w="628" w:type="dxa"/>
            <w:tcBorders>
              <w:top w:val="nil"/>
              <w:left w:val="single" w:sz="8" w:space="0" w:color="auto"/>
              <w:bottom w:val="single" w:sz="8" w:space="0" w:color="auto"/>
              <w:right w:val="single" w:sz="8" w:space="0" w:color="auto"/>
            </w:tcBorders>
            <w:noWrap/>
            <w:vAlign w:val="bottom"/>
            <w:hideMark/>
          </w:tcPr>
          <w:p w14:paraId="262B0C62"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22</w:t>
            </w:r>
          </w:p>
        </w:tc>
        <w:tc>
          <w:tcPr>
            <w:tcW w:w="3100" w:type="dxa"/>
            <w:tcBorders>
              <w:top w:val="nil"/>
              <w:left w:val="nil"/>
              <w:bottom w:val="single" w:sz="8" w:space="0" w:color="auto"/>
              <w:right w:val="single" w:sz="8" w:space="0" w:color="auto"/>
            </w:tcBorders>
            <w:vAlign w:val="bottom"/>
            <w:hideMark/>
          </w:tcPr>
          <w:p w14:paraId="5C86D182"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Одјељење за расељена лица, избјеглице и стамбена питања</w:t>
            </w:r>
          </w:p>
        </w:tc>
        <w:tc>
          <w:tcPr>
            <w:tcW w:w="1280" w:type="dxa"/>
            <w:tcBorders>
              <w:top w:val="nil"/>
              <w:left w:val="nil"/>
              <w:bottom w:val="single" w:sz="8" w:space="0" w:color="auto"/>
              <w:right w:val="single" w:sz="8" w:space="0" w:color="auto"/>
            </w:tcBorders>
            <w:noWrap/>
            <w:vAlign w:val="bottom"/>
            <w:hideMark/>
          </w:tcPr>
          <w:p w14:paraId="3B205420"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32</w:t>
            </w:r>
          </w:p>
        </w:tc>
        <w:tc>
          <w:tcPr>
            <w:tcW w:w="1280" w:type="dxa"/>
            <w:tcBorders>
              <w:top w:val="nil"/>
              <w:left w:val="nil"/>
              <w:bottom w:val="single" w:sz="8" w:space="0" w:color="auto"/>
              <w:right w:val="single" w:sz="8" w:space="0" w:color="auto"/>
            </w:tcBorders>
            <w:noWrap/>
            <w:vAlign w:val="bottom"/>
            <w:hideMark/>
          </w:tcPr>
          <w:p w14:paraId="624818AE"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32</w:t>
            </w:r>
          </w:p>
        </w:tc>
        <w:tc>
          <w:tcPr>
            <w:tcW w:w="1007" w:type="dxa"/>
            <w:tcBorders>
              <w:top w:val="nil"/>
              <w:left w:val="nil"/>
              <w:bottom w:val="single" w:sz="8" w:space="0" w:color="auto"/>
              <w:right w:val="single" w:sz="8" w:space="0" w:color="auto"/>
            </w:tcBorders>
            <w:noWrap/>
            <w:vAlign w:val="bottom"/>
            <w:hideMark/>
          </w:tcPr>
          <w:p w14:paraId="02E7A8E0"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32</w:t>
            </w:r>
          </w:p>
        </w:tc>
        <w:tc>
          <w:tcPr>
            <w:tcW w:w="1007" w:type="dxa"/>
            <w:tcBorders>
              <w:top w:val="nil"/>
              <w:left w:val="nil"/>
              <w:bottom w:val="single" w:sz="8" w:space="0" w:color="auto"/>
              <w:right w:val="single" w:sz="8" w:space="0" w:color="auto"/>
            </w:tcBorders>
            <w:noWrap/>
            <w:vAlign w:val="bottom"/>
            <w:hideMark/>
          </w:tcPr>
          <w:p w14:paraId="0C464ECD"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32</w:t>
            </w:r>
          </w:p>
        </w:tc>
        <w:tc>
          <w:tcPr>
            <w:tcW w:w="1007" w:type="dxa"/>
            <w:tcBorders>
              <w:top w:val="nil"/>
              <w:left w:val="nil"/>
              <w:bottom w:val="single" w:sz="8" w:space="0" w:color="auto"/>
              <w:right w:val="single" w:sz="8" w:space="0" w:color="auto"/>
            </w:tcBorders>
            <w:noWrap/>
            <w:vAlign w:val="bottom"/>
            <w:hideMark/>
          </w:tcPr>
          <w:p w14:paraId="0049D583"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32</w:t>
            </w:r>
          </w:p>
        </w:tc>
      </w:tr>
      <w:tr w:rsidR="00EA0FD7" w:rsidRPr="00EA0FD7" w14:paraId="305C46B1" w14:textId="77777777" w:rsidTr="00EA0FD7">
        <w:trPr>
          <w:trHeight w:val="375"/>
        </w:trPr>
        <w:tc>
          <w:tcPr>
            <w:tcW w:w="628" w:type="dxa"/>
            <w:tcBorders>
              <w:top w:val="nil"/>
              <w:left w:val="single" w:sz="8" w:space="0" w:color="auto"/>
              <w:bottom w:val="single" w:sz="8" w:space="0" w:color="auto"/>
              <w:right w:val="single" w:sz="8" w:space="0" w:color="auto"/>
            </w:tcBorders>
            <w:noWrap/>
            <w:vAlign w:val="bottom"/>
            <w:hideMark/>
          </w:tcPr>
          <w:p w14:paraId="68774D71"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23</w:t>
            </w:r>
          </w:p>
        </w:tc>
        <w:tc>
          <w:tcPr>
            <w:tcW w:w="3100" w:type="dxa"/>
            <w:tcBorders>
              <w:top w:val="nil"/>
              <w:left w:val="nil"/>
              <w:bottom w:val="single" w:sz="8" w:space="0" w:color="auto"/>
              <w:right w:val="single" w:sz="8" w:space="0" w:color="auto"/>
            </w:tcBorders>
            <w:noWrap/>
            <w:vAlign w:val="bottom"/>
            <w:hideMark/>
          </w:tcPr>
          <w:p w14:paraId="43E2DFD3"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Одјељење за комуналне послове</w:t>
            </w:r>
          </w:p>
        </w:tc>
        <w:tc>
          <w:tcPr>
            <w:tcW w:w="1280" w:type="dxa"/>
            <w:tcBorders>
              <w:top w:val="nil"/>
              <w:left w:val="nil"/>
              <w:bottom w:val="single" w:sz="8" w:space="0" w:color="auto"/>
              <w:right w:val="single" w:sz="8" w:space="0" w:color="auto"/>
            </w:tcBorders>
            <w:noWrap/>
            <w:vAlign w:val="bottom"/>
            <w:hideMark/>
          </w:tcPr>
          <w:p w14:paraId="71B175DE"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19</w:t>
            </w:r>
          </w:p>
        </w:tc>
        <w:tc>
          <w:tcPr>
            <w:tcW w:w="1280" w:type="dxa"/>
            <w:tcBorders>
              <w:top w:val="nil"/>
              <w:left w:val="nil"/>
              <w:bottom w:val="single" w:sz="8" w:space="0" w:color="auto"/>
              <w:right w:val="single" w:sz="8" w:space="0" w:color="auto"/>
            </w:tcBorders>
            <w:noWrap/>
            <w:vAlign w:val="bottom"/>
            <w:hideMark/>
          </w:tcPr>
          <w:p w14:paraId="4003CC25"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21</w:t>
            </w:r>
          </w:p>
        </w:tc>
        <w:tc>
          <w:tcPr>
            <w:tcW w:w="1007" w:type="dxa"/>
            <w:tcBorders>
              <w:top w:val="nil"/>
              <w:left w:val="nil"/>
              <w:bottom w:val="single" w:sz="8" w:space="0" w:color="auto"/>
              <w:right w:val="single" w:sz="8" w:space="0" w:color="auto"/>
            </w:tcBorders>
            <w:noWrap/>
            <w:vAlign w:val="bottom"/>
            <w:hideMark/>
          </w:tcPr>
          <w:p w14:paraId="6CBB8314"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21</w:t>
            </w:r>
          </w:p>
        </w:tc>
        <w:tc>
          <w:tcPr>
            <w:tcW w:w="1007" w:type="dxa"/>
            <w:tcBorders>
              <w:top w:val="nil"/>
              <w:left w:val="nil"/>
              <w:bottom w:val="single" w:sz="8" w:space="0" w:color="auto"/>
              <w:right w:val="single" w:sz="8" w:space="0" w:color="auto"/>
            </w:tcBorders>
            <w:noWrap/>
            <w:vAlign w:val="bottom"/>
            <w:hideMark/>
          </w:tcPr>
          <w:p w14:paraId="70A075B9"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21</w:t>
            </w:r>
          </w:p>
        </w:tc>
        <w:tc>
          <w:tcPr>
            <w:tcW w:w="1007" w:type="dxa"/>
            <w:tcBorders>
              <w:top w:val="nil"/>
              <w:left w:val="nil"/>
              <w:bottom w:val="single" w:sz="8" w:space="0" w:color="auto"/>
              <w:right w:val="single" w:sz="8" w:space="0" w:color="auto"/>
            </w:tcBorders>
            <w:noWrap/>
            <w:vAlign w:val="bottom"/>
            <w:hideMark/>
          </w:tcPr>
          <w:p w14:paraId="56D123EE"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21</w:t>
            </w:r>
          </w:p>
        </w:tc>
      </w:tr>
      <w:tr w:rsidR="00EA0FD7" w:rsidRPr="00EA0FD7" w14:paraId="6E8F4CE6" w14:textId="77777777" w:rsidTr="00EA0FD7">
        <w:trPr>
          <w:trHeight w:val="345"/>
        </w:trPr>
        <w:tc>
          <w:tcPr>
            <w:tcW w:w="628" w:type="dxa"/>
            <w:tcBorders>
              <w:top w:val="nil"/>
              <w:left w:val="single" w:sz="8" w:space="0" w:color="auto"/>
              <w:bottom w:val="single" w:sz="8" w:space="0" w:color="auto"/>
              <w:right w:val="single" w:sz="8" w:space="0" w:color="auto"/>
            </w:tcBorders>
            <w:noWrap/>
            <w:vAlign w:val="bottom"/>
            <w:hideMark/>
          </w:tcPr>
          <w:p w14:paraId="5F10B6FC"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24</w:t>
            </w:r>
          </w:p>
        </w:tc>
        <w:tc>
          <w:tcPr>
            <w:tcW w:w="3100" w:type="dxa"/>
            <w:tcBorders>
              <w:top w:val="nil"/>
              <w:left w:val="nil"/>
              <w:bottom w:val="single" w:sz="8" w:space="0" w:color="auto"/>
              <w:right w:val="single" w:sz="8" w:space="0" w:color="auto"/>
            </w:tcBorders>
            <w:noWrap/>
            <w:vAlign w:val="bottom"/>
            <w:hideMark/>
          </w:tcPr>
          <w:p w14:paraId="1F48D4B7"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Одјељење за јавне послове</w:t>
            </w:r>
          </w:p>
        </w:tc>
        <w:tc>
          <w:tcPr>
            <w:tcW w:w="1280" w:type="dxa"/>
            <w:tcBorders>
              <w:top w:val="nil"/>
              <w:left w:val="nil"/>
              <w:bottom w:val="single" w:sz="8" w:space="0" w:color="auto"/>
              <w:right w:val="single" w:sz="8" w:space="0" w:color="auto"/>
            </w:tcBorders>
            <w:noWrap/>
            <w:vAlign w:val="bottom"/>
            <w:hideMark/>
          </w:tcPr>
          <w:p w14:paraId="48152AED"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44</w:t>
            </w:r>
          </w:p>
        </w:tc>
        <w:tc>
          <w:tcPr>
            <w:tcW w:w="1280" w:type="dxa"/>
            <w:tcBorders>
              <w:top w:val="nil"/>
              <w:left w:val="nil"/>
              <w:bottom w:val="single" w:sz="8" w:space="0" w:color="auto"/>
              <w:right w:val="single" w:sz="8" w:space="0" w:color="auto"/>
            </w:tcBorders>
            <w:noWrap/>
            <w:vAlign w:val="bottom"/>
            <w:hideMark/>
          </w:tcPr>
          <w:p w14:paraId="6F1C93A5"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48</w:t>
            </w:r>
          </w:p>
        </w:tc>
        <w:tc>
          <w:tcPr>
            <w:tcW w:w="1007" w:type="dxa"/>
            <w:tcBorders>
              <w:top w:val="nil"/>
              <w:left w:val="nil"/>
              <w:bottom w:val="single" w:sz="8" w:space="0" w:color="auto"/>
              <w:right w:val="single" w:sz="8" w:space="0" w:color="auto"/>
            </w:tcBorders>
            <w:noWrap/>
            <w:vAlign w:val="bottom"/>
            <w:hideMark/>
          </w:tcPr>
          <w:p w14:paraId="36592112"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48</w:t>
            </w:r>
          </w:p>
        </w:tc>
        <w:tc>
          <w:tcPr>
            <w:tcW w:w="1007" w:type="dxa"/>
            <w:tcBorders>
              <w:top w:val="nil"/>
              <w:left w:val="nil"/>
              <w:bottom w:val="single" w:sz="8" w:space="0" w:color="auto"/>
              <w:right w:val="single" w:sz="8" w:space="0" w:color="auto"/>
            </w:tcBorders>
            <w:noWrap/>
            <w:vAlign w:val="bottom"/>
            <w:hideMark/>
          </w:tcPr>
          <w:p w14:paraId="14567A65"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48</w:t>
            </w:r>
          </w:p>
        </w:tc>
        <w:tc>
          <w:tcPr>
            <w:tcW w:w="1007" w:type="dxa"/>
            <w:tcBorders>
              <w:top w:val="nil"/>
              <w:left w:val="nil"/>
              <w:bottom w:val="single" w:sz="8" w:space="0" w:color="auto"/>
              <w:right w:val="single" w:sz="8" w:space="0" w:color="auto"/>
            </w:tcBorders>
            <w:noWrap/>
            <w:vAlign w:val="bottom"/>
            <w:hideMark/>
          </w:tcPr>
          <w:p w14:paraId="54A239C6"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48</w:t>
            </w:r>
          </w:p>
        </w:tc>
      </w:tr>
      <w:tr w:rsidR="00EA0FD7" w:rsidRPr="00EA0FD7" w14:paraId="21032D65" w14:textId="77777777" w:rsidTr="00EA0FD7">
        <w:trPr>
          <w:trHeight w:val="390"/>
        </w:trPr>
        <w:tc>
          <w:tcPr>
            <w:tcW w:w="628" w:type="dxa"/>
            <w:tcBorders>
              <w:top w:val="nil"/>
              <w:left w:val="single" w:sz="8" w:space="0" w:color="auto"/>
              <w:bottom w:val="single" w:sz="8" w:space="0" w:color="auto"/>
              <w:right w:val="single" w:sz="8" w:space="0" w:color="auto"/>
            </w:tcBorders>
            <w:noWrap/>
            <w:vAlign w:val="bottom"/>
            <w:hideMark/>
          </w:tcPr>
          <w:p w14:paraId="0A8609F2"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25</w:t>
            </w:r>
          </w:p>
        </w:tc>
        <w:tc>
          <w:tcPr>
            <w:tcW w:w="3100" w:type="dxa"/>
            <w:tcBorders>
              <w:top w:val="nil"/>
              <w:left w:val="nil"/>
              <w:bottom w:val="single" w:sz="8" w:space="0" w:color="auto"/>
              <w:right w:val="single" w:sz="8" w:space="0" w:color="auto"/>
            </w:tcBorders>
            <w:noWrap/>
            <w:vAlign w:val="bottom"/>
            <w:hideMark/>
          </w:tcPr>
          <w:p w14:paraId="53383C17"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Одјељење за јавни регистар</w:t>
            </w:r>
          </w:p>
        </w:tc>
        <w:tc>
          <w:tcPr>
            <w:tcW w:w="1280" w:type="dxa"/>
            <w:tcBorders>
              <w:top w:val="nil"/>
              <w:left w:val="nil"/>
              <w:bottom w:val="single" w:sz="8" w:space="0" w:color="auto"/>
              <w:right w:val="single" w:sz="8" w:space="0" w:color="auto"/>
            </w:tcBorders>
            <w:noWrap/>
            <w:vAlign w:val="bottom"/>
            <w:hideMark/>
          </w:tcPr>
          <w:p w14:paraId="2F661A85"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176</w:t>
            </w:r>
          </w:p>
        </w:tc>
        <w:tc>
          <w:tcPr>
            <w:tcW w:w="1280" w:type="dxa"/>
            <w:tcBorders>
              <w:top w:val="nil"/>
              <w:left w:val="nil"/>
              <w:bottom w:val="single" w:sz="8" w:space="0" w:color="auto"/>
              <w:right w:val="single" w:sz="8" w:space="0" w:color="auto"/>
            </w:tcBorders>
            <w:noWrap/>
            <w:vAlign w:val="bottom"/>
            <w:hideMark/>
          </w:tcPr>
          <w:p w14:paraId="7B1423D3"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179</w:t>
            </w:r>
          </w:p>
        </w:tc>
        <w:tc>
          <w:tcPr>
            <w:tcW w:w="1007" w:type="dxa"/>
            <w:tcBorders>
              <w:top w:val="nil"/>
              <w:left w:val="nil"/>
              <w:bottom w:val="single" w:sz="8" w:space="0" w:color="auto"/>
              <w:right w:val="single" w:sz="8" w:space="0" w:color="auto"/>
            </w:tcBorders>
            <w:noWrap/>
            <w:vAlign w:val="bottom"/>
            <w:hideMark/>
          </w:tcPr>
          <w:p w14:paraId="4EAF48BE"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179</w:t>
            </w:r>
          </w:p>
        </w:tc>
        <w:tc>
          <w:tcPr>
            <w:tcW w:w="1007" w:type="dxa"/>
            <w:tcBorders>
              <w:top w:val="nil"/>
              <w:left w:val="nil"/>
              <w:bottom w:val="single" w:sz="8" w:space="0" w:color="auto"/>
              <w:right w:val="single" w:sz="8" w:space="0" w:color="auto"/>
            </w:tcBorders>
            <w:noWrap/>
            <w:vAlign w:val="bottom"/>
            <w:hideMark/>
          </w:tcPr>
          <w:p w14:paraId="35867ADD"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179</w:t>
            </w:r>
          </w:p>
        </w:tc>
        <w:tc>
          <w:tcPr>
            <w:tcW w:w="1007" w:type="dxa"/>
            <w:tcBorders>
              <w:top w:val="nil"/>
              <w:left w:val="nil"/>
              <w:bottom w:val="single" w:sz="8" w:space="0" w:color="auto"/>
              <w:right w:val="single" w:sz="8" w:space="0" w:color="auto"/>
            </w:tcBorders>
            <w:noWrap/>
            <w:vAlign w:val="bottom"/>
            <w:hideMark/>
          </w:tcPr>
          <w:p w14:paraId="032441F6"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179</w:t>
            </w:r>
          </w:p>
        </w:tc>
      </w:tr>
      <w:tr w:rsidR="00EA0FD7" w:rsidRPr="00EA0FD7" w14:paraId="0626BD46" w14:textId="77777777" w:rsidTr="00EA0FD7">
        <w:trPr>
          <w:trHeight w:val="315"/>
        </w:trPr>
        <w:tc>
          <w:tcPr>
            <w:tcW w:w="628" w:type="dxa"/>
            <w:tcBorders>
              <w:top w:val="nil"/>
              <w:left w:val="single" w:sz="8" w:space="0" w:color="auto"/>
              <w:bottom w:val="single" w:sz="8" w:space="0" w:color="auto"/>
              <w:right w:val="single" w:sz="8" w:space="0" w:color="auto"/>
            </w:tcBorders>
            <w:noWrap/>
            <w:vAlign w:val="bottom"/>
            <w:hideMark/>
          </w:tcPr>
          <w:p w14:paraId="11F149EC"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26</w:t>
            </w:r>
          </w:p>
        </w:tc>
        <w:tc>
          <w:tcPr>
            <w:tcW w:w="3100" w:type="dxa"/>
            <w:tcBorders>
              <w:top w:val="nil"/>
              <w:left w:val="nil"/>
              <w:bottom w:val="single" w:sz="8" w:space="0" w:color="auto"/>
              <w:right w:val="single" w:sz="8" w:space="0" w:color="auto"/>
            </w:tcBorders>
            <w:noWrap/>
            <w:vAlign w:val="bottom"/>
            <w:hideMark/>
          </w:tcPr>
          <w:p w14:paraId="70AD9F20"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Комисија за хартије од вриједности</w:t>
            </w:r>
          </w:p>
        </w:tc>
        <w:tc>
          <w:tcPr>
            <w:tcW w:w="1280" w:type="dxa"/>
            <w:tcBorders>
              <w:top w:val="nil"/>
              <w:left w:val="nil"/>
              <w:bottom w:val="single" w:sz="8" w:space="0" w:color="auto"/>
              <w:right w:val="single" w:sz="8" w:space="0" w:color="auto"/>
            </w:tcBorders>
            <w:noWrap/>
            <w:vAlign w:val="bottom"/>
            <w:hideMark/>
          </w:tcPr>
          <w:p w14:paraId="4FBE77E6"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6</w:t>
            </w:r>
          </w:p>
        </w:tc>
        <w:tc>
          <w:tcPr>
            <w:tcW w:w="1280" w:type="dxa"/>
            <w:tcBorders>
              <w:top w:val="nil"/>
              <w:left w:val="nil"/>
              <w:bottom w:val="single" w:sz="8" w:space="0" w:color="auto"/>
              <w:right w:val="single" w:sz="8" w:space="0" w:color="auto"/>
            </w:tcBorders>
            <w:noWrap/>
            <w:vAlign w:val="bottom"/>
            <w:hideMark/>
          </w:tcPr>
          <w:p w14:paraId="590A9456"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6</w:t>
            </w:r>
          </w:p>
        </w:tc>
        <w:tc>
          <w:tcPr>
            <w:tcW w:w="1007" w:type="dxa"/>
            <w:tcBorders>
              <w:top w:val="nil"/>
              <w:left w:val="nil"/>
              <w:bottom w:val="single" w:sz="8" w:space="0" w:color="auto"/>
              <w:right w:val="single" w:sz="8" w:space="0" w:color="auto"/>
            </w:tcBorders>
            <w:noWrap/>
            <w:vAlign w:val="bottom"/>
            <w:hideMark/>
          </w:tcPr>
          <w:p w14:paraId="05E982A9"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6</w:t>
            </w:r>
          </w:p>
        </w:tc>
        <w:tc>
          <w:tcPr>
            <w:tcW w:w="1007" w:type="dxa"/>
            <w:tcBorders>
              <w:top w:val="nil"/>
              <w:left w:val="nil"/>
              <w:bottom w:val="single" w:sz="8" w:space="0" w:color="auto"/>
              <w:right w:val="single" w:sz="8" w:space="0" w:color="auto"/>
            </w:tcBorders>
            <w:noWrap/>
            <w:vAlign w:val="bottom"/>
            <w:hideMark/>
          </w:tcPr>
          <w:p w14:paraId="6A463195"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6</w:t>
            </w:r>
          </w:p>
        </w:tc>
        <w:tc>
          <w:tcPr>
            <w:tcW w:w="1007" w:type="dxa"/>
            <w:tcBorders>
              <w:top w:val="nil"/>
              <w:left w:val="nil"/>
              <w:bottom w:val="single" w:sz="8" w:space="0" w:color="auto"/>
              <w:right w:val="single" w:sz="8" w:space="0" w:color="auto"/>
            </w:tcBorders>
            <w:noWrap/>
            <w:vAlign w:val="bottom"/>
            <w:hideMark/>
          </w:tcPr>
          <w:p w14:paraId="21E91711"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6</w:t>
            </w:r>
          </w:p>
        </w:tc>
      </w:tr>
      <w:tr w:rsidR="00EA0FD7" w:rsidRPr="00EA0FD7" w14:paraId="5384A60C" w14:textId="77777777" w:rsidTr="00EA0FD7">
        <w:trPr>
          <w:trHeight w:val="480"/>
        </w:trPr>
        <w:tc>
          <w:tcPr>
            <w:tcW w:w="628" w:type="dxa"/>
            <w:tcBorders>
              <w:top w:val="nil"/>
              <w:left w:val="single" w:sz="8" w:space="0" w:color="auto"/>
              <w:bottom w:val="single" w:sz="8" w:space="0" w:color="auto"/>
              <w:right w:val="single" w:sz="8" w:space="0" w:color="auto"/>
            </w:tcBorders>
            <w:noWrap/>
            <w:vAlign w:val="bottom"/>
            <w:hideMark/>
          </w:tcPr>
          <w:p w14:paraId="1737CE98"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27</w:t>
            </w:r>
          </w:p>
        </w:tc>
        <w:tc>
          <w:tcPr>
            <w:tcW w:w="3100" w:type="dxa"/>
            <w:tcBorders>
              <w:top w:val="nil"/>
              <w:left w:val="nil"/>
              <w:bottom w:val="single" w:sz="8" w:space="0" w:color="auto"/>
              <w:right w:val="single" w:sz="8" w:space="0" w:color="auto"/>
            </w:tcBorders>
            <w:vAlign w:val="bottom"/>
            <w:hideMark/>
          </w:tcPr>
          <w:p w14:paraId="52FD5E7B"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Канцеларија за управљање јавном</w:t>
            </w:r>
            <w:r w:rsidRPr="00EA0FD7">
              <w:rPr>
                <w:rFonts w:ascii="Arial" w:eastAsia="Times New Roman" w:hAnsi="Arial" w:cs="Arial"/>
                <w:sz w:val="16"/>
                <w:szCs w:val="16"/>
                <w:lang w:val="sr-Cyrl-RS" w:eastAsia="hr-HR"/>
              </w:rPr>
              <w:br/>
              <w:t>имовином</w:t>
            </w:r>
          </w:p>
        </w:tc>
        <w:tc>
          <w:tcPr>
            <w:tcW w:w="1280" w:type="dxa"/>
            <w:tcBorders>
              <w:top w:val="nil"/>
              <w:left w:val="nil"/>
              <w:bottom w:val="single" w:sz="8" w:space="0" w:color="auto"/>
              <w:right w:val="single" w:sz="8" w:space="0" w:color="auto"/>
            </w:tcBorders>
            <w:noWrap/>
            <w:vAlign w:val="bottom"/>
            <w:hideMark/>
          </w:tcPr>
          <w:p w14:paraId="5D1E768A"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56</w:t>
            </w:r>
          </w:p>
        </w:tc>
        <w:tc>
          <w:tcPr>
            <w:tcW w:w="1280" w:type="dxa"/>
            <w:tcBorders>
              <w:top w:val="nil"/>
              <w:left w:val="nil"/>
              <w:bottom w:val="single" w:sz="8" w:space="0" w:color="auto"/>
              <w:right w:val="single" w:sz="8" w:space="0" w:color="auto"/>
            </w:tcBorders>
            <w:noWrap/>
            <w:vAlign w:val="bottom"/>
            <w:hideMark/>
          </w:tcPr>
          <w:p w14:paraId="74B66E83"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58</w:t>
            </w:r>
          </w:p>
        </w:tc>
        <w:tc>
          <w:tcPr>
            <w:tcW w:w="1007" w:type="dxa"/>
            <w:tcBorders>
              <w:top w:val="nil"/>
              <w:left w:val="nil"/>
              <w:bottom w:val="single" w:sz="8" w:space="0" w:color="auto"/>
              <w:right w:val="single" w:sz="8" w:space="0" w:color="auto"/>
            </w:tcBorders>
            <w:noWrap/>
            <w:vAlign w:val="bottom"/>
            <w:hideMark/>
          </w:tcPr>
          <w:p w14:paraId="15BA8463"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58</w:t>
            </w:r>
          </w:p>
        </w:tc>
        <w:tc>
          <w:tcPr>
            <w:tcW w:w="1007" w:type="dxa"/>
            <w:tcBorders>
              <w:top w:val="nil"/>
              <w:left w:val="nil"/>
              <w:bottom w:val="single" w:sz="8" w:space="0" w:color="auto"/>
              <w:right w:val="single" w:sz="8" w:space="0" w:color="auto"/>
            </w:tcBorders>
            <w:noWrap/>
            <w:vAlign w:val="bottom"/>
            <w:hideMark/>
          </w:tcPr>
          <w:p w14:paraId="2F7599EA"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58</w:t>
            </w:r>
          </w:p>
        </w:tc>
        <w:tc>
          <w:tcPr>
            <w:tcW w:w="1007" w:type="dxa"/>
            <w:tcBorders>
              <w:top w:val="nil"/>
              <w:left w:val="nil"/>
              <w:bottom w:val="single" w:sz="8" w:space="0" w:color="auto"/>
              <w:right w:val="single" w:sz="8" w:space="0" w:color="auto"/>
            </w:tcBorders>
            <w:noWrap/>
            <w:vAlign w:val="bottom"/>
            <w:hideMark/>
          </w:tcPr>
          <w:p w14:paraId="4D9E7894"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58</w:t>
            </w:r>
          </w:p>
        </w:tc>
      </w:tr>
      <w:tr w:rsidR="00EA0FD7" w:rsidRPr="00EA0FD7" w14:paraId="78B1BC68" w14:textId="77777777" w:rsidTr="00EA0FD7">
        <w:trPr>
          <w:trHeight w:val="690"/>
        </w:trPr>
        <w:tc>
          <w:tcPr>
            <w:tcW w:w="628" w:type="dxa"/>
            <w:tcBorders>
              <w:top w:val="nil"/>
              <w:left w:val="single" w:sz="8" w:space="0" w:color="auto"/>
              <w:bottom w:val="single" w:sz="8" w:space="0" w:color="auto"/>
              <w:right w:val="single" w:sz="8" w:space="0" w:color="auto"/>
            </w:tcBorders>
            <w:noWrap/>
            <w:vAlign w:val="bottom"/>
            <w:hideMark/>
          </w:tcPr>
          <w:p w14:paraId="22E303DC"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28</w:t>
            </w:r>
          </w:p>
        </w:tc>
        <w:tc>
          <w:tcPr>
            <w:tcW w:w="3100" w:type="dxa"/>
            <w:tcBorders>
              <w:top w:val="nil"/>
              <w:left w:val="nil"/>
              <w:bottom w:val="single" w:sz="8" w:space="0" w:color="auto"/>
              <w:right w:val="single" w:sz="8" w:space="0" w:color="auto"/>
            </w:tcBorders>
            <w:vAlign w:val="bottom"/>
            <w:hideMark/>
          </w:tcPr>
          <w:p w14:paraId="7A17DF2B" w14:textId="4B2FE7ED"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 xml:space="preserve">Канцеларија координатора Брчко дистрикта БиХ при </w:t>
            </w:r>
            <w:r w:rsidR="00752F04">
              <w:rPr>
                <w:rFonts w:ascii="Arial" w:eastAsia="Times New Roman" w:hAnsi="Arial" w:cs="Arial"/>
                <w:sz w:val="16"/>
                <w:szCs w:val="16"/>
                <w:lang w:val="sr-Cyrl-RS" w:eastAsia="hr-HR"/>
              </w:rPr>
              <w:t>Савјету</w:t>
            </w:r>
            <w:r w:rsidRPr="00EA0FD7">
              <w:rPr>
                <w:rFonts w:ascii="Arial" w:eastAsia="Times New Roman" w:hAnsi="Arial" w:cs="Arial"/>
                <w:sz w:val="16"/>
                <w:szCs w:val="16"/>
                <w:lang w:val="sr-Cyrl-RS" w:eastAsia="hr-HR"/>
              </w:rPr>
              <w:t xml:space="preserve"> министара Босне и Херцеговине</w:t>
            </w:r>
          </w:p>
        </w:tc>
        <w:tc>
          <w:tcPr>
            <w:tcW w:w="1280" w:type="dxa"/>
            <w:tcBorders>
              <w:top w:val="nil"/>
              <w:left w:val="nil"/>
              <w:bottom w:val="single" w:sz="8" w:space="0" w:color="auto"/>
              <w:right w:val="single" w:sz="8" w:space="0" w:color="auto"/>
            </w:tcBorders>
            <w:noWrap/>
            <w:vAlign w:val="bottom"/>
            <w:hideMark/>
          </w:tcPr>
          <w:p w14:paraId="00D96312"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w:t>
            </w:r>
          </w:p>
        </w:tc>
        <w:tc>
          <w:tcPr>
            <w:tcW w:w="1280" w:type="dxa"/>
            <w:tcBorders>
              <w:top w:val="nil"/>
              <w:left w:val="nil"/>
              <w:bottom w:val="single" w:sz="8" w:space="0" w:color="auto"/>
              <w:right w:val="single" w:sz="8" w:space="0" w:color="auto"/>
            </w:tcBorders>
            <w:noWrap/>
            <w:vAlign w:val="bottom"/>
            <w:hideMark/>
          </w:tcPr>
          <w:p w14:paraId="2EBA5320"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w:t>
            </w:r>
          </w:p>
        </w:tc>
        <w:tc>
          <w:tcPr>
            <w:tcW w:w="1007" w:type="dxa"/>
            <w:tcBorders>
              <w:top w:val="nil"/>
              <w:left w:val="nil"/>
              <w:bottom w:val="single" w:sz="8" w:space="0" w:color="auto"/>
              <w:right w:val="single" w:sz="8" w:space="0" w:color="auto"/>
            </w:tcBorders>
            <w:noWrap/>
            <w:vAlign w:val="bottom"/>
            <w:hideMark/>
          </w:tcPr>
          <w:p w14:paraId="3D13C533"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w:t>
            </w:r>
          </w:p>
        </w:tc>
        <w:tc>
          <w:tcPr>
            <w:tcW w:w="1007" w:type="dxa"/>
            <w:tcBorders>
              <w:top w:val="nil"/>
              <w:left w:val="nil"/>
              <w:bottom w:val="single" w:sz="8" w:space="0" w:color="auto"/>
              <w:right w:val="single" w:sz="8" w:space="0" w:color="auto"/>
            </w:tcBorders>
            <w:noWrap/>
            <w:vAlign w:val="bottom"/>
            <w:hideMark/>
          </w:tcPr>
          <w:p w14:paraId="3A80FAF3"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w:t>
            </w:r>
          </w:p>
        </w:tc>
        <w:tc>
          <w:tcPr>
            <w:tcW w:w="1007" w:type="dxa"/>
            <w:tcBorders>
              <w:top w:val="nil"/>
              <w:left w:val="nil"/>
              <w:bottom w:val="single" w:sz="8" w:space="0" w:color="auto"/>
              <w:right w:val="single" w:sz="8" w:space="0" w:color="auto"/>
            </w:tcBorders>
            <w:noWrap/>
            <w:vAlign w:val="bottom"/>
            <w:hideMark/>
          </w:tcPr>
          <w:p w14:paraId="01280E1A"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w:t>
            </w:r>
          </w:p>
        </w:tc>
      </w:tr>
      <w:tr w:rsidR="00EA0FD7" w:rsidRPr="00EA0FD7" w14:paraId="5E7BC0FA" w14:textId="77777777" w:rsidTr="00EA0FD7">
        <w:trPr>
          <w:trHeight w:val="345"/>
        </w:trPr>
        <w:tc>
          <w:tcPr>
            <w:tcW w:w="628" w:type="dxa"/>
            <w:tcBorders>
              <w:top w:val="nil"/>
              <w:left w:val="single" w:sz="8" w:space="0" w:color="auto"/>
              <w:bottom w:val="single" w:sz="8" w:space="0" w:color="auto"/>
              <w:right w:val="single" w:sz="8" w:space="0" w:color="auto"/>
            </w:tcBorders>
            <w:noWrap/>
            <w:vAlign w:val="bottom"/>
            <w:hideMark/>
          </w:tcPr>
          <w:p w14:paraId="5595CE21"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30</w:t>
            </w:r>
          </w:p>
        </w:tc>
        <w:tc>
          <w:tcPr>
            <w:tcW w:w="3100" w:type="dxa"/>
            <w:tcBorders>
              <w:top w:val="nil"/>
              <w:left w:val="nil"/>
              <w:bottom w:val="single" w:sz="8" w:space="0" w:color="auto"/>
              <w:right w:val="single" w:sz="8" w:space="0" w:color="auto"/>
            </w:tcBorders>
            <w:vAlign w:val="bottom"/>
            <w:hideMark/>
          </w:tcPr>
          <w:p w14:paraId="6F11A007"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Канцеларија за ревизију</w:t>
            </w:r>
          </w:p>
        </w:tc>
        <w:tc>
          <w:tcPr>
            <w:tcW w:w="1280" w:type="dxa"/>
            <w:tcBorders>
              <w:top w:val="nil"/>
              <w:left w:val="nil"/>
              <w:bottom w:val="single" w:sz="8" w:space="0" w:color="auto"/>
              <w:right w:val="single" w:sz="8" w:space="0" w:color="auto"/>
            </w:tcBorders>
            <w:noWrap/>
            <w:vAlign w:val="bottom"/>
            <w:hideMark/>
          </w:tcPr>
          <w:p w14:paraId="123516CB"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13</w:t>
            </w:r>
          </w:p>
        </w:tc>
        <w:tc>
          <w:tcPr>
            <w:tcW w:w="1280" w:type="dxa"/>
            <w:tcBorders>
              <w:top w:val="nil"/>
              <w:left w:val="nil"/>
              <w:bottom w:val="single" w:sz="8" w:space="0" w:color="auto"/>
              <w:right w:val="single" w:sz="8" w:space="0" w:color="auto"/>
            </w:tcBorders>
            <w:noWrap/>
            <w:vAlign w:val="bottom"/>
            <w:hideMark/>
          </w:tcPr>
          <w:p w14:paraId="19B8331B"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17</w:t>
            </w:r>
          </w:p>
        </w:tc>
        <w:tc>
          <w:tcPr>
            <w:tcW w:w="1007" w:type="dxa"/>
            <w:tcBorders>
              <w:top w:val="nil"/>
              <w:left w:val="nil"/>
              <w:bottom w:val="single" w:sz="8" w:space="0" w:color="auto"/>
              <w:right w:val="single" w:sz="8" w:space="0" w:color="auto"/>
            </w:tcBorders>
            <w:noWrap/>
            <w:vAlign w:val="bottom"/>
            <w:hideMark/>
          </w:tcPr>
          <w:p w14:paraId="4A8D3F9E"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16</w:t>
            </w:r>
          </w:p>
        </w:tc>
        <w:tc>
          <w:tcPr>
            <w:tcW w:w="1007" w:type="dxa"/>
            <w:tcBorders>
              <w:top w:val="nil"/>
              <w:left w:val="nil"/>
              <w:bottom w:val="single" w:sz="8" w:space="0" w:color="auto"/>
              <w:right w:val="single" w:sz="8" w:space="0" w:color="auto"/>
            </w:tcBorders>
            <w:noWrap/>
            <w:vAlign w:val="bottom"/>
            <w:hideMark/>
          </w:tcPr>
          <w:p w14:paraId="27CE5BB4"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16</w:t>
            </w:r>
          </w:p>
        </w:tc>
        <w:tc>
          <w:tcPr>
            <w:tcW w:w="1007" w:type="dxa"/>
            <w:tcBorders>
              <w:top w:val="nil"/>
              <w:left w:val="nil"/>
              <w:bottom w:val="single" w:sz="8" w:space="0" w:color="auto"/>
              <w:right w:val="single" w:sz="8" w:space="0" w:color="auto"/>
            </w:tcBorders>
            <w:noWrap/>
            <w:vAlign w:val="bottom"/>
            <w:hideMark/>
          </w:tcPr>
          <w:p w14:paraId="32A0D0EC"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16</w:t>
            </w:r>
          </w:p>
        </w:tc>
      </w:tr>
      <w:tr w:rsidR="00EA0FD7" w:rsidRPr="00EA0FD7" w14:paraId="197351AB" w14:textId="77777777" w:rsidTr="00EA0FD7">
        <w:trPr>
          <w:trHeight w:val="480"/>
        </w:trPr>
        <w:tc>
          <w:tcPr>
            <w:tcW w:w="628" w:type="dxa"/>
            <w:tcBorders>
              <w:top w:val="nil"/>
              <w:left w:val="single" w:sz="8" w:space="0" w:color="auto"/>
              <w:bottom w:val="single" w:sz="8" w:space="0" w:color="auto"/>
              <w:right w:val="single" w:sz="8" w:space="0" w:color="auto"/>
            </w:tcBorders>
            <w:noWrap/>
            <w:vAlign w:val="bottom"/>
            <w:hideMark/>
          </w:tcPr>
          <w:p w14:paraId="4CA72F74"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31</w:t>
            </w:r>
          </w:p>
        </w:tc>
        <w:tc>
          <w:tcPr>
            <w:tcW w:w="3100" w:type="dxa"/>
            <w:tcBorders>
              <w:top w:val="nil"/>
              <w:left w:val="nil"/>
              <w:bottom w:val="single" w:sz="8" w:space="0" w:color="auto"/>
              <w:right w:val="single" w:sz="8" w:space="0" w:color="auto"/>
            </w:tcBorders>
            <w:vAlign w:val="bottom"/>
            <w:hideMark/>
          </w:tcPr>
          <w:p w14:paraId="44D45FEA"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Одјељење за европске интеграције и међународну сарадњу</w:t>
            </w:r>
          </w:p>
        </w:tc>
        <w:tc>
          <w:tcPr>
            <w:tcW w:w="1280" w:type="dxa"/>
            <w:tcBorders>
              <w:top w:val="nil"/>
              <w:left w:val="nil"/>
              <w:bottom w:val="single" w:sz="8" w:space="0" w:color="auto"/>
              <w:right w:val="single" w:sz="8" w:space="0" w:color="auto"/>
            </w:tcBorders>
            <w:noWrap/>
            <w:vAlign w:val="bottom"/>
            <w:hideMark/>
          </w:tcPr>
          <w:p w14:paraId="227067A1"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15</w:t>
            </w:r>
          </w:p>
        </w:tc>
        <w:tc>
          <w:tcPr>
            <w:tcW w:w="1280" w:type="dxa"/>
            <w:tcBorders>
              <w:top w:val="nil"/>
              <w:left w:val="nil"/>
              <w:bottom w:val="single" w:sz="8" w:space="0" w:color="auto"/>
              <w:right w:val="single" w:sz="8" w:space="0" w:color="auto"/>
            </w:tcBorders>
            <w:noWrap/>
            <w:vAlign w:val="bottom"/>
            <w:hideMark/>
          </w:tcPr>
          <w:p w14:paraId="4D445A3D"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22</w:t>
            </w:r>
          </w:p>
        </w:tc>
        <w:tc>
          <w:tcPr>
            <w:tcW w:w="1007" w:type="dxa"/>
            <w:tcBorders>
              <w:top w:val="nil"/>
              <w:left w:val="nil"/>
              <w:bottom w:val="single" w:sz="8" w:space="0" w:color="auto"/>
              <w:right w:val="single" w:sz="8" w:space="0" w:color="auto"/>
            </w:tcBorders>
            <w:noWrap/>
            <w:vAlign w:val="bottom"/>
            <w:hideMark/>
          </w:tcPr>
          <w:p w14:paraId="5246AC54"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22</w:t>
            </w:r>
          </w:p>
        </w:tc>
        <w:tc>
          <w:tcPr>
            <w:tcW w:w="1007" w:type="dxa"/>
            <w:tcBorders>
              <w:top w:val="nil"/>
              <w:left w:val="nil"/>
              <w:bottom w:val="single" w:sz="8" w:space="0" w:color="auto"/>
              <w:right w:val="single" w:sz="8" w:space="0" w:color="auto"/>
            </w:tcBorders>
            <w:noWrap/>
            <w:vAlign w:val="bottom"/>
            <w:hideMark/>
          </w:tcPr>
          <w:p w14:paraId="7C4DE801"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22</w:t>
            </w:r>
          </w:p>
        </w:tc>
        <w:tc>
          <w:tcPr>
            <w:tcW w:w="1007" w:type="dxa"/>
            <w:tcBorders>
              <w:top w:val="nil"/>
              <w:left w:val="nil"/>
              <w:bottom w:val="single" w:sz="8" w:space="0" w:color="auto"/>
              <w:right w:val="single" w:sz="8" w:space="0" w:color="auto"/>
            </w:tcBorders>
            <w:noWrap/>
            <w:vAlign w:val="bottom"/>
            <w:hideMark/>
          </w:tcPr>
          <w:p w14:paraId="53CA783B"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22</w:t>
            </w:r>
          </w:p>
        </w:tc>
      </w:tr>
      <w:tr w:rsidR="00EA0FD7" w:rsidRPr="00EA0FD7" w14:paraId="19BFB5B7" w14:textId="77777777" w:rsidTr="00EA0FD7">
        <w:trPr>
          <w:trHeight w:val="690"/>
        </w:trPr>
        <w:tc>
          <w:tcPr>
            <w:tcW w:w="628" w:type="dxa"/>
            <w:tcBorders>
              <w:top w:val="nil"/>
              <w:left w:val="single" w:sz="8" w:space="0" w:color="auto"/>
              <w:bottom w:val="single" w:sz="8" w:space="0" w:color="auto"/>
              <w:right w:val="single" w:sz="8" w:space="0" w:color="auto"/>
            </w:tcBorders>
            <w:noWrap/>
            <w:vAlign w:val="bottom"/>
            <w:hideMark/>
          </w:tcPr>
          <w:p w14:paraId="7810C59D"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32</w:t>
            </w:r>
          </w:p>
        </w:tc>
        <w:tc>
          <w:tcPr>
            <w:tcW w:w="3100" w:type="dxa"/>
            <w:tcBorders>
              <w:top w:val="nil"/>
              <w:left w:val="nil"/>
              <w:bottom w:val="single" w:sz="8" w:space="0" w:color="auto"/>
              <w:right w:val="single" w:sz="8" w:space="0" w:color="auto"/>
            </w:tcBorders>
            <w:vAlign w:val="bottom"/>
            <w:hideMark/>
          </w:tcPr>
          <w:p w14:paraId="367A1697"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Канцеларија за превенцију корупције и координацију активности на сузбијању корупције</w:t>
            </w:r>
          </w:p>
        </w:tc>
        <w:tc>
          <w:tcPr>
            <w:tcW w:w="1280" w:type="dxa"/>
            <w:tcBorders>
              <w:top w:val="nil"/>
              <w:left w:val="nil"/>
              <w:bottom w:val="single" w:sz="8" w:space="0" w:color="auto"/>
              <w:right w:val="single" w:sz="8" w:space="0" w:color="auto"/>
            </w:tcBorders>
            <w:noWrap/>
            <w:vAlign w:val="bottom"/>
            <w:hideMark/>
          </w:tcPr>
          <w:p w14:paraId="04C170C2"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5</w:t>
            </w:r>
          </w:p>
        </w:tc>
        <w:tc>
          <w:tcPr>
            <w:tcW w:w="1280" w:type="dxa"/>
            <w:tcBorders>
              <w:top w:val="nil"/>
              <w:left w:val="nil"/>
              <w:bottom w:val="single" w:sz="8" w:space="0" w:color="auto"/>
              <w:right w:val="single" w:sz="8" w:space="0" w:color="auto"/>
            </w:tcBorders>
            <w:noWrap/>
            <w:vAlign w:val="bottom"/>
            <w:hideMark/>
          </w:tcPr>
          <w:p w14:paraId="0C0F640C"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10</w:t>
            </w:r>
          </w:p>
        </w:tc>
        <w:tc>
          <w:tcPr>
            <w:tcW w:w="1007" w:type="dxa"/>
            <w:tcBorders>
              <w:top w:val="nil"/>
              <w:left w:val="nil"/>
              <w:bottom w:val="single" w:sz="8" w:space="0" w:color="auto"/>
              <w:right w:val="single" w:sz="8" w:space="0" w:color="auto"/>
            </w:tcBorders>
            <w:noWrap/>
            <w:vAlign w:val="bottom"/>
            <w:hideMark/>
          </w:tcPr>
          <w:p w14:paraId="457DE239"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10</w:t>
            </w:r>
          </w:p>
        </w:tc>
        <w:tc>
          <w:tcPr>
            <w:tcW w:w="1007" w:type="dxa"/>
            <w:tcBorders>
              <w:top w:val="nil"/>
              <w:left w:val="nil"/>
              <w:bottom w:val="single" w:sz="8" w:space="0" w:color="auto"/>
              <w:right w:val="single" w:sz="8" w:space="0" w:color="auto"/>
            </w:tcBorders>
            <w:noWrap/>
            <w:vAlign w:val="bottom"/>
            <w:hideMark/>
          </w:tcPr>
          <w:p w14:paraId="095C7196"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10</w:t>
            </w:r>
          </w:p>
        </w:tc>
        <w:tc>
          <w:tcPr>
            <w:tcW w:w="1007" w:type="dxa"/>
            <w:tcBorders>
              <w:top w:val="nil"/>
              <w:left w:val="nil"/>
              <w:bottom w:val="single" w:sz="8" w:space="0" w:color="auto"/>
              <w:right w:val="single" w:sz="8" w:space="0" w:color="auto"/>
            </w:tcBorders>
            <w:noWrap/>
            <w:vAlign w:val="bottom"/>
            <w:hideMark/>
          </w:tcPr>
          <w:p w14:paraId="3A7E48E8"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10</w:t>
            </w:r>
          </w:p>
        </w:tc>
      </w:tr>
      <w:tr w:rsidR="00EA0FD7" w:rsidRPr="00EA0FD7" w14:paraId="391EF032" w14:textId="77777777" w:rsidTr="00EA0FD7">
        <w:trPr>
          <w:trHeight w:val="375"/>
        </w:trPr>
        <w:tc>
          <w:tcPr>
            <w:tcW w:w="628" w:type="dxa"/>
            <w:tcBorders>
              <w:top w:val="nil"/>
              <w:left w:val="single" w:sz="8" w:space="0" w:color="auto"/>
              <w:bottom w:val="single" w:sz="8" w:space="0" w:color="auto"/>
              <w:right w:val="single" w:sz="8" w:space="0" w:color="auto"/>
            </w:tcBorders>
            <w:noWrap/>
            <w:vAlign w:val="bottom"/>
            <w:hideMark/>
          </w:tcPr>
          <w:p w14:paraId="6AAAE141" w14:textId="77777777" w:rsidR="00EA0FD7" w:rsidRPr="00EA0FD7" w:rsidRDefault="00EA0FD7" w:rsidP="00EA0FD7">
            <w:pPr>
              <w:spacing w:after="0" w:line="240" w:lineRule="auto"/>
              <w:jc w:val="center"/>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33</w:t>
            </w:r>
          </w:p>
        </w:tc>
        <w:tc>
          <w:tcPr>
            <w:tcW w:w="3100" w:type="dxa"/>
            <w:tcBorders>
              <w:top w:val="nil"/>
              <w:left w:val="nil"/>
              <w:bottom w:val="single" w:sz="8" w:space="0" w:color="auto"/>
              <w:right w:val="single" w:sz="8" w:space="0" w:color="auto"/>
            </w:tcBorders>
            <w:vAlign w:val="bottom"/>
            <w:hideMark/>
          </w:tcPr>
          <w:p w14:paraId="38906829" w14:textId="77777777" w:rsidR="00EA0FD7" w:rsidRPr="00EA0FD7" w:rsidRDefault="00EA0FD7" w:rsidP="00EA0FD7">
            <w:pPr>
              <w:spacing w:after="0" w:line="240" w:lineRule="auto"/>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Комисија за одлучивање о сукобу интереса</w:t>
            </w:r>
          </w:p>
        </w:tc>
        <w:tc>
          <w:tcPr>
            <w:tcW w:w="1280" w:type="dxa"/>
            <w:tcBorders>
              <w:top w:val="nil"/>
              <w:left w:val="nil"/>
              <w:bottom w:val="single" w:sz="8" w:space="0" w:color="auto"/>
              <w:right w:val="single" w:sz="8" w:space="0" w:color="auto"/>
            </w:tcBorders>
            <w:noWrap/>
            <w:vAlign w:val="bottom"/>
            <w:hideMark/>
          </w:tcPr>
          <w:p w14:paraId="16F8B5CD"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7</w:t>
            </w:r>
          </w:p>
        </w:tc>
        <w:tc>
          <w:tcPr>
            <w:tcW w:w="1280" w:type="dxa"/>
            <w:tcBorders>
              <w:top w:val="nil"/>
              <w:left w:val="nil"/>
              <w:bottom w:val="single" w:sz="8" w:space="0" w:color="auto"/>
              <w:right w:val="single" w:sz="8" w:space="0" w:color="auto"/>
            </w:tcBorders>
            <w:noWrap/>
            <w:vAlign w:val="bottom"/>
            <w:hideMark/>
          </w:tcPr>
          <w:p w14:paraId="5E634932"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10</w:t>
            </w:r>
          </w:p>
        </w:tc>
        <w:tc>
          <w:tcPr>
            <w:tcW w:w="1007" w:type="dxa"/>
            <w:tcBorders>
              <w:top w:val="nil"/>
              <w:left w:val="nil"/>
              <w:bottom w:val="single" w:sz="8" w:space="0" w:color="auto"/>
              <w:right w:val="single" w:sz="8" w:space="0" w:color="auto"/>
            </w:tcBorders>
            <w:noWrap/>
            <w:vAlign w:val="bottom"/>
            <w:hideMark/>
          </w:tcPr>
          <w:p w14:paraId="21FBE732"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10</w:t>
            </w:r>
          </w:p>
        </w:tc>
        <w:tc>
          <w:tcPr>
            <w:tcW w:w="1007" w:type="dxa"/>
            <w:tcBorders>
              <w:top w:val="nil"/>
              <w:left w:val="nil"/>
              <w:bottom w:val="single" w:sz="8" w:space="0" w:color="auto"/>
              <w:right w:val="single" w:sz="8" w:space="0" w:color="auto"/>
            </w:tcBorders>
            <w:noWrap/>
            <w:vAlign w:val="bottom"/>
            <w:hideMark/>
          </w:tcPr>
          <w:p w14:paraId="57E12F72"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10</w:t>
            </w:r>
          </w:p>
        </w:tc>
        <w:tc>
          <w:tcPr>
            <w:tcW w:w="1007" w:type="dxa"/>
            <w:tcBorders>
              <w:top w:val="nil"/>
              <w:left w:val="nil"/>
              <w:bottom w:val="single" w:sz="8" w:space="0" w:color="auto"/>
              <w:right w:val="single" w:sz="8" w:space="0" w:color="auto"/>
            </w:tcBorders>
            <w:noWrap/>
            <w:vAlign w:val="bottom"/>
            <w:hideMark/>
          </w:tcPr>
          <w:p w14:paraId="74E610C9" w14:textId="77777777" w:rsidR="00EA0FD7" w:rsidRPr="00EA0FD7" w:rsidRDefault="00EA0FD7" w:rsidP="00EA0FD7">
            <w:pPr>
              <w:spacing w:after="0" w:line="240" w:lineRule="auto"/>
              <w:jc w:val="right"/>
              <w:rPr>
                <w:rFonts w:ascii="Arial" w:eastAsia="Times New Roman" w:hAnsi="Arial" w:cs="Arial"/>
                <w:sz w:val="16"/>
                <w:szCs w:val="16"/>
                <w:lang w:val="sr-Cyrl-RS" w:eastAsia="hr-HR"/>
              </w:rPr>
            </w:pPr>
            <w:r w:rsidRPr="00EA0FD7">
              <w:rPr>
                <w:rFonts w:ascii="Arial" w:eastAsia="Times New Roman" w:hAnsi="Arial" w:cs="Arial"/>
                <w:sz w:val="16"/>
                <w:szCs w:val="16"/>
                <w:lang w:val="sr-Cyrl-RS" w:eastAsia="hr-HR"/>
              </w:rPr>
              <w:t>10</w:t>
            </w:r>
          </w:p>
        </w:tc>
      </w:tr>
      <w:tr w:rsidR="00EA0FD7" w:rsidRPr="00EA0FD7" w14:paraId="53AC8075" w14:textId="77777777" w:rsidTr="00EA0FD7">
        <w:trPr>
          <w:trHeight w:val="270"/>
        </w:trPr>
        <w:tc>
          <w:tcPr>
            <w:tcW w:w="628" w:type="dxa"/>
            <w:tcBorders>
              <w:top w:val="nil"/>
              <w:left w:val="single" w:sz="8" w:space="0" w:color="auto"/>
              <w:bottom w:val="single" w:sz="8" w:space="0" w:color="auto"/>
              <w:right w:val="single" w:sz="8" w:space="0" w:color="auto"/>
            </w:tcBorders>
            <w:noWrap/>
            <w:vAlign w:val="bottom"/>
            <w:hideMark/>
          </w:tcPr>
          <w:p w14:paraId="72F18DB2" w14:textId="77777777" w:rsidR="00EA0FD7" w:rsidRPr="00EA0FD7" w:rsidRDefault="00EA0FD7" w:rsidP="00EA0FD7">
            <w:pPr>
              <w:spacing w:after="0" w:line="240" w:lineRule="auto"/>
              <w:jc w:val="center"/>
              <w:rPr>
                <w:rFonts w:ascii="Arial" w:eastAsia="Times New Roman" w:hAnsi="Arial" w:cs="Arial"/>
                <w:sz w:val="20"/>
                <w:szCs w:val="20"/>
                <w:lang w:val="sr-Cyrl-RS" w:eastAsia="hr-HR"/>
              </w:rPr>
            </w:pPr>
            <w:r w:rsidRPr="00EA0FD7">
              <w:rPr>
                <w:rFonts w:ascii="Arial" w:eastAsia="Times New Roman" w:hAnsi="Arial" w:cs="Arial"/>
                <w:sz w:val="20"/>
                <w:szCs w:val="20"/>
                <w:lang w:val="sr-Cyrl-RS" w:eastAsia="hr-HR"/>
              </w:rPr>
              <w:t> </w:t>
            </w:r>
          </w:p>
        </w:tc>
        <w:tc>
          <w:tcPr>
            <w:tcW w:w="3100" w:type="dxa"/>
            <w:tcBorders>
              <w:top w:val="nil"/>
              <w:left w:val="nil"/>
              <w:bottom w:val="single" w:sz="8" w:space="0" w:color="auto"/>
              <w:right w:val="single" w:sz="8" w:space="0" w:color="auto"/>
            </w:tcBorders>
            <w:noWrap/>
            <w:vAlign w:val="bottom"/>
            <w:hideMark/>
          </w:tcPr>
          <w:p w14:paraId="37D5D635" w14:textId="77777777" w:rsidR="00EA0FD7" w:rsidRPr="00EA0FD7" w:rsidRDefault="00EA0FD7" w:rsidP="00EA0FD7">
            <w:pPr>
              <w:spacing w:after="0" w:line="240" w:lineRule="auto"/>
              <w:jc w:val="center"/>
              <w:rPr>
                <w:rFonts w:ascii="Arial" w:eastAsia="Times New Roman" w:hAnsi="Arial" w:cs="Arial"/>
                <w:b/>
                <w:bCs/>
                <w:i/>
                <w:iCs/>
                <w:sz w:val="18"/>
                <w:szCs w:val="18"/>
                <w:lang w:val="sr-Cyrl-RS" w:eastAsia="hr-HR"/>
              </w:rPr>
            </w:pPr>
            <w:r w:rsidRPr="00EA0FD7">
              <w:rPr>
                <w:rFonts w:ascii="Arial" w:eastAsia="Times New Roman" w:hAnsi="Arial" w:cs="Arial"/>
                <w:b/>
                <w:bCs/>
                <w:i/>
                <w:iCs/>
                <w:sz w:val="18"/>
                <w:szCs w:val="18"/>
                <w:lang w:val="sr-Cyrl-RS" w:eastAsia="hr-HR"/>
              </w:rPr>
              <w:t>УКУПНО</w:t>
            </w:r>
          </w:p>
        </w:tc>
        <w:tc>
          <w:tcPr>
            <w:tcW w:w="1280" w:type="dxa"/>
            <w:tcBorders>
              <w:top w:val="nil"/>
              <w:left w:val="nil"/>
              <w:bottom w:val="single" w:sz="8" w:space="0" w:color="auto"/>
              <w:right w:val="single" w:sz="8" w:space="0" w:color="auto"/>
            </w:tcBorders>
            <w:noWrap/>
            <w:vAlign w:val="bottom"/>
            <w:hideMark/>
          </w:tcPr>
          <w:p w14:paraId="21878280" w14:textId="77777777" w:rsidR="00EA0FD7" w:rsidRPr="00EA0FD7" w:rsidRDefault="00EA0FD7" w:rsidP="00EA0FD7">
            <w:pPr>
              <w:spacing w:after="0" w:line="240" w:lineRule="auto"/>
              <w:jc w:val="right"/>
              <w:rPr>
                <w:rFonts w:ascii="Arial" w:eastAsia="Times New Roman" w:hAnsi="Arial" w:cs="Arial"/>
                <w:b/>
                <w:bCs/>
                <w:sz w:val="20"/>
                <w:szCs w:val="20"/>
                <w:lang w:val="sr-Cyrl-RS" w:eastAsia="hr-HR"/>
              </w:rPr>
            </w:pPr>
            <w:r w:rsidRPr="00EA0FD7">
              <w:rPr>
                <w:rFonts w:ascii="Arial" w:eastAsia="Times New Roman" w:hAnsi="Arial" w:cs="Arial"/>
                <w:b/>
                <w:bCs/>
                <w:sz w:val="20"/>
                <w:szCs w:val="20"/>
                <w:lang w:val="sr-Cyrl-RS" w:eastAsia="hr-HR"/>
              </w:rPr>
              <w:t>2.681</w:t>
            </w:r>
          </w:p>
        </w:tc>
        <w:tc>
          <w:tcPr>
            <w:tcW w:w="1280" w:type="dxa"/>
            <w:tcBorders>
              <w:top w:val="nil"/>
              <w:left w:val="nil"/>
              <w:bottom w:val="single" w:sz="8" w:space="0" w:color="auto"/>
              <w:right w:val="single" w:sz="8" w:space="0" w:color="auto"/>
            </w:tcBorders>
            <w:noWrap/>
            <w:vAlign w:val="bottom"/>
            <w:hideMark/>
          </w:tcPr>
          <w:p w14:paraId="66A63AC5" w14:textId="77777777" w:rsidR="00EA0FD7" w:rsidRPr="00EA0FD7" w:rsidRDefault="00EA0FD7" w:rsidP="00EA0FD7">
            <w:pPr>
              <w:spacing w:after="0" w:line="240" w:lineRule="auto"/>
              <w:jc w:val="right"/>
              <w:rPr>
                <w:rFonts w:ascii="Arial" w:eastAsia="Times New Roman" w:hAnsi="Arial" w:cs="Arial"/>
                <w:b/>
                <w:bCs/>
                <w:sz w:val="20"/>
                <w:szCs w:val="20"/>
                <w:lang w:val="sr-Cyrl-RS" w:eastAsia="hr-HR"/>
              </w:rPr>
            </w:pPr>
            <w:r w:rsidRPr="00EA0FD7">
              <w:rPr>
                <w:rFonts w:ascii="Arial" w:eastAsia="Times New Roman" w:hAnsi="Arial" w:cs="Arial"/>
                <w:b/>
                <w:bCs/>
                <w:sz w:val="20"/>
                <w:szCs w:val="20"/>
                <w:lang w:val="sr-Cyrl-RS" w:eastAsia="hr-HR"/>
              </w:rPr>
              <w:t>3.114</w:t>
            </w:r>
          </w:p>
        </w:tc>
        <w:tc>
          <w:tcPr>
            <w:tcW w:w="1007" w:type="dxa"/>
            <w:tcBorders>
              <w:top w:val="nil"/>
              <w:left w:val="nil"/>
              <w:bottom w:val="single" w:sz="8" w:space="0" w:color="auto"/>
              <w:right w:val="single" w:sz="8" w:space="0" w:color="auto"/>
            </w:tcBorders>
            <w:noWrap/>
            <w:vAlign w:val="bottom"/>
            <w:hideMark/>
          </w:tcPr>
          <w:p w14:paraId="12298258" w14:textId="77777777" w:rsidR="00EA0FD7" w:rsidRPr="00EA0FD7" w:rsidRDefault="00EA0FD7" w:rsidP="00EA0FD7">
            <w:pPr>
              <w:spacing w:after="0" w:line="240" w:lineRule="auto"/>
              <w:jc w:val="right"/>
              <w:rPr>
                <w:rFonts w:ascii="Arial" w:eastAsia="Times New Roman" w:hAnsi="Arial" w:cs="Arial"/>
                <w:b/>
                <w:bCs/>
                <w:sz w:val="20"/>
                <w:szCs w:val="20"/>
                <w:lang w:val="sr-Cyrl-RS" w:eastAsia="hr-HR"/>
              </w:rPr>
            </w:pPr>
            <w:r w:rsidRPr="00EA0FD7">
              <w:rPr>
                <w:rFonts w:ascii="Arial" w:eastAsia="Times New Roman" w:hAnsi="Arial" w:cs="Arial"/>
                <w:b/>
                <w:bCs/>
                <w:sz w:val="20"/>
                <w:szCs w:val="20"/>
                <w:lang w:val="sr-Cyrl-RS" w:eastAsia="hr-HR"/>
              </w:rPr>
              <w:t>3.114</w:t>
            </w:r>
          </w:p>
        </w:tc>
        <w:tc>
          <w:tcPr>
            <w:tcW w:w="1007" w:type="dxa"/>
            <w:tcBorders>
              <w:top w:val="nil"/>
              <w:left w:val="nil"/>
              <w:bottom w:val="single" w:sz="8" w:space="0" w:color="auto"/>
              <w:right w:val="single" w:sz="8" w:space="0" w:color="auto"/>
            </w:tcBorders>
            <w:noWrap/>
            <w:vAlign w:val="bottom"/>
            <w:hideMark/>
          </w:tcPr>
          <w:p w14:paraId="5D7A1739" w14:textId="77777777" w:rsidR="00EA0FD7" w:rsidRPr="00EA0FD7" w:rsidRDefault="00EA0FD7" w:rsidP="00EA0FD7">
            <w:pPr>
              <w:spacing w:after="0" w:line="240" w:lineRule="auto"/>
              <w:jc w:val="right"/>
              <w:rPr>
                <w:rFonts w:ascii="Arial" w:eastAsia="Times New Roman" w:hAnsi="Arial" w:cs="Arial"/>
                <w:b/>
                <w:bCs/>
                <w:sz w:val="20"/>
                <w:szCs w:val="20"/>
                <w:lang w:val="sr-Cyrl-RS" w:eastAsia="hr-HR"/>
              </w:rPr>
            </w:pPr>
            <w:r w:rsidRPr="00EA0FD7">
              <w:rPr>
                <w:rFonts w:ascii="Arial" w:eastAsia="Times New Roman" w:hAnsi="Arial" w:cs="Arial"/>
                <w:b/>
                <w:bCs/>
                <w:sz w:val="20"/>
                <w:szCs w:val="20"/>
                <w:lang w:val="sr-Cyrl-RS" w:eastAsia="hr-HR"/>
              </w:rPr>
              <w:t>3.114</w:t>
            </w:r>
          </w:p>
        </w:tc>
        <w:tc>
          <w:tcPr>
            <w:tcW w:w="1007" w:type="dxa"/>
            <w:tcBorders>
              <w:top w:val="nil"/>
              <w:left w:val="nil"/>
              <w:bottom w:val="single" w:sz="8" w:space="0" w:color="auto"/>
              <w:right w:val="single" w:sz="8" w:space="0" w:color="auto"/>
            </w:tcBorders>
            <w:noWrap/>
            <w:vAlign w:val="bottom"/>
            <w:hideMark/>
          </w:tcPr>
          <w:p w14:paraId="2FD9DAD2" w14:textId="77777777" w:rsidR="00EA0FD7" w:rsidRPr="00EA0FD7" w:rsidRDefault="00EA0FD7" w:rsidP="00EA0FD7">
            <w:pPr>
              <w:spacing w:after="0" w:line="240" w:lineRule="auto"/>
              <w:jc w:val="right"/>
              <w:rPr>
                <w:rFonts w:ascii="Arial" w:eastAsia="Times New Roman" w:hAnsi="Arial" w:cs="Arial"/>
                <w:b/>
                <w:bCs/>
                <w:sz w:val="20"/>
                <w:szCs w:val="20"/>
                <w:lang w:val="sr-Cyrl-RS" w:eastAsia="hr-HR"/>
              </w:rPr>
            </w:pPr>
            <w:r w:rsidRPr="00EA0FD7">
              <w:rPr>
                <w:rFonts w:ascii="Arial" w:eastAsia="Times New Roman" w:hAnsi="Arial" w:cs="Arial"/>
                <w:b/>
                <w:bCs/>
                <w:sz w:val="20"/>
                <w:szCs w:val="20"/>
                <w:lang w:val="sr-Cyrl-RS" w:eastAsia="hr-HR"/>
              </w:rPr>
              <w:t>3.114</w:t>
            </w:r>
          </w:p>
        </w:tc>
      </w:tr>
    </w:tbl>
    <w:p w14:paraId="1BC8DE00" w14:textId="2E6854E8" w:rsidR="00EA0FD7" w:rsidRPr="00EA0FD7" w:rsidRDefault="00EA0FD7" w:rsidP="00EA0FD7">
      <w:pPr>
        <w:spacing w:after="0" w:line="240" w:lineRule="auto"/>
        <w:rPr>
          <w:rFonts w:ascii="Times New Roman" w:eastAsia="Times New Roman" w:hAnsi="Times New Roman" w:cs="Times New Roman"/>
          <w:sz w:val="14"/>
          <w:szCs w:val="14"/>
          <w:lang w:val="sr-Cyrl-RS" w:eastAsia="hr-HR"/>
        </w:rPr>
      </w:pPr>
      <w:r w:rsidRPr="00EA0FD7">
        <w:rPr>
          <w:rFonts w:ascii="Arial" w:eastAsia="Times New Roman" w:hAnsi="Arial" w:cs="Arial"/>
          <w:sz w:val="14"/>
          <w:szCs w:val="14"/>
          <w:lang w:val="sr-Cyrl-RS" w:eastAsia="hr-HR"/>
        </w:rPr>
        <w:t xml:space="preserve">* Извор: Одјељење за стручне и административне послове </w:t>
      </w:r>
      <w:r w:rsidR="00752F04">
        <w:rPr>
          <w:rFonts w:ascii="Arial" w:eastAsia="Times New Roman" w:hAnsi="Arial" w:cs="Arial"/>
          <w:sz w:val="14"/>
          <w:szCs w:val="14"/>
          <w:lang w:val="sr-Cyrl-RS" w:eastAsia="hr-HR"/>
        </w:rPr>
        <w:t>–</w:t>
      </w:r>
      <w:r w:rsidRPr="00EA0FD7">
        <w:rPr>
          <w:rFonts w:ascii="Arial" w:eastAsia="Times New Roman" w:hAnsi="Arial" w:cs="Arial"/>
          <w:sz w:val="14"/>
          <w:szCs w:val="14"/>
          <w:lang w:val="sr-Cyrl-RS" w:eastAsia="hr-HR"/>
        </w:rPr>
        <w:t xml:space="preserve"> Пододјељење за људске ресурсе, Одјеље</w:t>
      </w:r>
      <w:r w:rsidR="00752F04">
        <w:rPr>
          <w:rFonts w:ascii="Arial" w:eastAsia="Times New Roman" w:hAnsi="Arial" w:cs="Arial"/>
          <w:sz w:val="14"/>
          <w:szCs w:val="14"/>
          <w:lang w:val="sr-Cyrl-RS" w:eastAsia="hr-HR"/>
        </w:rPr>
        <w:t>њ</w:t>
      </w:r>
      <w:r w:rsidRPr="00EA0FD7">
        <w:rPr>
          <w:rFonts w:ascii="Arial" w:eastAsia="Times New Roman" w:hAnsi="Arial" w:cs="Arial"/>
          <w:sz w:val="14"/>
          <w:szCs w:val="14"/>
          <w:lang w:val="sr-Cyrl-RS" w:eastAsia="hr-HR"/>
        </w:rPr>
        <w:t xml:space="preserve">е за образовање </w:t>
      </w:r>
      <w:r w:rsidR="00752F04">
        <w:rPr>
          <w:rFonts w:ascii="Arial" w:eastAsia="Times New Roman" w:hAnsi="Arial" w:cs="Arial"/>
          <w:sz w:val="14"/>
          <w:szCs w:val="14"/>
          <w:lang w:val="sr-Cyrl-RS" w:eastAsia="hr-HR"/>
        </w:rPr>
        <w:t>–</w:t>
      </w:r>
      <w:r w:rsidRPr="00EA0FD7">
        <w:rPr>
          <w:rFonts w:ascii="Arial" w:eastAsia="Times New Roman" w:hAnsi="Arial" w:cs="Arial"/>
          <w:sz w:val="14"/>
          <w:szCs w:val="14"/>
          <w:lang w:val="sr-Cyrl-RS" w:eastAsia="hr-HR"/>
        </w:rPr>
        <w:t xml:space="preserve"> Пододјељење за људске ресурсе и запошљавање, Правосудна комисија и Полиција Дистрикта</w:t>
      </w:r>
    </w:p>
    <w:p w14:paraId="03F96325" w14:textId="77777777" w:rsidR="00EA0FD7" w:rsidRPr="00EA0FD7" w:rsidRDefault="00EA0FD7" w:rsidP="00EA0FD7">
      <w:pPr>
        <w:spacing w:after="0" w:line="240" w:lineRule="auto"/>
        <w:jc w:val="both"/>
        <w:rPr>
          <w:rFonts w:ascii="Times New Roman" w:eastAsia="Times New Roman" w:hAnsi="Times New Roman" w:cs="Times New Roman"/>
          <w:sz w:val="17"/>
          <w:szCs w:val="17"/>
          <w:lang w:val="sr-Cyrl-RS" w:eastAsia="hr-HR"/>
        </w:rPr>
      </w:pPr>
    </w:p>
    <w:p w14:paraId="115D3E50" w14:textId="77777777" w:rsidR="00EA0FD7" w:rsidRPr="00EA0FD7" w:rsidRDefault="00EA0FD7" w:rsidP="00EA0FD7">
      <w:pPr>
        <w:spacing w:after="0" w:line="240" w:lineRule="auto"/>
        <w:jc w:val="both"/>
        <w:rPr>
          <w:rFonts w:ascii="Times New Roman" w:eastAsia="Times New Roman" w:hAnsi="Times New Roman" w:cs="Times New Roman"/>
          <w:sz w:val="17"/>
          <w:szCs w:val="17"/>
          <w:lang w:val="sr-Cyrl-RS" w:eastAsia="hr-HR"/>
        </w:rPr>
      </w:pPr>
    </w:p>
    <w:p w14:paraId="61B6B915"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t>Накнаде трошкова запослених</w:t>
      </w:r>
    </w:p>
    <w:p w14:paraId="39E74DA5"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799A85CF" w14:textId="15B7E20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Накнаде трошкова запослених у 2023. години су планиране у износу од 6.180.566 КМ што чини 2,22% од укупно планираног буџета. У 2023</w:t>
      </w:r>
      <w:r w:rsidR="00752F04">
        <w:rPr>
          <w:rFonts w:ascii="Times New Roman" w:eastAsia="Times New Roman" w:hAnsi="Times New Roman" w:cs="Times New Roman"/>
          <w:sz w:val="24"/>
          <w:lang w:val="sr-Cyrl-RS" w:eastAsia="hr-HR"/>
        </w:rPr>
        <w:t>–</w:t>
      </w:r>
      <w:r w:rsidRPr="00EA0FD7">
        <w:rPr>
          <w:rFonts w:ascii="Times New Roman" w:eastAsia="Times New Roman" w:hAnsi="Times New Roman" w:cs="Times New Roman"/>
          <w:sz w:val="24"/>
          <w:lang w:val="sr-Cyrl-RS" w:eastAsia="hr-HR"/>
        </w:rPr>
        <w:t xml:space="preserve">2025. години су планиране накнаде на име </w:t>
      </w:r>
      <w:r w:rsidRPr="00EA0FD7">
        <w:rPr>
          <w:rFonts w:ascii="Times New Roman" w:eastAsia="Times New Roman" w:hAnsi="Times New Roman" w:cs="Times New Roman"/>
          <w:sz w:val="24"/>
          <w:lang w:val="sr-Cyrl-RS" w:eastAsia="hr-HR"/>
        </w:rPr>
        <w:lastRenderedPageBreak/>
        <w:t>отпремнине због одласка у пензију и прекобројности, накнаде за повремене послове, накнаде за помоћ у случају смрти и теже инвалидности, накнаде за одвојени живот, накнаде за топли оброк током рада и остале законом утврђене накнаде из радног односа.</w:t>
      </w:r>
    </w:p>
    <w:p w14:paraId="380C525B" w14:textId="4A66F4EB"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Укупно планиране накнаде трошкова запослених у 2024, односно 2025. години  износе 6.189.031 КМ, односно 6.174.978 КМ, што чини 2,17%, односно 2,10% укупно планираног буџета.</w:t>
      </w:r>
    </w:p>
    <w:p w14:paraId="4BC04626" w14:textId="77777777" w:rsidR="00EA0FD7" w:rsidRPr="00EA0FD7" w:rsidRDefault="00EA0FD7" w:rsidP="00EA0FD7">
      <w:pPr>
        <w:spacing w:after="0" w:line="240" w:lineRule="auto"/>
        <w:jc w:val="both"/>
        <w:rPr>
          <w:rFonts w:ascii="Times New Roman" w:eastAsia="Times New Roman" w:hAnsi="Times New Roman" w:cs="Times New Roman"/>
          <w:b/>
          <w:sz w:val="24"/>
          <w:lang w:val="sr-Cyrl-RS" w:eastAsia="hr-HR"/>
        </w:rPr>
      </w:pPr>
    </w:p>
    <w:p w14:paraId="2A4FF885"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Процентуално учешће буџетских корисника у укупним средствима за накнаде трошкова запослених у 2023. години је приказано у Графикону 4.2.</w:t>
      </w:r>
    </w:p>
    <w:p w14:paraId="58FDE28D"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1EE92C11" w14:textId="77777777" w:rsidR="00EA0FD7" w:rsidRPr="00EA0FD7" w:rsidRDefault="00EA0FD7" w:rsidP="00EA0FD7">
      <w:pPr>
        <w:spacing w:after="0" w:line="240" w:lineRule="auto"/>
        <w:jc w:val="both"/>
        <w:rPr>
          <w:rFonts w:ascii="Times New Roman" w:eastAsia="Times New Roman" w:hAnsi="Times New Roman" w:cs="Times New Roman"/>
          <w:b/>
          <w:sz w:val="24"/>
          <w:lang w:val="sr-Cyrl-RS" w:eastAsia="hr-HR"/>
        </w:rPr>
      </w:pPr>
    </w:p>
    <w:p w14:paraId="724C50C7" w14:textId="77777777" w:rsidR="00EA0FD7" w:rsidRPr="00EA0FD7" w:rsidRDefault="00EA0FD7" w:rsidP="00EA0FD7">
      <w:pPr>
        <w:spacing w:after="0" w:line="240" w:lineRule="auto"/>
        <w:rPr>
          <w:rFonts w:ascii="Times New Roman" w:eastAsia="Times New Roman" w:hAnsi="Times New Roman" w:cs="Times New Roman"/>
          <w:sz w:val="24"/>
          <w:lang w:val="sr-Cyrl-RS" w:eastAsia="hr-HR"/>
        </w:rPr>
      </w:pPr>
      <w:r w:rsidRPr="00EA0FD7">
        <w:rPr>
          <w:rFonts w:ascii="Times New Roman" w:eastAsia="Times New Roman" w:hAnsi="Times New Roman" w:cs="Times New Roman"/>
          <w:b/>
          <w:sz w:val="24"/>
          <w:lang w:val="sr-Cyrl-RS" w:eastAsia="hr-HR"/>
        </w:rPr>
        <w:t xml:space="preserve"> Графикон 4.2.</w:t>
      </w:r>
      <w:r w:rsidRPr="00EA0FD7">
        <w:rPr>
          <w:rFonts w:ascii="Times New Roman" w:eastAsia="Times New Roman" w:hAnsi="Times New Roman" w:cs="Times New Roman"/>
          <w:sz w:val="24"/>
          <w:lang w:val="sr-Cyrl-RS" w:eastAsia="hr-HR"/>
        </w:rPr>
        <w:t xml:space="preserve"> Учешће буџетских корисника у укупним средствима за накнаде трошкова</w:t>
      </w:r>
    </w:p>
    <w:p w14:paraId="74C3E2DE" w14:textId="77777777" w:rsidR="00EA0FD7" w:rsidRPr="00EA0FD7" w:rsidRDefault="00EA0FD7" w:rsidP="00EA0FD7">
      <w:pPr>
        <w:spacing w:after="0" w:line="240" w:lineRule="auto"/>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                          запослених у 2023. години</w:t>
      </w:r>
      <w:bookmarkEnd w:id="95"/>
    </w:p>
    <w:p w14:paraId="19E3532A"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40FA371E"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299D427C" wp14:editId="110C6837">
            <wp:extent cx="6317615" cy="4150360"/>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17615" cy="4150360"/>
                    </a:xfrm>
                    <a:prstGeom prst="rect">
                      <a:avLst/>
                    </a:prstGeom>
                    <a:noFill/>
                    <a:ln>
                      <a:noFill/>
                    </a:ln>
                  </pic:spPr>
                </pic:pic>
              </a:graphicData>
            </a:graphic>
          </wp:inline>
        </w:drawing>
      </w:r>
    </w:p>
    <w:p w14:paraId="5A2150F7"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4B2BF01E"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Расходи за материјал, робе, ситан инвентар и услуге</w:t>
      </w:r>
    </w:p>
    <w:p w14:paraId="6FA78750"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08FEEECB" w14:textId="77777777" w:rsidR="00EA0FD7" w:rsidRPr="00EA0FD7" w:rsidRDefault="00EA0FD7" w:rsidP="00EA0FD7">
      <w:pPr>
        <w:spacing w:after="0" w:line="240" w:lineRule="auto"/>
        <w:ind w:firstLine="720"/>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Процјењује се да ће буџетска потрошња за материјал, робе, ситан инвентар и услуге у 2023. години износити 38.287.685 КМ. Учешће расхода за материјал, робе, ситан инвентар и услуге у укупно планираном буџету за 2023. годину износи 13,77%, у 2024. години 14,41% и у 2025. години 13,90%.</w:t>
      </w:r>
    </w:p>
    <w:p w14:paraId="371B966C"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38667B4F"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Расходи за материјал, робе, ситан инвентар и услуге у 2023. години у односу на план 2022. године су већи за 2.084.501 КМ или за 5,76%.</w:t>
      </w:r>
    </w:p>
    <w:p w14:paraId="4E9569E1"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550BB0F5"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Графикон 4.3. приказује процентуално учешће буџетских корисника у укупним средствима за расходе за материјал, робе, ситан инвентар и услуге у 2023. години. </w:t>
      </w:r>
    </w:p>
    <w:p w14:paraId="3C908723" w14:textId="77777777" w:rsidR="00EA0FD7" w:rsidRPr="00EA0FD7" w:rsidRDefault="00EA0FD7" w:rsidP="00EA0FD7">
      <w:pPr>
        <w:spacing w:after="0" w:line="240" w:lineRule="auto"/>
        <w:rPr>
          <w:rFonts w:ascii="Times New Roman" w:eastAsia="Times New Roman" w:hAnsi="Times New Roman" w:cs="Times New Roman"/>
          <w:b/>
          <w:sz w:val="24"/>
          <w:lang w:val="sr-Cyrl-RS" w:eastAsia="hr-HR"/>
        </w:rPr>
      </w:pPr>
    </w:p>
    <w:p w14:paraId="0F9D2548" w14:textId="77777777" w:rsidR="00EA0FD7" w:rsidRPr="00EA0FD7" w:rsidRDefault="00EA0FD7" w:rsidP="00EA0FD7">
      <w:pPr>
        <w:spacing w:after="0" w:line="240" w:lineRule="auto"/>
        <w:jc w:val="center"/>
        <w:rPr>
          <w:rFonts w:ascii="Times New Roman" w:eastAsia="Times New Roman" w:hAnsi="Times New Roman" w:cs="Times New Roman"/>
          <w:b/>
          <w:sz w:val="24"/>
          <w:lang w:val="sr-Cyrl-RS" w:eastAsia="hr-HR"/>
        </w:rPr>
      </w:pPr>
    </w:p>
    <w:p w14:paraId="1AABED49" w14:textId="77777777" w:rsidR="00EA0FD7" w:rsidRPr="00EA0FD7" w:rsidRDefault="00EA0FD7" w:rsidP="00EA0FD7">
      <w:pPr>
        <w:spacing w:after="0" w:line="240" w:lineRule="auto"/>
        <w:jc w:val="center"/>
        <w:rPr>
          <w:rFonts w:ascii="Times New Roman" w:eastAsia="Times New Roman" w:hAnsi="Times New Roman" w:cs="Times New Roman"/>
          <w:b/>
          <w:sz w:val="24"/>
          <w:lang w:val="sr-Cyrl-RS" w:eastAsia="hr-HR"/>
        </w:rPr>
      </w:pPr>
    </w:p>
    <w:p w14:paraId="50BAD0DA" w14:textId="77777777" w:rsidR="00EA0FD7" w:rsidRPr="00EA0FD7" w:rsidRDefault="00EA0FD7" w:rsidP="00EA0FD7">
      <w:pPr>
        <w:spacing w:after="0" w:line="240" w:lineRule="auto"/>
        <w:rPr>
          <w:rFonts w:ascii="Times New Roman" w:eastAsia="Times New Roman" w:hAnsi="Times New Roman" w:cs="Times New Roman"/>
          <w:sz w:val="24"/>
          <w:lang w:val="sr-Cyrl-RS" w:eastAsia="hr-HR"/>
        </w:rPr>
      </w:pPr>
      <w:r w:rsidRPr="00EA0FD7">
        <w:rPr>
          <w:rFonts w:ascii="Times New Roman" w:eastAsia="Times New Roman" w:hAnsi="Times New Roman" w:cs="Times New Roman"/>
          <w:b/>
          <w:sz w:val="24"/>
          <w:lang w:val="sr-Cyrl-RS" w:eastAsia="hr-HR"/>
        </w:rPr>
        <w:t xml:space="preserve"> Графикон 4.3. </w:t>
      </w:r>
      <w:r w:rsidRPr="00EA0FD7">
        <w:rPr>
          <w:rFonts w:ascii="Times New Roman" w:eastAsia="Times New Roman" w:hAnsi="Times New Roman" w:cs="Times New Roman"/>
          <w:sz w:val="24"/>
          <w:lang w:val="sr-Cyrl-RS" w:eastAsia="hr-HR"/>
        </w:rPr>
        <w:t>Учешће буџетских корисника у средствима за расходе за материјал, робе, ситан</w:t>
      </w:r>
    </w:p>
    <w:p w14:paraId="29EB120A" w14:textId="77777777" w:rsidR="00EA0FD7" w:rsidRPr="00EA0FD7" w:rsidRDefault="00EA0FD7" w:rsidP="00EA0FD7">
      <w:pPr>
        <w:spacing w:after="0" w:line="240" w:lineRule="auto"/>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                           инвентар и  услуге у 2023. години</w:t>
      </w:r>
    </w:p>
    <w:p w14:paraId="3A1FD11D"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71A62A50"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2406BF4D" wp14:editId="31E5C517">
            <wp:extent cx="6317615" cy="3740785"/>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17615" cy="3740785"/>
                    </a:xfrm>
                    <a:prstGeom prst="rect">
                      <a:avLst/>
                    </a:prstGeom>
                    <a:noFill/>
                    <a:ln>
                      <a:noFill/>
                    </a:ln>
                  </pic:spPr>
                </pic:pic>
              </a:graphicData>
            </a:graphic>
          </wp:inline>
        </w:drawing>
      </w:r>
    </w:p>
    <w:p w14:paraId="0EB224AB"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63357349" w14:textId="77777777" w:rsidR="00EA0FD7" w:rsidRPr="00EA0FD7" w:rsidRDefault="00EA0FD7" w:rsidP="00EA0FD7">
      <w:pPr>
        <w:spacing w:after="0" w:line="240" w:lineRule="auto"/>
        <w:jc w:val="both"/>
        <w:rPr>
          <w:rFonts w:ascii="Times New Roman" w:eastAsia="Times New Roman" w:hAnsi="Times New Roman" w:cs="Times New Roman"/>
          <w:b/>
          <w:sz w:val="24"/>
          <w:lang w:val="sr-Cyrl-RS" w:eastAsia="hr-HR"/>
        </w:rPr>
      </w:pPr>
      <w:r w:rsidRPr="00EA0FD7">
        <w:rPr>
          <w:rFonts w:ascii="Times New Roman" w:eastAsia="Times New Roman" w:hAnsi="Times New Roman" w:cs="Times New Roman"/>
          <w:b/>
          <w:sz w:val="24"/>
          <w:lang w:val="sr-Cyrl-RS" w:eastAsia="hr-HR"/>
        </w:rPr>
        <w:t>Текући и капитални трансфери, донације и субвенције</w:t>
      </w:r>
    </w:p>
    <w:p w14:paraId="14949615"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234E5FF3" w14:textId="6ACEB50F"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            У 2023. години се планирају текући и капитални трансфери, донације и субвенције у износу од 90.726.868 КМ, што је за 2.387.936 КМ мање у односу на план за 2022. годину. Процијењени текући и капитални трансфери, донације и субвенције у 2023. години чине 32,63% од укупно планираног буџета, а у 2024. и 2025. години чине 33,00%,односно 33,47% од укупно планираног буџета.</w:t>
      </w:r>
    </w:p>
    <w:p w14:paraId="10C3A939"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3D3FAF2C"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Текуће и капиталне трансфере, донације и субвенције чине: текући трансфери другим и истим нивоима власти, текуће донације појединцима, текуће донације непрофитним организацијама, субвенције јавним предузећима, субвенције приватним предузећима и предузетницима, капиталне донације појединцима, непрофитним организацијама, предузећима и јавним предузећима. </w:t>
      </w:r>
    </w:p>
    <w:p w14:paraId="4F2FFF0E" w14:textId="77777777" w:rsidR="00EA0FD7" w:rsidRPr="00EA0FD7" w:rsidRDefault="00EA0FD7" w:rsidP="00EA0FD7">
      <w:pPr>
        <w:spacing w:after="0" w:line="240" w:lineRule="auto"/>
        <w:rPr>
          <w:rFonts w:ascii="Times New Roman" w:eastAsia="Times New Roman" w:hAnsi="Times New Roman" w:cs="Times New Roman"/>
          <w:b/>
          <w:sz w:val="24"/>
          <w:lang w:val="sr-Cyrl-RS" w:eastAsia="hr-HR"/>
        </w:rPr>
      </w:pPr>
    </w:p>
    <w:p w14:paraId="7F588E47" w14:textId="77777777" w:rsidR="00EA0FD7" w:rsidRPr="00EA0FD7" w:rsidRDefault="00EA0FD7" w:rsidP="00EA0FD7">
      <w:pPr>
        <w:spacing w:after="0" w:line="240" w:lineRule="auto"/>
        <w:jc w:val="both"/>
        <w:rPr>
          <w:rFonts w:ascii="Times New Roman" w:eastAsia="Times New Roman" w:hAnsi="Times New Roman" w:cs="Times New Roman"/>
          <w:b/>
          <w:sz w:val="24"/>
          <w:lang w:val="sr-Cyrl-RS" w:eastAsia="hr-HR"/>
        </w:rPr>
      </w:pPr>
      <w:r w:rsidRPr="00EA0FD7">
        <w:rPr>
          <w:rFonts w:ascii="Times New Roman" w:eastAsia="Times New Roman" w:hAnsi="Times New Roman" w:cs="Times New Roman"/>
          <w:sz w:val="24"/>
          <w:lang w:val="sr-Cyrl-RS" w:eastAsia="hr-HR"/>
        </w:rPr>
        <w:t>Процентуално учешће текућих и капиталних трансфера, донација и субвенција буџетских корисника у укупно планираним средствима за ове намјене у 2023. години је приказано у Графикону 4.4.</w:t>
      </w:r>
    </w:p>
    <w:p w14:paraId="035743F7" w14:textId="77777777" w:rsidR="00EA0FD7" w:rsidRPr="00EA0FD7" w:rsidRDefault="00EA0FD7" w:rsidP="00EA0FD7">
      <w:pPr>
        <w:spacing w:after="0" w:line="240" w:lineRule="auto"/>
        <w:rPr>
          <w:rFonts w:ascii="Times New Roman" w:eastAsia="Times New Roman" w:hAnsi="Times New Roman" w:cs="Times New Roman"/>
          <w:b/>
          <w:sz w:val="24"/>
          <w:lang w:val="sr-Cyrl-RS" w:eastAsia="hr-HR"/>
        </w:rPr>
      </w:pPr>
    </w:p>
    <w:p w14:paraId="45D70C1C" w14:textId="77777777" w:rsidR="00EA0FD7" w:rsidRPr="00EA0FD7" w:rsidRDefault="00EA0FD7" w:rsidP="00EA0FD7">
      <w:pPr>
        <w:spacing w:after="0" w:line="240" w:lineRule="auto"/>
        <w:rPr>
          <w:rFonts w:ascii="Times New Roman" w:eastAsia="Times New Roman" w:hAnsi="Times New Roman" w:cs="Times New Roman"/>
          <w:b/>
          <w:sz w:val="24"/>
          <w:lang w:val="sr-Cyrl-RS" w:eastAsia="hr-HR"/>
        </w:rPr>
      </w:pPr>
    </w:p>
    <w:p w14:paraId="65F85C8B" w14:textId="77777777" w:rsidR="00EA0FD7" w:rsidRPr="00EA0FD7" w:rsidRDefault="00EA0FD7" w:rsidP="00EA0FD7">
      <w:pPr>
        <w:spacing w:after="0" w:line="240" w:lineRule="auto"/>
        <w:rPr>
          <w:rFonts w:ascii="Times New Roman" w:eastAsia="Times New Roman" w:hAnsi="Times New Roman" w:cs="Times New Roman"/>
          <w:b/>
          <w:sz w:val="24"/>
          <w:lang w:val="sr-Cyrl-RS" w:eastAsia="hr-HR"/>
        </w:rPr>
      </w:pPr>
    </w:p>
    <w:p w14:paraId="0403408D" w14:textId="77777777" w:rsidR="00EA0FD7" w:rsidRPr="00EA0FD7" w:rsidRDefault="00EA0FD7" w:rsidP="00EA0FD7">
      <w:pPr>
        <w:spacing w:after="0" w:line="240" w:lineRule="auto"/>
        <w:rPr>
          <w:rFonts w:ascii="Times New Roman" w:eastAsia="Times New Roman" w:hAnsi="Times New Roman" w:cs="Times New Roman"/>
          <w:b/>
          <w:sz w:val="24"/>
          <w:lang w:val="sr-Cyrl-RS" w:eastAsia="hr-HR"/>
        </w:rPr>
      </w:pPr>
    </w:p>
    <w:p w14:paraId="0BD024F6" w14:textId="77777777" w:rsidR="00EA0FD7" w:rsidRPr="00EA0FD7" w:rsidRDefault="00EA0FD7" w:rsidP="00EA0FD7">
      <w:pPr>
        <w:spacing w:after="0" w:line="240" w:lineRule="auto"/>
        <w:rPr>
          <w:rFonts w:ascii="Times New Roman" w:eastAsia="Times New Roman" w:hAnsi="Times New Roman" w:cs="Times New Roman"/>
          <w:b/>
          <w:sz w:val="24"/>
          <w:lang w:val="sr-Cyrl-RS" w:eastAsia="hr-HR"/>
        </w:rPr>
      </w:pPr>
    </w:p>
    <w:p w14:paraId="4B26ACA3" w14:textId="77777777" w:rsidR="00EA0FD7" w:rsidRPr="00EA0FD7" w:rsidRDefault="00EA0FD7" w:rsidP="00EA0FD7">
      <w:pPr>
        <w:spacing w:after="0" w:line="240" w:lineRule="auto"/>
        <w:rPr>
          <w:rFonts w:ascii="Times New Roman" w:eastAsia="Times New Roman" w:hAnsi="Times New Roman" w:cs="Times New Roman"/>
          <w:b/>
          <w:sz w:val="24"/>
          <w:lang w:val="sr-Cyrl-RS" w:eastAsia="hr-HR"/>
        </w:rPr>
      </w:pPr>
    </w:p>
    <w:p w14:paraId="25B9B6B1" w14:textId="77777777" w:rsidR="00EA0FD7" w:rsidRPr="00EA0FD7" w:rsidRDefault="00EA0FD7" w:rsidP="00EA0FD7">
      <w:pPr>
        <w:spacing w:after="0" w:line="240" w:lineRule="auto"/>
        <w:rPr>
          <w:rFonts w:ascii="Times New Roman" w:eastAsia="Times New Roman" w:hAnsi="Times New Roman" w:cs="Times New Roman"/>
          <w:b/>
          <w:sz w:val="24"/>
          <w:lang w:val="sr-Cyrl-RS" w:eastAsia="hr-HR"/>
        </w:rPr>
      </w:pPr>
    </w:p>
    <w:p w14:paraId="60A27718" w14:textId="77777777" w:rsidR="00EA0FD7" w:rsidRPr="00EA0FD7" w:rsidRDefault="00EA0FD7" w:rsidP="00EA0FD7">
      <w:pPr>
        <w:spacing w:after="0" w:line="240" w:lineRule="auto"/>
        <w:rPr>
          <w:rFonts w:ascii="Times New Roman" w:eastAsia="Times New Roman" w:hAnsi="Times New Roman" w:cs="Times New Roman"/>
          <w:b/>
          <w:sz w:val="24"/>
          <w:lang w:val="sr-Cyrl-RS" w:eastAsia="hr-HR"/>
        </w:rPr>
      </w:pPr>
    </w:p>
    <w:p w14:paraId="53BFC8E8" w14:textId="77777777" w:rsidR="00EA0FD7" w:rsidRPr="00EA0FD7" w:rsidRDefault="00EA0FD7" w:rsidP="00EA0FD7">
      <w:pPr>
        <w:spacing w:after="0" w:line="240" w:lineRule="auto"/>
        <w:rPr>
          <w:rFonts w:ascii="Times New Roman" w:eastAsia="Times New Roman" w:hAnsi="Times New Roman" w:cs="Times New Roman"/>
          <w:b/>
          <w:sz w:val="24"/>
          <w:lang w:val="sr-Cyrl-RS" w:eastAsia="hr-HR"/>
        </w:rPr>
      </w:pPr>
    </w:p>
    <w:p w14:paraId="1D8C5F3F" w14:textId="46B25540" w:rsidR="00EA0FD7" w:rsidRPr="00EA0FD7" w:rsidRDefault="00EA0FD7" w:rsidP="00EA0FD7">
      <w:pPr>
        <w:spacing w:after="0" w:line="240" w:lineRule="auto"/>
        <w:rPr>
          <w:rFonts w:ascii="Times New Roman" w:eastAsia="Times New Roman" w:hAnsi="Times New Roman" w:cs="Times New Roman"/>
          <w:sz w:val="24"/>
          <w:lang w:val="sr-Cyrl-RS" w:eastAsia="hr-HR"/>
        </w:rPr>
      </w:pPr>
      <w:r w:rsidRPr="00EA0FD7">
        <w:rPr>
          <w:rFonts w:ascii="Times New Roman" w:eastAsia="Times New Roman" w:hAnsi="Times New Roman" w:cs="Times New Roman"/>
          <w:b/>
          <w:sz w:val="24"/>
          <w:lang w:val="sr-Cyrl-RS" w:eastAsia="hr-HR"/>
        </w:rPr>
        <w:lastRenderedPageBreak/>
        <w:t xml:space="preserve">Графикон 4.4. </w:t>
      </w:r>
      <w:r w:rsidRPr="00EA0FD7">
        <w:rPr>
          <w:rFonts w:ascii="Times New Roman" w:eastAsia="Times New Roman" w:hAnsi="Times New Roman" w:cs="Times New Roman"/>
          <w:sz w:val="24"/>
          <w:lang w:val="sr-Cyrl-RS" w:eastAsia="hr-HR"/>
        </w:rPr>
        <w:t xml:space="preserve">Учешће буџетских корисника у средствима за текуће и капиталне трансфере, донације и субвенције </w:t>
      </w:r>
      <w:r w:rsidRPr="00EA0FD7">
        <w:rPr>
          <w:rFonts w:ascii="Times New Roman" w:eastAsia="Times New Roman" w:hAnsi="Times New Roman" w:cs="Times New Roman"/>
          <w:sz w:val="24"/>
          <w:szCs w:val="24"/>
          <w:lang w:val="sr-Cyrl-RS" w:eastAsia="hr-HR"/>
        </w:rPr>
        <w:t>у 2023. години</w:t>
      </w:r>
    </w:p>
    <w:p w14:paraId="2D2EB18E"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56C6CE35" wp14:editId="23E1B2B4">
            <wp:extent cx="5830570" cy="2856230"/>
            <wp:effectExtent l="0" t="0" r="0" b="127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30570" cy="2856230"/>
                    </a:xfrm>
                    <a:prstGeom prst="rect">
                      <a:avLst/>
                    </a:prstGeom>
                    <a:noFill/>
                    <a:ln>
                      <a:noFill/>
                    </a:ln>
                  </pic:spPr>
                </pic:pic>
              </a:graphicData>
            </a:graphic>
          </wp:inline>
        </w:drawing>
      </w:r>
    </w:p>
    <w:p w14:paraId="735E5ADE"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p>
    <w:p w14:paraId="3908C412"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t>Издаци за набавку сталних средстава (капитални буџет)</w:t>
      </w:r>
    </w:p>
    <w:p w14:paraId="2056A6AE" w14:textId="77777777" w:rsidR="00EA0FD7" w:rsidRPr="00EA0FD7" w:rsidRDefault="00EA0FD7" w:rsidP="00EA0FD7">
      <w:pPr>
        <w:spacing w:after="0" w:line="240" w:lineRule="auto"/>
        <w:rPr>
          <w:rFonts w:ascii="Times New Roman" w:eastAsia="Times New Roman" w:hAnsi="Times New Roman" w:cs="Times New Roman"/>
          <w:sz w:val="24"/>
          <w:szCs w:val="24"/>
          <w:lang w:val="sr-Cyrl-RS" w:eastAsia="hr-HR"/>
        </w:rPr>
      </w:pPr>
    </w:p>
    <w:p w14:paraId="37452745"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          Документом оквирног буџета у 2023. години планирана средства капиталног буџета износе 31.757.925 КМ, што чини 11,42% од укупно планираног буџета. У 2024. години планирана средства за капитални буџет износе 31.148.425 КМ, а у 2025. години износе 36.827.425 КМ, што чини 10,90%, односно 12,53% од укупно планираног буџета.</w:t>
      </w:r>
    </w:p>
    <w:p w14:paraId="73005589" w14:textId="77777777" w:rsidR="00EA0FD7" w:rsidRPr="00EA0FD7" w:rsidRDefault="00EA0FD7" w:rsidP="00EA0FD7">
      <w:pPr>
        <w:spacing w:after="0" w:line="240" w:lineRule="auto"/>
        <w:jc w:val="both"/>
        <w:rPr>
          <w:rFonts w:ascii="Times New Roman" w:eastAsia="Times New Roman" w:hAnsi="Times New Roman" w:cs="Times New Roman"/>
          <w:b/>
          <w:sz w:val="24"/>
          <w:lang w:val="sr-Cyrl-RS" w:eastAsia="hr-HR"/>
        </w:rPr>
      </w:pPr>
    </w:p>
    <w:p w14:paraId="61ADD566" w14:textId="524117EE"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b/>
          <w:sz w:val="24"/>
          <w:lang w:val="sr-Cyrl-RS" w:eastAsia="hr-HR"/>
        </w:rPr>
        <w:t>Графикон 4.5.</w:t>
      </w:r>
      <w:r w:rsidRPr="00EA0FD7">
        <w:rPr>
          <w:rFonts w:ascii="Times New Roman" w:eastAsia="Times New Roman" w:hAnsi="Times New Roman" w:cs="Times New Roman"/>
          <w:sz w:val="24"/>
          <w:lang w:val="sr-Cyrl-RS" w:eastAsia="hr-HR"/>
        </w:rPr>
        <w:t xml:space="preserve"> Процентуално учешће средстава капиталног буџета у 2023. години </w:t>
      </w:r>
      <w:r w:rsidR="00752F04">
        <w:rPr>
          <w:rFonts w:ascii="Times New Roman" w:eastAsia="Times New Roman" w:hAnsi="Times New Roman" w:cs="Times New Roman"/>
          <w:sz w:val="24"/>
          <w:lang w:val="sr-Cyrl-RS" w:eastAsia="hr-HR"/>
        </w:rPr>
        <w:t xml:space="preserve"> </w:t>
      </w:r>
      <w:r w:rsidRPr="00EA0FD7">
        <w:rPr>
          <w:rFonts w:ascii="Times New Roman" w:eastAsia="Times New Roman" w:hAnsi="Times New Roman" w:cs="Times New Roman"/>
          <w:sz w:val="24"/>
          <w:lang w:val="sr-Cyrl-RS" w:eastAsia="hr-HR"/>
        </w:rPr>
        <w:t>по буџетским корисницима</w:t>
      </w:r>
    </w:p>
    <w:p w14:paraId="64E085D7" w14:textId="77777777" w:rsidR="00EA0FD7" w:rsidRPr="00EA0FD7" w:rsidRDefault="00EA0FD7" w:rsidP="00EA0FD7">
      <w:pPr>
        <w:spacing w:after="0" w:line="240" w:lineRule="auto"/>
        <w:jc w:val="both"/>
        <w:rPr>
          <w:rFonts w:ascii="Times New Roman" w:eastAsia="Times New Roman" w:hAnsi="Times New Roman" w:cs="Times New Roman"/>
          <w:b/>
          <w:sz w:val="24"/>
          <w:lang w:val="sr-Cyrl-RS" w:eastAsia="hr-HR"/>
        </w:rPr>
      </w:pPr>
      <w:r w:rsidRPr="00EA0FD7">
        <w:rPr>
          <w:rFonts w:ascii="Times New Roman" w:eastAsia="Times New Roman" w:hAnsi="Times New Roman" w:cs="Times New Roman"/>
          <w:noProof/>
          <w:sz w:val="24"/>
          <w:szCs w:val="24"/>
          <w:lang w:val="sr-Cyrl-RS" w:eastAsia="hr-HR"/>
        </w:rPr>
        <w:drawing>
          <wp:inline distT="0" distB="0" distL="0" distR="0" wp14:anchorId="24916900" wp14:editId="7975F505">
            <wp:extent cx="5943600" cy="3164840"/>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164840"/>
                    </a:xfrm>
                    <a:prstGeom prst="rect">
                      <a:avLst/>
                    </a:prstGeom>
                    <a:noFill/>
                    <a:ln>
                      <a:noFill/>
                    </a:ln>
                  </pic:spPr>
                </pic:pic>
              </a:graphicData>
            </a:graphic>
          </wp:inline>
        </w:drawing>
      </w:r>
    </w:p>
    <w:p w14:paraId="147B7681"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5F7DEDD5"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7D19DC57"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6426FF3F"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471B07A7"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73015D7E"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166CA416" w14:textId="77777777" w:rsidR="00EA0FD7" w:rsidRPr="00EA0FD7" w:rsidRDefault="00EA0FD7" w:rsidP="00EA0FD7">
      <w:pPr>
        <w:spacing w:after="0" w:line="240" w:lineRule="auto"/>
        <w:jc w:val="both"/>
        <w:rPr>
          <w:rFonts w:ascii="Times New Roman" w:eastAsia="Times New Roman" w:hAnsi="Times New Roman" w:cs="Times New Roman"/>
          <w:b/>
          <w:sz w:val="24"/>
          <w:lang w:val="sr-Cyrl-RS" w:eastAsia="hr-HR"/>
        </w:rPr>
      </w:pPr>
      <w:r w:rsidRPr="00EA0FD7">
        <w:rPr>
          <w:rFonts w:ascii="Times New Roman" w:eastAsia="Times New Roman" w:hAnsi="Times New Roman" w:cs="Times New Roman"/>
          <w:b/>
          <w:bCs/>
          <w:sz w:val="24"/>
          <w:szCs w:val="24"/>
          <w:lang w:val="sr-Cyrl-RS" w:eastAsia="hr-HR"/>
        </w:rPr>
        <w:lastRenderedPageBreak/>
        <w:t>Отплата дуга</w:t>
      </w:r>
    </w:p>
    <w:p w14:paraId="60DF9677"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pPr>
    </w:p>
    <w:p w14:paraId="7C9C2F17" w14:textId="77777777" w:rsidR="00EA0FD7" w:rsidRPr="00EA0FD7" w:rsidRDefault="00EA0FD7" w:rsidP="00EA0FD7">
      <w:pPr>
        <w:spacing w:after="0" w:line="240" w:lineRule="auto"/>
        <w:ind w:firstLine="720"/>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 xml:space="preserve">Планирана средства за отплату дуга у 2023. години износе 11.133.140 КМ, у 2024. години 12.845.951 КМ и у 2025. години 11.440.829 КМ. Отплата дуга у 2023. години чини 4% од укупног буџета, док у 2024. години чини 4,50% и у 2025. години чини 3,89% од укупно планираног буџета. Средства за отплату дуга у 2023. години се односе на отплате ануитета по кредитима. </w:t>
      </w:r>
    </w:p>
    <w:p w14:paraId="0EC779B9" w14:textId="77777777" w:rsidR="00EA0FD7" w:rsidRPr="00EA0FD7" w:rsidRDefault="00EA0FD7" w:rsidP="00EA0FD7">
      <w:pPr>
        <w:spacing w:after="0" w:line="240" w:lineRule="auto"/>
        <w:jc w:val="both"/>
        <w:rPr>
          <w:rFonts w:ascii="Times New Roman" w:eastAsia="Times New Roman" w:hAnsi="Times New Roman" w:cs="Times New Roman"/>
          <w:sz w:val="24"/>
          <w:szCs w:val="24"/>
          <w:highlight w:val="red"/>
          <w:lang w:val="sr-Cyrl-RS" w:eastAsia="hr-HR"/>
        </w:rPr>
      </w:pPr>
    </w:p>
    <w:p w14:paraId="15956522" w14:textId="263FF5B5"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Детаљан преглед дуга Брчко дистрикта БиХ по годинама (2023, 2024. и 2025.) и кредитима је дат у Табели 4.2.</w:t>
      </w:r>
    </w:p>
    <w:p w14:paraId="1F55824D"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2E747940"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455C4558"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7FDD2A8A"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62B5EDB6"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786D4970"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13A7443A"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12F12656"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48586CBC"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03504AAF"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sectPr w:rsidR="00EA0FD7" w:rsidRPr="00EA0FD7">
          <w:pgSz w:w="11909" w:h="16834"/>
          <w:pgMar w:top="900" w:right="1411" w:bottom="1411" w:left="547" w:header="706" w:footer="706" w:gutter="0"/>
          <w:cols w:space="720"/>
        </w:sectPr>
      </w:pPr>
    </w:p>
    <w:p w14:paraId="3A4DBBA5"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532478E4"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tbl>
      <w:tblPr>
        <w:tblW w:w="16140" w:type="dxa"/>
        <w:tblInd w:w="93" w:type="dxa"/>
        <w:tblLayout w:type="fixed"/>
        <w:tblLook w:val="04A0" w:firstRow="1" w:lastRow="0" w:firstColumn="1" w:lastColumn="0" w:noHBand="0" w:noVBand="1"/>
      </w:tblPr>
      <w:tblGrid>
        <w:gridCol w:w="444"/>
        <w:gridCol w:w="1549"/>
        <w:gridCol w:w="798"/>
        <w:gridCol w:w="1080"/>
        <w:gridCol w:w="1080"/>
        <w:gridCol w:w="1080"/>
        <w:gridCol w:w="1214"/>
        <w:gridCol w:w="946"/>
        <w:gridCol w:w="1080"/>
        <w:gridCol w:w="1080"/>
        <w:gridCol w:w="1041"/>
        <w:gridCol w:w="1119"/>
        <w:gridCol w:w="1260"/>
        <w:gridCol w:w="1080"/>
        <w:gridCol w:w="1289"/>
      </w:tblGrid>
      <w:tr w:rsidR="00EA0FD7" w:rsidRPr="00EA0FD7" w14:paraId="3468C2A3" w14:textId="77777777" w:rsidTr="00EA0FD7">
        <w:trPr>
          <w:trHeight w:val="344"/>
        </w:trPr>
        <w:tc>
          <w:tcPr>
            <w:tcW w:w="16143" w:type="dxa"/>
            <w:gridSpan w:val="15"/>
            <w:tcBorders>
              <w:top w:val="nil"/>
              <w:left w:val="nil"/>
              <w:bottom w:val="single" w:sz="8" w:space="0" w:color="auto"/>
              <w:right w:val="nil"/>
            </w:tcBorders>
            <w:noWrap/>
            <w:vAlign w:val="bottom"/>
            <w:hideMark/>
          </w:tcPr>
          <w:p w14:paraId="393EAC67" w14:textId="2290A05F" w:rsidR="00EA0FD7" w:rsidRPr="00EA0FD7" w:rsidRDefault="00EA0FD7" w:rsidP="00EA0FD7">
            <w:pPr>
              <w:spacing w:after="0" w:line="240" w:lineRule="auto"/>
              <w:ind w:left="-93"/>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Табела 4.2: Дуг по кредитима у периоду  2023</w:t>
            </w:r>
            <w:r w:rsidR="0078010E">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2025. године</w:t>
            </w:r>
          </w:p>
        </w:tc>
      </w:tr>
      <w:tr w:rsidR="00EA0FD7" w:rsidRPr="00EA0FD7" w14:paraId="079D1803" w14:textId="77777777" w:rsidTr="00EA0FD7">
        <w:trPr>
          <w:trHeight w:val="396"/>
        </w:trPr>
        <w:tc>
          <w:tcPr>
            <w:tcW w:w="445" w:type="dxa"/>
            <w:vMerge w:val="restart"/>
            <w:tcBorders>
              <w:top w:val="nil"/>
              <w:left w:val="single" w:sz="8" w:space="0" w:color="auto"/>
              <w:bottom w:val="single" w:sz="8" w:space="0" w:color="000000"/>
              <w:right w:val="nil"/>
            </w:tcBorders>
            <w:shd w:val="clear" w:color="auto" w:fill="C0C0C0"/>
            <w:vAlign w:val="center"/>
            <w:hideMark/>
          </w:tcPr>
          <w:p w14:paraId="31FFAB2D" w14:textId="77777777" w:rsidR="00EA0FD7" w:rsidRPr="00EA0FD7" w:rsidRDefault="00EA0FD7" w:rsidP="00EA0FD7">
            <w:pPr>
              <w:spacing w:after="0" w:line="240" w:lineRule="auto"/>
              <w:jc w:val="center"/>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Р. бр.</w:t>
            </w:r>
          </w:p>
        </w:tc>
        <w:tc>
          <w:tcPr>
            <w:tcW w:w="1550" w:type="dxa"/>
            <w:vMerge w:val="restart"/>
            <w:tcBorders>
              <w:top w:val="nil"/>
              <w:left w:val="single" w:sz="8" w:space="0" w:color="auto"/>
              <w:bottom w:val="single" w:sz="8" w:space="0" w:color="000000"/>
              <w:right w:val="single" w:sz="8" w:space="0" w:color="auto"/>
            </w:tcBorders>
            <w:shd w:val="clear" w:color="auto" w:fill="C0C0C0"/>
            <w:vAlign w:val="bottom"/>
            <w:hideMark/>
          </w:tcPr>
          <w:p w14:paraId="3856AD86" w14:textId="77777777" w:rsidR="00EA0FD7" w:rsidRPr="00EA0FD7" w:rsidRDefault="00EA0FD7" w:rsidP="00EA0FD7">
            <w:pPr>
              <w:spacing w:after="0" w:line="240" w:lineRule="auto"/>
              <w:jc w:val="center"/>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Назив</w:t>
            </w:r>
            <w:r w:rsidRPr="00EA0FD7">
              <w:rPr>
                <w:rFonts w:ascii="Arial" w:eastAsia="Times New Roman" w:hAnsi="Arial" w:cs="Arial"/>
                <w:b/>
                <w:bCs/>
                <w:sz w:val="13"/>
                <w:szCs w:val="13"/>
                <w:lang w:val="sr-Cyrl-RS"/>
              </w:rPr>
              <w:br/>
              <w:t>кредита</w:t>
            </w:r>
          </w:p>
        </w:tc>
        <w:tc>
          <w:tcPr>
            <w:tcW w:w="799" w:type="dxa"/>
            <w:vMerge w:val="restart"/>
            <w:tcBorders>
              <w:top w:val="nil"/>
              <w:left w:val="nil"/>
              <w:bottom w:val="single" w:sz="8" w:space="0" w:color="000000"/>
              <w:right w:val="nil"/>
            </w:tcBorders>
            <w:shd w:val="clear" w:color="auto" w:fill="C0C0C0"/>
            <w:noWrap/>
            <w:vAlign w:val="bottom"/>
            <w:hideMark/>
          </w:tcPr>
          <w:p w14:paraId="704BAECA" w14:textId="77777777"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валута</w:t>
            </w:r>
          </w:p>
        </w:tc>
        <w:tc>
          <w:tcPr>
            <w:tcW w:w="3240" w:type="dxa"/>
            <w:gridSpan w:val="3"/>
            <w:tcBorders>
              <w:top w:val="single" w:sz="8" w:space="0" w:color="auto"/>
              <w:left w:val="single" w:sz="8" w:space="0" w:color="auto"/>
              <w:bottom w:val="single" w:sz="4" w:space="0" w:color="auto"/>
              <w:right w:val="single" w:sz="8" w:space="0" w:color="000000"/>
            </w:tcBorders>
            <w:shd w:val="clear" w:color="auto" w:fill="C0C0C0"/>
            <w:noWrap/>
            <w:vAlign w:val="bottom"/>
            <w:hideMark/>
          </w:tcPr>
          <w:p w14:paraId="227D75AB" w14:textId="668EB613"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2023</w:t>
            </w:r>
            <w:r w:rsidR="00752F04">
              <w:rPr>
                <w:rFonts w:ascii="Arial" w:eastAsia="Times New Roman" w:hAnsi="Arial" w:cs="Arial"/>
                <w:b/>
                <w:bCs/>
                <w:sz w:val="14"/>
                <w:szCs w:val="14"/>
                <w:lang w:val="sr-Cyrl-RS"/>
              </w:rPr>
              <w:t>.</w:t>
            </w:r>
          </w:p>
        </w:tc>
        <w:tc>
          <w:tcPr>
            <w:tcW w:w="3240" w:type="dxa"/>
            <w:gridSpan w:val="3"/>
            <w:tcBorders>
              <w:top w:val="single" w:sz="8" w:space="0" w:color="auto"/>
              <w:left w:val="nil"/>
              <w:bottom w:val="single" w:sz="4" w:space="0" w:color="auto"/>
              <w:right w:val="single" w:sz="4" w:space="0" w:color="auto"/>
            </w:tcBorders>
            <w:shd w:val="clear" w:color="auto" w:fill="C0C0C0"/>
            <w:noWrap/>
            <w:vAlign w:val="bottom"/>
            <w:hideMark/>
          </w:tcPr>
          <w:p w14:paraId="4217E562" w14:textId="6F3F32DA"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2024</w:t>
            </w:r>
            <w:r w:rsidR="00752F04">
              <w:rPr>
                <w:rFonts w:ascii="Arial" w:eastAsia="Times New Roman" w:hAnsi="Arial" w:cs="Arial"/>
                <w:b/>
                <w:bCs/>
                <w:sz w:val="14"/>
                <w:szCs w:val="14"/>
                <w:lang w:val="sr-Cyrl-RS"/>
              </w:rPr>
              <w:t>.</w:t>
            </w:r>
          </w:p>
        </w:tc>
        <w:tc>
          <w:tcPr>
            <w:tcW w:w="3240" w:type="dxa"/>
            <w:gridSpan w:val="3"/>
            <w:tcBorders>
              <w:top w:val="single" w:sz="8" w:space="0" w:color="auto"/>
              <w:left w:val="single" w:sz="8" w:space="0" w:color="auto"/>
              <w:bottom w:val="single" w:sz="4" w:space="0" w:color="auto"/>
              <w:right w:val="single" w:sz="8" w:space="0" w:color="000000"/>
            </w:tcBorders>
            <w:shd w:val="clear" w:color="auto" w:fill="C0C0C0"/>
            <w:noWrap/>
            <w:vAlign w:val="bottom"/>
            <w:hideMark/>
          </w:tcPr>
          <w:p w14:paraId="29C7A649" w14:textId="7EC1E370"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2025</w:t>
            </w:r>
            <w:r w:rsidR="00752F04">
              <w:rPr>
                <w:rFonts w:ascii="Arial" w:eastAsia="Times New Roman" w:hAnsi="Arial" w:cs="Arial"/>
                <w:b/>
                <w:bCs/>
                <w:sz w:val="14"/>
                <w:szCs w:val="14"/>
                <w:lang w:val="sr-Cyrl-RS"/>
              </w:rPr>
              <w:t>.</w:t>
            </w:r>
          </w:p>
        </w:tc>
        <w:tc>
          <w:tcPr>
            <w:tcW w:w="3629" w:type="dxa"/>
            <w:gridSpan w:val="3"/>
            <w:tcBorders>
              <w:top w:val="single" w:sz="8" w:space="0" w:color="auto"/>
              <w:left w:val="nil"/>
              <w:bottom w:val="single" w:sz="4" w:space="0" w:color="auto"/>
              <w:right w:val="single" w:sz="8" w:space="0" w:color="000000"/>
            </w:tcBorders>
            <w:shd w:val="clear" w:color="auto" w:fill="C0C0C0"/>
            <w:noWrap/>
            <w:vAlign w:val="bottom"/>
            <w:hideMark/>
          </w:tcPr>
          <w:p w14:paraId="6B431582" w14:textId="77777777"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УКУПНО (2023-2025.)</w:t>
            </w:r>
          </w:p>
        </w:tc>
      </w:tr>
      <w:tr w:rsidR="00EA0FD7" w:rsidRPr="00AE5455" w14:paraId="2ADED315" w14:textId="77777777" w:rsidTr="00EA0FD7">
        <w:trPr>
          <w:trHeight w:val="702"/>
        </w:trPr>
        <w:tc>
          <w:tcPr>
            <w:tcW w:w="300" w:type="dxa"/>
            <w:vMerge/>
            <w:tcBorders>
              <w:top w:val="nil"/>
              <w:left w:val="single" w:sz="8" w:space="0" w:color="auto"/>
              <w:bottom w:val="single" w:sz="8" w:space="0" w:color="000000"/>
              <w:right w:val="nil"/>
            </w:tcBorders>
            <w:vAlign w:val="center"/>
            <w:hideMark/>
          </w:tcPr>
          <w:p w14:paraId="30AEE144" w14:textId="77777777" w:rsidR="00EA0FD7" w:rsidRPr="00EA0FD7" w:rsidRDefault="00EA0FD7" w:rsidP="00EA0FD7">
            <w:pPr>
              <w:spacing w:after="0" w:line="240" w:lineRule="auto"/>
              <w:rPr>
                <w:rFonts w:ascii="Arial" w:eastAsia="Times New Roman" w:hAnsi="Arial" w:cs="Arial"/>
                <w:b/>
                <w:bCs/>
                <w:sz w:val="13"/>
                <w:szCs w:val="13"/>
                <w:lang w:val="sr-Cyrl-RS"/>
              </w:rPr>
            </w:pPr>
          </w:p>
        </w:tc>
        <w:tc>
          <w:tcPr>
            <w:tcW w:w="300" w:type="dxa"/>
            <w:vMerge/>
            <w:tcBorders>
              <w:top w:val="nil"/>
              <w:left w:val="single" w:sz="8" w:space="0" w:color="auto"/>
              <w:bottom w:val="single" w:sz="8" w:space="0" w:color="000000"/>
              <w:right w:val="single" w:sz="8" w:space="0" w:color="auto"/>
            </w:tcBorders>
            <w:vAlign w:val="center"/>
            <w:hideMark/>
          </w:tcPr>
          <w:p w14:paraId="4004ADB1" w14:textId="77777777" w:rsidR="00EA0FD7" w:rsidRPr="00EA0FD7" w:rsidRDefault="00EA0FD7" w:rsidP="00EA0FD7">
            <w:pPr>
              <w:spacing w:after="0" w:line="240" w:lineRule="auto"/>
              <w:rPr>
                <w:rFonts w:ascii="Arial" w:eastAsia="Times New Roman" w:hAnsi="Arial" w:cs="Arial"/>
                <w:b/>
                <w:bCs/>
                <w:sz w:val="13"/>
                <w:szCs w:val="13"/>
                <w:lang w:val="sr-Cyrl-RS"/>
              </w:rPr>
            </w:pPr>
          </w:p>
        </w:tc>
        <w:tc>
          <w:tcPr>
            <w:tcW w:w="300" w:type="dxa"/>
            <w:vMerge/>
            <w:tcBorders>
              <w:top w:val="nil"/>
              <w:left w:val="nil"/>
              <w:bottom w:val="single" w:sz="8" w:space="0" w:color="000000"/>
              <w:right w:val="nil"/>
            </w:tcBorders>
            <w:vAlign w:val="center"/>
            <w:hideMark/>
          </w:tcPr>
          <w:p w14:paraId="0E883DCA" w14:textId="77777777" w:rsidR="00EA0FD7" w:rsidRPr="00EA0FD7" w:rsidRDefault="00EA0FD7" w:rsidP="00EA0FD7">
            <w:pPr>
              <w:spacing w:after="0" w:line="240" w:lineRule="auto"/>
              <w:rPr>
                <w:rFonts w:ascii="Arial" w:eastAsia="Times New Roman" w:hAnsi="Arial" w:cs="Arial"/>
                <w:b/>
                <w:bCs/>
                <w:sz w:val="14"/>
                <w:szCs w:val="14"/>
                <w:lang w:val="sr-Cyrl-RS"/>
              </w:rPr>
            </w:pPr>
          </w:p>
        </w:tc>
        <w:tc>
          <w:tcPr>
            <w:tcW w:w="1080" w:type="dxa"/>
            <w:tcBorders>
              <w:top w:val="nil"/>
              <w:left w:val="single" w:sz="8" w:space="0" w:color="auto"/>
              <w:bottom w:val="single" w:sz="8" w:space="0" w:color="auto"/>
              <w:right w:val="single" w:sz="4" w:space="0" w:color="auto"/>
            </w:tcBorders>
            <w:shd w:val="clear" w:color="auto" w:fill="C0C0C0"/>
            <w:noWrap/>
            <w:vAlign w:val="bottom"/>
            <w:hideMark/>
          </w:tcPr>
          <w:p w14:paraId="1BB723BC" w14:textId="77777777"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главница</w:t>
            </w:r>
          </w:p>
        </w:tc>
        <w:tc>
          <w:tcPr>
            <w:tcW w:w="1080" w:type="dxa"/>
            <w:tcBorders>
              <w:top w:val="nil"/>
              <w:left w:val="nil"/>
              <w:bottom w:val="single" w:sz="8" w:space="0" w:color="auto"/>
              <w:right w:val="single" w:sz="4" w:space="0" w:color="auto"/>
            </w:tcBorders>
            <w:shd w:val="clear" w:color="auto" w:fill="C0C0C0"/>
            <w:noWrap/>
            <w:vAlign w:val="bottom"/>
            <w:hideMark/>
          </w:tcPr>
          <w:p w14:paraId="5BE2A35C" w14:textId="77777777"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камата</w:t>
            </w:r>
          </w:p>
        </w:tc>
        <w:tc>
          <w:tcPr>
            <w:tcW w:w="1080" w:type="dxa"/>
            <w:tcBorders>
              <w:top w:val="nil"/>
              <w:left w:val="nil"/>
              <w:bottom w:val="single" w:sz="8" w:space="0" w:color="auto"/>
              <w:right w:val="single" w:sz="8" w:space="0" w:color="auto"/>
            </w:tcBorders>
            <w:shd w:val="clear" w:color="auto" w:fill="C0C0C0"/>
            <w:noWrap/>
            <w:vAlign w:val="bottom"/>
            <w:hideMark/>
          </w:tcPr>
          <w:p w14:paraId="20A1E5E1" w14:textId="77777777"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ануитет</w:t>
            </w:r>
          </w:p>
        </w:tc>
        <w:tc>
          <w:tcPr>
            <w:tcW w:w="1214" w:type="dxa"/>
            <w:tcBorders>
              <w:top w:val="nil"/>
              <w:left w:val="nil"/>
              <w:bottom w:val="single" w:sz="8" w:space="0" w:color="auto"/>
              <w:right w:val="single" w:sz="4" w:space="0" w:color="auto"/>
            </w:tcBorders>
            <w:shd w:val="clear" w:color="auto" w:fill="C0C0C0"/>
            <w:noWrap/>
            <w:vAlign w:val="bottom"/>
            <w:hideMark/>
          </w:tcPr>
          <w:p w14:paraId="7DFC99F6" w14:textId="77777777"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главница</w:t>
            </w:r>
          </w:p>
        </w:tc>
        <w:tc>
          <w:tcPr>
            <w:tcW w:w="946" w:type="dxa"/>
            <w:tcBorders>
              <w:top w:val="nil"/>
              <w:left w:val="nil"/>
              <w:bottom w:val="single" w:sz="8" w:space="0" w:color="auto"/>
              <w:right w:val="single" w:sz="4" w:space="0" w:color="auto"/>
            </w:tcBorders>
            <w:shd w:val="clear" w:color="auto" w:fill="C0C0C0"/>
            <w:noWrap/>
            <w:vAlign w:val="bottom"/>
            <w:hideMark/>
          </w:tcPr>
          <w:p w14:paraId="5EAB7F88" w14:textId="77777777"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камата</w:t>
            </w:r>
          </w:p>
        </w:tc>
        <w:tc>
          <w:tcPr>
            <w:tcW w:w="1080" w:type="dxa"/>
            <w:tcBorders>
              <w:top w:val="nil"/>
              <w:left w:val="nil"/>
              <w:bottom w:val="single" w:sz="8" w:space="0" w:color="auto"/>
              <w:right w:val="nil"/>
            </w:tcBorders>
            <w:shd w:val="clear" w:color="auto" w:fill="C0C0C0"/>
            <w:noWrap/>
            <w:vAlign w:val="bottom"/>
            <w:hideMark/>
          </w:tcPr>
          <w:p w14:paraId="74486656" w14:textId="77777777"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ануитет</w:t>
            </w:r>
          </w:p>
        </w:tc>
        <w:tc>
          <w:tcPr>
            <w:tcW w:w="1080" w:type="dxa"/>
            <w:tcBorders>
              <w:top w:val="nil"/>
              <w:left w:val="single" w:sz="8" w:space="0" w:color="auto"/>
              <w:bottom w:val="single" w:sz="8" w:space="0" w:color="auto"/>
              <w:right w:val="single" w:sz="4" w:space="0" w:color="auto"/>
            </w:tcBorders>
            <w:shd w:val="clear" w:color="auto" w:fill="C0C0C0"/>
            <w:noWrap/>
            <w:vAlign w:val="bottom"/>
            <w:hideMark/>
          </w:tcPr>
          <w:p w14:paraId="188ADA98" w14:textId="77777777"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главница</w:t>
            </w:r>
          </w:p>
        </w:tc>
        <w:tc>
          <w:tcPr>
            <w:tcW w:w="1041" w:type="dxa"/>
            <w:tcBorders>
              <w:top w:val="nil"/>
              <w:left w:val="nil"/>
              <w:bottom w:val="single" w:sz="8" w:space="0" w:color="auto"/>
              <w:right w:val="single" w:sz="4" w:space="0" w:color="auto"/>
            </w:tcBorders>
            <w:shd w:val="clear" w:color="auto" w:fill="C0C0C0"/>
            <w:noWrap/>
            <w:vAlign w:val="bottom"/>
            <w:hideMark/>
          </w:tcPr>
          <w:p w14:paraId="21F0BBAF" w14:textId="77777777"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камата</w:t>
            </w:r>
          </w:p>
        </w:tc>
        <w:tc>
          <w:tcPr>
            <w:tcW w:w="1119" w:type="dxa"/>
            <w:tcBorders>
              <w:top w:val="nil"/>
              <w:left w:val="nil"/>
              <w:bottom w:val="single" w:sz="8" w:space="0" w:color="auto"/>
              <w:right w:val="single" w:sz="8" w:space="0" w:color="auto"/>
            </w:tcBorders>
            <w:shd w:val="clear" w:color="auto" w:fill="C0C0C0"/>
            <w:noWrap/>
            <w:vAlign w:val="bottom"/>
            <w:hideMark/>
          </w:tcPr>
          <w:p w14:paraId="2B5CE079" w14:textId="77777777"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ануитет</w:t>
            </w:r>
          </w:p>
        </w:tc>
        <w:tc>
          <w:tcPr>
            <w:tcW w:w="1260" w:type="dxa"/>
            <w:tcBorders>
              <w:top w:val="nil"/>
              <w:left w:val="nil"/>
              <w:bottom w:val="single" w:sz="8" w:space="0" w:color="auto"/>
              <w:right w:val="single" w:sz="4" w:space="0" w:color="auto"/>
            </w:tcBorders>
            <w:shd w:val="clear" w:color="auto" w:fill="C0C0C0"/>
            <w:noWrap/>
            <w:vAlign w:val="bottom"/>
            <w:hideMark/>
          </w:tcPr>
          <w:p w14:paraId="251C48C4" w14:textId="77777777"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главница</w:t>
            </w:r>
          </w:p>
        </w:tc>
        <w:tc>
          <w:tcPr>
            <w:tcW w:w="1080" w:type="dxa"/>
            <w:tcBorders>
              <w:top w:val="nil"/>
              <w:left w:val="nil"/>
              <w:bottom w:val="single" w:sz="8" w:space="0" w:color="auto"/>
              <w:right w:val="single" w:sz="4" w:space="0" w:color="auto"/>
            </w:tcBorders>
            <w:shd w:val="clear" w:color="auto" w:fill="C0C0C0"/>
            <w:noWrap/>
            <w:vAlign w:val="bottom"/>
            <w:hideMark/>
          </w:tcPr>
          <w:p w14:paraId="492053A1" w14:textId="77777777"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камата</w:t>
            </w:r>
          </w:p>
        </w:tc>
        <w:tc>
          <w:tcPr>
            <w:tcW w:w="1289" w:type="dxa"/>
            <w:tcBorders>
              <w:top w:val="nil"/>
              <w:left w:val="nil"/>
              <w:bottom w:val="single" w:sz="8" w:space="0" w:color="auto"/>
              <w:right w:val="single" w:sz="8" w:space="0" w:color="auto"/>
            </w:tcBorders>
            <w:shd w:val="clear" w:color="auto" w:fill="C0C0C0"/>
            <w:noWrap/>
            <w:vAlign w:val="bottom"/>
            <w:hideMark/>
          </w:tcPr>
          <w:p w14:paraId="78352BD0" w14:textId="77777777" w:rsidR="00EA0FD7" w:rsidRPr="00EA0FD7" w:rsidRDefault="00EA0FD7" w:rsidP="00EA0FD7">
            <w:pPr>
              <w:spacing w:after="0" w:line="240" w:lineRule="auto"/>
              <w:jc w:val="center"/>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ануитет</w:t>
            </w:r>
          </w:p>
        </w:tc>
      </w:tr>
      <w:tr w:rsidR="00EA0FD7" w:rsidRPr="00EA0FD7" w14:paraId="68039DAD" w14:textId="77777777" w:rsidTr="00EA0FD7">
        <w:trPr>
          <w:trHeight w:val="882"/>
        </w:trPr>
        <w:tc>
          <w:tcPr>
            <w:tcW w:w="445" w:type="dxa"/>
            <w:vMerge w:val="restart"/>
            <w:tcBorders>
              <w:top w:val="nil"/>
              <w:left w:val="single" w:sz="8" w:space="0" w:color="auto"/>
              <w:bottom w:val="single" w:sz="4" w:space="0" w:color="000000"/>
              <w:right w:val="nil"/>
            </w:tcBorders>
            <w:noWrap/>
            <w:vAlign w:val="center"/>
            <w:hideMark/>
          </w:tcPr>
          <w:p w14:paraId="4154A4AB" w14:textId="77777777"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1.</w:t>
            </w:r>
          </w:p>
        </w:tc>
        <w:tc>
          <w:tcPr>
            <w:tcW w:w="1550" w:type="dxa"/>
            <w:vMerge w:val="restart"/>
            <w:tcBorders>
              <w:top w:val="nil"/>
              <w:left w:val="single" w:sz="8" w:space="0" w:color="auto"/>
              <w:bottom w:val="single" w:sz="4" w:space="0" w:color="000000"/>
              <w:right w:val="single" w:sz="8" w:space="0" w:color="auto"/>
            </w:tcBorders>
            <w:shd w:val="clear" w:color="auto" w:fill="FFFF99"/>
            <w:vAlign w:val="center"/>
            <w:hideMark/>
          </w:tcPr>
          <w:p w14:paraId="673E1E5E" w14:textId="77777777"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КРЕДИТ ЗА САНАЦИЈУ</w:t>
            </w:r>
            <w:r w:rsidRPr="00EA0FD7">
              <w:rPr>
                <w:rFonts w:ascii="Arial" w:eastAsia="Times New Roman" w:hAnsi="Arial" w:cs="Arial"/>
                <w:sz w:val="13"/>
                <w:szCs w:val="13"/>
                <w:lang w:val="sr-Cyrl-RS"/>
              </w:rPr>
              <w:br/>
              <w:t xml:space="preserve">ВОДОВОДНОГ </w:t>
            </w:r>
            <w:r w:rsidRPr="00EA0FD7">
              <w:rPr>
                <w:rFonts w:ascii="Arial" w:eastAsia="Times New Roman" w:hAnsi="Arial" w:cs="Arial"/>
                <w:sz w:val="13"/>
                <w:szCs w:val="13"/>
                <w:lang w:val="sr-Cyrl-RS"/>
              </w:rPr>
              <w:br/>
              <w:t xml:space="preserve">СИСТЕМА И СИСТЕМА </w:t>
            </w:r>
            <w:r w:rsidRPr="00EA0FD7">
              <w:rPr>
                <w:rFonts w:ascii="Arial" w:eastAsia="Times New Roman" w:hAnsi="Arial" w:cs="Arial"/>
                <w:sz w:val="13"/>
                <w:szCs w:val="13"/>
                <w:lang w:val="sr-Cyrl-RS"/>
              </w:rPr>
              <w:br/>
              <w:t>ЗА САНИТАЦИЈУ</w:t>
            </w:r>
            <w:r w:rsidRPr="00EA0FD7">
              <w:rPr>
                <w:rFonts w:ascii="Arial" w:eastAsia="Times New Roman" w:hAnsi="Arial" w:cs="Arial"/>
                <w:sz w:val="13"/>
                <w:szCs w:val="13"/>
                <w:lang w:val="sr-Cyrl-RS"/>
              </w:rPr>
              <w:br/>
              <w:t>Кредит од Свјетске банке за реконструкцију и обнову РС</w:t>
            </w:r>
          </w:p>
        </w:tc>
        <w:tc>
          <w:tcPr>
            <w:tcW w:w="799" w:type="dxa"/>
            <w:tcBorders>
              <w:top w:val="nil"/>
              <w:left w:val="nil"/>
              <w:bottom w:val="single" w:sz="4" w:space="0" w:color="auto"/>
              <w:right w:val="nil"/>
            </w:tcBorders>
            <w:hideMark/>
          </w:tcPr>
          <w:p w14:paraId="551FEBB7" w14:textId="246C8BBB"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USD</w:t>
            </w:r>
          </w:p>
        </w:tc>
        <w:tc>
          <w:tcPr>
            <w:tcW w:w="1080" w:type="dxa"/>
            <w:tcBorders>
              <w:top w:val="nil"/>
              <w:left w:val="single" w:sz="8" w:space="0" w:color="auto"/>
              <w:bottom w:val="single" w:sz="4" w:space="0" w:color="auto"/>
              <w:right w:val="single" w:sz="4" w:space="0" w:color="auto"/>
            </w:tcBorders>
            <w:vAlign w:val="bottom"/>
            <w:hideMark/>
          </w:tcPr>
          <w:p w14:paraId="44A2B71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16,848.52</w:t>
            </w:r>
          </w:p>
        </w:tc>
        <w:tc>
          <w:tcPr>
            <w:tcW w:w="1080" w:type="dxa"/>
            <w:tcBorders>
              <w:top w:val="nil"/>
              <w:left w:val="nil"/>
              <w:bottom w:val="single" w:sz="4" w:space="0" w:color="auto"/>
              <w:right w:val="single" w:sz="4" w:space="0" w:color="auto"/>
            </w:tcBorders>
            <w:vAlign w:val="bottom"/>
            <w:hideMark/>
          </w:tcPr>
          <w:p w14:paraId="31564DD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8" w:space="0" w:color="auto"/>
            </w:tcBorders>
            <w:vAlign w:val="bottom"/>
            <w:hideMark/>
          </w:tcPr>
          <w:p w14:paraId="56F3EC5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16,848.52</w:t>
            </w:r>
          </w:p>
        </w:tc>
        <w:tc>
          <w:tcPr>
            <w:tcW w:w="1214" w:type="dxa"/>
            <w:tcBorders>
              <w:top w:val="nil"/>
              <w:left w:val="nil"/>
              <w:bottom w:val="single" w:sz="4" w:space="0" w:color="auto"/>
              <w:right w:val="single" w:sz="4" w:space="0" w:color="auto"/>
            </w:tcBorders>
            <w:vAlign w:val="bottom"/>
            <w:hideMark/>
          </w:tcPr>
          <w:p w14:paraId="66BEC641"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16,848.52</w:t>
            </w:r>
          </w:p>
        </w:tc>
        <w:tc>
          <w:tcPr>
            <w:tcW w:w="946" w:type="dxa"/>
            <w:tcBorders>
              <w:top w:val="nil"/>
              <w:left w:val="nil"/>
              <w:bottom w:val="single" w:sz="4" w:space="0" w:color="auto"/>
              <w:right w:val="single" w:sz="4" w:space="0" w:color="auto"/>
            </w:tcBorders>
            <w:vAlign w:val="bottom"/>
            <w:hideMark/>
          </w:tcPr>
          <w:p w14:paraId="3FC8A71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8" w:space="0" w:color="auto"/>
            </w:tcBorders>
            <w:vAlign w:val="bottom"/>
            <w:hideMark/>
          </w:tcPr>
          <w:p w14:paraId="0FBF2AC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16,848.52</w:t>
            </w:r>
          </w:p>
        </w:tc>
        <w:tc>
          <w:tcPr>
            <w:tcW w:w="1080" w:type="dxa"/>
            <w:tcBorders>
              <w:top w:val="nil"/>
              <w:left w:val="nil"/>
              <w:bottom w:val="single" w:sz="4" w:space="0" w:color="auto"/>
              <w:right w:val="single" w:sz="4" w:space="0" w:color="auto"/>
            </w:tcBorders>
            <w:vAlign w:val="bottom"/>
            <w:hideMark/>
          </w:tcPr>
          <w:p w14:paraId="33D7B1D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16,848.52</w:t>
            </w:r>
          </w:p>
        </w:tc>
        <w:tc>
          <w:tcPr>
            <w:tcW w:w="1041" w:type="dxa"/>
            <w:tcBorders>
              <w:top w:val="nil"/>
              <w:left w:val="nil"/>
              <w:bottom w:val="single" w:sz="4" w:space="0" w:color="auto"/>
              <w:right w:val="single" w:sz="4" w:space="0" w:color="auto"/>
            </w:tcBorders>
            <w:vAlign w:val="bottom"/>
            <w:hideMark/>
          </w:tcPr>
          <w:p w14:paraId="74CF21E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119" w:type="dxa"/>
            <w:tcBorders>
              <w:top w:val="nil"/>
              <w:left w:val="nil"/>
              <w:bottom w:val="single" w:sz="4" w:space="0" w:color="auto"/>
              <w:right w:val="single" w:sz="8" w:space="0" w:color="auto"/>
            </w:tcBorders>
            <w:vAlign w:val="bottom"/>
            <w:hideMark/>
          </w:tcPr>
          <w:p w14:paraId="4954AB1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16,848.52</w:t>
            </w:r>
          </w:p>
        </w:tc>
        <w:tc>
          <w:tcPr>
            <w:tcW w:w="1260" w:type="dxa"/>
            <w:tcBorders>
              <w:top w:val="nil"/>
              <w:left w:val="nil"/>
              <w:bottom w:val="single" w:sz="4" w:space="0" w:color="auto"/>
              <w:right w:val="single" w:sz="4" w:space="0" w:color="auto"/>
            </w:tcBorders>
            <w:vAlign w:val="bottom"/>
            <w:hideMark/>
          </w:tcPr>
          <w:p w14:paraId="50340A6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50,545.56</w:t>
            </w:r>
          </w:p>
        </w:tc>
        <w:tc>
          <w:tcPr>
            <w:tcW w:w="1080" w:type="dxa"/>
            <w:tcBorders>
              <w:top w:val="nil"/>
              <w:left w:val="nil"/>
              <w:bottom w:val="single" w:sz="4" w:space="0" w:color="auto"/>
              <w:right w:val="single" w:sz="4" w:space="0" w:color="auto"/>
            </w:tcBorders>
            <w:vAlign w:val="bottom"/>
            <w:hideMark/>
          </w:tcPr>
          <w:p w14:paraId="777F55E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289" w:type="dxa"/>
            <w:tcBorders>
              <w:top w:val="nil"/>
              <w:left w:val="nil"/>
              <w:bottom w:val="single" w:sz="4" w:space="0" w:color="auto"/>
              <w:right w:val="single" w:sz="8" w:space="0" w:color="auto"/>
            </w:tcBorders>
            <w:vAlign w:val="bottom"/>
            <w:hideMark/>
          </w:tcPr>
          <w:p w14:paraId="6B10366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50,545.56</w:t>
            </w:r>
          </w:p>
        </w:tc>
      </w:tr>
      <w:tr w:rsidR="00EA0FD7" w:rsidRPr="00AE5455" w14:paraId="3A64D9FD" w14:textId="77777777" w:rsidTr="00EA0FD7">
        <w:trPr>
          <w:trHeight w:val="892"/>
        </w:trPr>
        <w:tc>
          <w:tcPr>
            <w:tcW w:w="300" w:type="dxa"/>
            <w:vMerge/>
            <w:tcBorders>
              <w:top w:val="nil"/>
              <w:left w:val="single" w:sz="8" w:space="0" w:color="auto"/>
              <w:bottom w:val="single" w:sz="4" w:space="0" w:color="000000"/>
              <w:right w:val="nil"/>
            </w:tcBorders>
            <w:vAlign w:val="center"/>
            <w:hideMark/>
          </w:tcPr>
          <w:p w14:paraId="6DC4DFB8"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300" w:type="dxa"/>
            <w:vMerge/>
            <w:tcBorders>
              <w:top w:val="nil"/>
              <w:left w:val="single" w:sz="8" w:space="0" w:color="auto"/>
              <w:bottom w:val="single" w:sz="4" w:space="0" w:color="000000"/>
              <w:right w:val="single" w:sz="8" w:space="0" w:color="auto"/>
            </w:tcBorders>
            <w:vAlign w:val="center"/>
            <w:hideMark/>
          </w:tcPr>
          <w:p w14:paraId="34C788EF"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799" w:type="dxa"/>
            <w:tcBorders>
              <w:top w:val="nil"/>
              <w:left w:val="nil"/>
              <w:bottom w:val="single" w:sz="4" w:space="0" w:color="auto"/>
              <w:right w:val="nil"/>
            </w:tcBorders>
            <w:shd w:val="clear" w:color="auto" w:fill="FFFF99"/>
            <w:hideMark/>
          </w:tcPr>
          <w:p w14:paraId="65DD12A9" w14:textId="36E2B5E6"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BAM</w:t>
            </w:r>
          </w:p>
        </w:tc>
        <w:tc>
          <w:tcPr>
            <w:tcW w:w="1080" w:type="dxa"/>
            <w:tcBorders>
              <w:top w:val="nil"/>
              <w:left w:val="single" w:sz="8" w:space="0" w:color="auto"/>
              <w:bottom w:val="single" w:sz="4" w:space="0" w:color="auto"/>
              <w:right w:val="single" w:sz="4" w:space="0" w:color="auto"/>
            </w:tcBorders>
            <w:shd w:val="clear" w:color="auto" w:fill="FFFF99"/>
            <w:vAlign w:val="bottom"/>
            <w:hideMark/>
          </w:tcPr>
          <w:p w14:paraId="6D21D56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31,169.76</w:t>
            </w:r>
          </w:p>
        </w:tc>
        <w:tc>
          <w:tcPr>
            <w:tcW w:w="1080" w:type="dxa"/>
            <w:tcBorders>
              <w:top w:val="nil"/>
              <w:left w:val="nil"/>
              <w:bottom w:val="single" w:sz="4" w:space="0" w:color="auto"/>
              <w:right w:val="single" w:sz="4" w:space="0" w:color="auto"/>
            </w:tcBorders>
            <w:shd w:val="clear" w:color="auto" w:fill="FFFF99"/>
            <w:vAlign w:val="bottom"/>
            <w:hideMark/>
          </w:tcPr>
          <w:p w14:paraId="4605B65A"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8" w:space="0" w:color="auto"/>
            </w:tcBorders>
            <w:shd w:val="clear" w:color="auto" w:fill="FFFF99"/>
            <w:vAlign w:val="bottom"/>
            <w:hideMark/>
          </w:tcPr>
          <w:p w14:paraId="643168FE"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31,169.76</w:t>
            </w:r>
          </w:p>
        </w:tc>
        <w:tc>
          <w:tcPr>
            <w:tcW w:w="1214" w:type="dxa"/>
            <w:tcBorders>
              <w:top w:val="nil"/>
              <w:left w:val="nil"/>
              <w:bottom w:val="single" w:sz="4" w:space="0" w:color="auto"/>
              <w:right w:val="single" w:sz="4" w:space="0" w:color="auto"/>
            </w:tcBorders>
            <w:shd w:val="clear" w:color="auto" w:fill="FFFF99"/>
            <w:vAlign w:val="bottom"/>
            <w:hideMark/>
          </w:tcPr>
          <w:p w14:paraId="5695D15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31,169.76</w:t>
            </w:r>
          </w:p>
        </w:tc>
        <w:tc>
          <w:tcPr>
            <w:tcW w:w="946" w:type="dxa"/>
            <w:tcBorders>
              <w:top w:val="nil"/>
              <w:left w:val="nil"/>
              <w:bottom w:val="single" w:sz="4" w:space="0" w:color="auto"/>
              <w:right w:val="single" w:sz="4" w:space="0" w:color="auto"/>
            </w:tcBorders>
            <w:shd w:val="clear" w:color="auto" w:fill="FFFF99"/>
            <w:vAlign w:val="bottom"/>
            <w:hideMark/>
          </w:tcPr>
          <w:p w14:paraId="4C8D7E4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8" w:space="0" w:color="auto"/>
            </w:tcBorders>
            <w:shd w:val="clear" w:color="auto" w:fill="FFFF99"/>
            <w:vAlign w:val="bottom"/>
            <w:hideMark/>
          </w:tcPr>
          <w:p w14:paraId="6B324B0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31,169.76</w:t>
            </w:r>
          </w:p>
        </w:tc>
        <w:tc>
          <w:tcPr>
            <w:tcW w:w="1080" w:type="dxa"/>
            <w:tcBorders>
              <w:top w:val="nil"/>
              <w:left w:val="nil"/>
              <w:bottom w:val="single" w:sz="4" w:space="0" w:color="auto"/>
              <w:right w:val="single" w:sz="4" w:space="0" w:color="auto"/>
            </w:tcBorders>
            <w:shd w:val="clear" w:color="auto" w:fill="FFFF99"/>
            <w:vAlign w:val="bottom"/>
            <w:hideMark/>
          </w:tcPr>
          <w:p w14:paraId="037602B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31,169.76</w:t>
            </w:r>
          </w:p>
        </w:tc>
        <w:tc>
          <w:tcPr>
            <w:tcW w:w="1041" w:type="dxa"/>
            <w:tcBorders>
              <w:top w:val="nil"/>
              <w:left w:val="nil"/>
              <w:bottom w:val="single" w:sz="4" w:space="0" w:color="auto"/>
              <w:right w:val="single" w:sz="4" w:space="0" w:color="auto"/>
            </w:tcBorders>
            <w:shd w:val="clear" w:color="auto" w:fill="FFFF99"/>
            <w:vAlign w:val="bottom"/>
            <w:hideMark/>
          </w:tcPr>
          <w:p w14:paraId="61533451"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119" w:type="dxa"/>
            <w:tcBorders>
              <w:top w:val="nil"/>
              <w:left w:val="nil"/>
              <w:bottom w:val="single" w:sz="4" w:space="0" w:color="auto"/>
              <w:right w:val="single" w:sz="8" w:space="0" w:color="auto"/>
            </w:tcBorders>
            <w:shd w:val="clear" w:color="auto" w:fill="FFFF99"/>
            <w:vAlign w:val="bottom"/>
            <w:hideMark/>
          </w:tcPr>
          <w:p w14:paraId="500B01B5"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31,169.76</w:t>
            </w:r>
          </w:p>
        </w:tc>
        <w:tc>
          <w:tcPr>
            <w:tcW w:w="1260" w:type="dxa"/>
            <w:tcBorders>
              <w:top w:val="nil"/>
              <w:left w:val="nil"/>
              <w:bottom w:val="single" w:sz="4" w:space="0" w:color="auto"/>
              <w:right w:val="single" w:sz="4" w:space="0" w:color="auto"/>
            </w:tcBorders>
            <w:shd w:val="clear" w:color="auto" w:fill="FFFF99"/>
            <w:vAlign w:val="bottom"/>
            <w:hideMark/>
          </w:tcPr>
          <w:p w14:paraId="514D676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93,509.28</w:t>
            </w:r>
          </w:p>
        </w:tc>
        <w:tc>
          <w:tcPr>
            <w:tcW w:w="1080" w:type="dxa"/>
            <w:tcBorders>
              <w:top w:val="nil"/>
              <w:left w:val="nil"/>
              <w:bottom w:val="single" w:sz="4" w:space="0" w:color="auto"/>
              <w:right w:val="single" w:sz="4" w:space="0" w:color="auto"/>
            </w:tcBorders>
            <w:shd w:val="clear" w:color="auto" w:fill="FFFF99"/>
            <w:vAlign w:val="bottom"/>
            <w:hideMark/>
          </w:tcPr>
          <w:p w14:paraId="2183B9E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289" w:type="dxa"/>
            <w:tcBorders>
              <w:top w:val="nil"/>
              <w:left w:val="nil"/>
              <w:bottom w:val="single" w:sz="4" w:space="0" w:color="auto"/>
              <w:right w:val="single" w:sz="8" w:space="0" w:color="auto"/>
            </w:tcBorders>
            <w:shd w:val="clear" w:color="auto" w:fill="FFFF99"/>
            <w:vAlign w:val="bottom"/>
            <w:hideMark/>
          </w:tcPr>
          <w:p w14:paraId="558069BA"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93,509.28</w:t>
            </w:r>
          </w:p>
        </w:tc>
      </w:tr>
      <w:tr w:rsidR="00EA0FD7" w:rsidRPr="00EA0FD7" w14:paraId="3B6A2500" w14:textId="77777777" w:rsidTr="00EA0FD7">
        <w:trPr>
          <w:trHeight w:val="892"/>
        </w:trPr>
        <w:tc>
          <w:tcPr>
            <w:tcW w:w="445" w:type="dxa"/>
            <w:vMerge w:val="restart"/>
            <w:tcBorders>
              <w:top w:val="nil"/>
              <w:left w:val="single" w:sz="8" w:space="0" w:color="auto"/>
              <w:bottom w:val="single" w:sz="4" w:space="0" w:color="000000"/>
              <w:right w:val="nil"/>
            </w:tcBorders>
            <w:noWrap/>
            <w:vAlign w:val="center"/>
            <w:hideMark/>
          </w:tcPr>
          <w:p w14:paraId="4A0B9B72" w14:textId="77777777"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2.</w:t>
            </w:r>
          </w:p>
        </w:tc>
        <w:tc>
          <w:tcPr>
            <w:tcW w:w="1550" w:type="dxa"/>
            <w:vMerge w:val="restart"/>
            <w:tcBorders>
              <w:top w:val="nil"/>
              <w:left w:val="single" w:sz="8" w:space="0" w:color="auto"/>
              <w:bottom w:val="single" w:sz="4" w:space="0" w:color="000000"/>
              <w:right w:val="single" w:sz="8" w:space="0" w:color="auto"/>
            </w:tcBorders>
            <w:shd w:val="clear" w:color="auto" w:fill="FFFF99"/>
            <w:vAlign w:val="center"/>
            <w:hideMark/>
          </w:tcPr>
          <w:p w14:paraId="3A574AC4" w14:textId="77777777"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 xml:space="preserve">САНАЦИЈА ЈАВНОГ </w:t>
            </w:r>
            <w:r w:rsidRPr="00EA0FD7">
              <w:rPr>
                <w:rFonts w:ascii="Arial" w:eastAsia="Times New Roman" w:hAnsi="Arial" w:cs="Arial"/>
                <w:sz w:val="13"/>
                <w:szCs w:val="13"/>
                <w:lang w:val="sr-Cyrl-RS"/>
              </w:rPr>
              <w:br/>
              <w:t xml:space="preserve">СТАМБЕНОГ ФОНДА </w:t>
            </w:r>
            <w:r w:rsidRPr="00EA0FD7">
              <w:rPr>
                <w:rFonts w:ascii="Arial" w:eastAsia="Times New Roman" w:hAnsi="Arial" w:cs="Arial"/>
                <w:sz w:val="13"/>
                <w:szCs w:val="13"/>
                <w:lang w:val="sr-Cyrl-RS"/>
              </w:rPr>
              <w:br/>
              <w:t>ОПШТИНЕ БРЧКО</w:t>
            </w:r>
            <w:r w:rsidRPr="00EA0FD7">
              <w:rPr>
                <w:rFonts w:ascii="Arial" w:eastAsia="Times New Roman" w:hAnsi="Arial" w:cs="Arial"/>
                <w:sz w:val="13"/>
                <w:szCs w:val="13"/>
                <w:lang w:val="sr-Cyrl-RS"/>
              </w:rPr>
              <w:br/>
              <w:t>Кредит од Свјетске банке за реконструкцију и обнову РС-а путем Инвестиционо-развојне банке РС</w:t>
            </w:r>
          </w:p>
        </w:tc>
        <w:tc>
          <w:tcPr>
            <w:tcW w:w="799" w:type="dxa"/>
            <w:tcBorders>
              <w:top w:val="nil"/>
              <w:left w:val="nil"/>
              <w:bottom w:val="single" w:sz="4" w:space="0" w:color="auto"/>
              <w:right w:val="nil"/>
            </w:tcBorders>
            <w:hideMark/>
          </w:tcPr>
          <w:p w14:paraId="41DC1FB0" w14:textId="754CE4C7"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USD</w:t>
            </w:r>
          </w:p>
        </w:tc>
        <w:tc>
          <w:tcPr>
            <w:tcW w:w="1080" w:type="dxa"/>
            <w:tcBorders>
              <w:top w:val="nil"/>
              <w:left w:val="single" w:sz="8" w:space="0" w:color="auto"/>
              <w:bottom w:val="single" w:sz="4" w:space="0" w:color="auto"/>
              <w:right w:val="single" w:sz="4" w:space="0" w:color="auto"/>
            </w:tcBorders>
            <w:vAlign w:val="bottom"/>
            <w:hideMark/>
          </w:tcPr>
          <w:p w14:paraId="34B87EA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57,569.00</w:t>
            </w:r>
          </w:p>
        </w:tc>
        <w:tc>
          <w:tcPr>
            <w:tcW w:w="1080" w:type="dxa"/>
            <w:tcBorders>
              <w:top w:val="nil"/>
              <w:left w:val="nil"/>
              <w:bottom w:val="single" w:sz="4" w:space="0" w:color="auto"/>
              <w:right w:val="single" w:sz="4" w:space="0" w:color="auto"/>
            </w:tcBorders>
            <w:vAlign w:val="bottom"/>
            <w:hideMark/>
          </w:tcPr>
          <w:p w14:paraId="24DF8CB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8,571.00</w:t>
            </w:r>
          </w:p>
        </w:tc>
        <w:tc>
          <w:tcPr>
            <w:tcW w:w="1080" w:type="dxa"/>
            <w:tcBorders>
              <w:top w:val="nil"/>
              <w:left w:val="nil"/>
              <w:bottom w:val="single" w:sz="4" w:space="0" w:color="auto"/>
              <w:right w:val="single" w:sz="8" w:space="0" w:color="auto"/>
            </w:tcBorders>
            <w:vAlign w:val="bottom"/>
            <w:hideMark/>
          </w:tcPr>
          <w:p w14:paraId="2F26C76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66,140.00</w:t>
            </w:r>
          </w:p>
        </w:tc>
        <w:tc>
          <w:tcPr>
            <w:tcW w:w="1214" w:type="dxa"/>
            <w:tcBorders>
              <w:top w:val="nil"/>
              <w:left w:val="nil"/>
              <w:bottom w:val="single" w:sz="4" w:space="0" w:color="auto"/>
              <w:right w:val="single" w:sz="4" w:space="0" w:color="auto"/>
            </w:tcBorders>
            <w:vAlign w:val="bottom"/>
            <w:hideMark/>
          </w:tcPr>
          <w:p w14:paraId="7DBBF88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58,573.00</w:t>
            </w:r>
          </w:p>
        </w:tc>
        <w:tc>
          <w:tcPr>
            <w:tcW w:w="946" w:type="dxa"/>
            <w:tcBorders>
              <w:top w:val="nil"/>
              <w:left w:val="nil"/>
              <w:bottom w:val="single" w:sz="4" w:space="0" w:color="auto"/>
              <w:right w:val="single" w:sz="4" w:space="0" w:color="auto"/>
            </w:tcBorders>
            <w:vAlign w:val="bottom"/>
            <w:hideMark/>
          </w:tcPr>
          <w:p w14:paraId="2F3B466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7,567.00</w:t>
            </w:r>
          </w:p>
        </w:tc>
        <w:tc>
          <w:tcPr>
            <w:tcW w:w="1080" w:type="dxa"/>
            <w:tcBorders>
              <w:top w:val="nil"/>
              <w:left w:val="nil"/>
              <w:bottom w:val="single" w:sz="4" w:space="0" w:color="auto"/>
              <w:right w:val="single" w:sz="8" w:space="0" w:color="auto"/>
            </w:tcBorders>
            <w:vAlign w:val="bottom"/>
            <w:hideMark/>
          </w:tcPr>
          <w:p w14:paraId="100825E6"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66,140.00</w:t>
            </w:r>
          </w:p>
        </w:tc>
        <w:tc>
          <w:tcPr>
            <w:tcW w:w="1080" w:type="dxa"/>
            <w:tcBorders>
              <w:top w:val="nil"/>
              <w:left w:val="nil"/>
              <w:bottom w:val="single" w:sz="4" w:space="0" w:color="auto"/>
              <w:right w:val="single" w:sz="4" w:space="0" w:color="auto"/>
            </w:tcBorders>
            <w:vAlign w:val="bottom"/>
            <w:hideMark/>
          </w:tcPr>
          <w:p w14:paraId="23A2AB8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59,602.00</w:t>
            </w:r>
          </w:p>
        </w:tc>
        <w:tc>
          <w:tcPr>
            <w:tcW w:w="1041" w:type="dxa"/>
            <w:tcBorders>
              <w:top w:val="nil"/>
              <w:left w:val="nil"/>
              <w:bottom w:val="single" w:sz="4" w:space="0" w:color="auto"/>
              <w:right w:val="single" w:sz="4" w:space="0" w:color="auto"/>
            </w:tcBorders>
            <w:vAlign w:val="bottom"/>
            <w:hideMark/>
          </w:tcPr>
          <w:p w14:paraId="329BB5C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6,538.00</w:t>
            </w:r>
          </w:p>
        </w:tc>
        <w:tc>
          <w:tcPr>
            <w:tcW w:w="1119" w:type="dxa"/>
            <w:tcBorders>
              <w:top w:val="nil"/>
              <w:left w:val="nil"/>
              <w:bottom w:val="single" w:sz="4" w:space="0" w:color="auto"/>
              <w:right w:val="single" w:sz="8" w:space="0" w:color="auto"/>
            </w:tcBorders>
            <w:vAlign w:val="bottom"/>
            <w:hideMark/>
          </w:tcPr>
          <w:p w14:paraId="1A9A9686"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66,140.00</w:t>
            </w:r>
          </w:p>
        </w:tc>
        <w:tc>
          <w:tcPr>
            <w:tcW w:w="1260" w:type="dxa"/>
            <w:tcBorders>
              <w:top w:val="nil"/>
              <w:left w:val="nil"/>
              <w:bottom w:val="single" w:sz="4" w:space="0" w:color="auto"/>
              <w:right w:val="single" w:sz="4" w:space="0" w:color="auto"/>
            </w:tcBorders>
            <w:vAlign w:val="bottom"/>
            <w:hideMark/>
          </w:tcPr>
          <w:p w14:paraId="378D61B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175,744.00</w:t>
            </w:r>
          </w:p>
        </w:tc>
        <w:tc>
          <w:tcPr>
            <w:tcW w:w="1080" w:type="dxa"/>
            <w:tcBorders>
              <w:top w:val="nil"/>
              <w:left w:val="nil"/>
              <w:bottom w:val="single" w:sz="4" w:space="0" w:color="auto"/>
              <w:right w:val="single" w:sz="4" w:space="0" w:color="auto"/>
            </w:tcBorders>
            <w:vAlign w:val="bottom"/>
            <w:hideMark/>
          </w:tcPr>
          <w:p w14:paraId="45EB0E9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22,676.00</w:t>
            </w:r>
          </w:p>
        </w:tc>
        <w:tc>
          <w:tcPr>
            <w:tcW w:w="1289" w:type="dxa"/>
            <w:tcBorders>
              <w:top w:val="nil"/>
              <w:left w:val="nil"/>
              <w:bottom w:val="single" w:sz="4" w:space="0" w:color="auto"/>
              <w:right w:val="single" w:sz="8" w:space="0" w:color="auto"/>
            </w:tcBorders>
            <w:vAlign w:val="bottom"/>
            <w:hideMark/>
          </w:tcPr>
          <w:p w14:paraId="659C620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198,420.00</w:t>
            </w:r>
          </w:p>
        </w:tc>
      </w:tr>
      <w:tr w:rsidR="00EA0FD7" w:rsidRPr="00AE5455" w14:paraId="26900530" w14:textId="77777777" w:rsidTr="00EA0FD7">
        <w:trPr>
          <w:trHeight w:val="1009"/>
        </w:trPr>
        <w:tc>
          <w:tcPr>
            <w:tcW w:w="300" w:type="dxa"/>
            <w:vMerge/>
            <w:tcBorders>
              <w:top w:val="nil"/>
              <w:left w:val="single" w:sz="8" w:space="0" w:color="auto"/>
              <w:bottom w:val="single" w:sz="4" w:space="0" w:color="000000"/>
              <w:right w:val="nil"/>
            </w:tcBorders>
            <w:vAlign w:val="center"/>
            <w:hideMark/>
          </w:tcPr>
          <w:p w14:paraId="721A4524"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300" w:type="dxa"/>
            <w:vMerge/>
            <w:tcBorders>
              <w:top w:val="nil"/>
              <w:left w:val="single" w:sz="8" w:space="0" w:color="auto"/>
              <w:bottom w:val="single" w:sz="4" w:space="0" w:color="000000"/>
              <w:right w:val="single" w:sz="8" w:space="0" w:color="auto"/>
            </w:tcBorders>
            <w:vAlign w:val="center"/>
            <w:hideMark/>
          </w:tcPr>
          <w:p w14:paraId="74DB759A"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799" w:type="dxa"/>
            <w:tcBorders>
              <w:top w:val="nil"/>
              <w:left w:val="nil"/>
              <w:bottom w:val="single" w:sz="4" w:space="0" w:color="auto"/>
              <w:right w:val="nil"/>
            </w:tcBorders>
            <w:shd w:val="clear" w:color="auto" w:fill="FFFF99"/>
            <w:hideMark/>
          </w:tcPr>
          <w:p w14:paraId="223B9B25" w14:textId="04F91E10"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BAM</w:t>
            </w:r>
          </w:p>
        </w:tc>
        <w:tc>
          <w:tcPr>
            <w:tcW w:w="1080" w:type="dxa"/>
            <w:tcBorders>
              <w:top w:val="nil"/>
              <w:left w:val="single" w:sz="8" w:space="0" w:color="auto"/>
              <w:bottom w:val="single" w:sz="4" w:space="0" w:color="auto"/>
              <w:right w:val="single" w:sz="4" w:space="0" w:color="auto"/>
            </w:tcBorders>
            <w:shd w:val="clear" w:color="auto" w:fill="FFFF99"/>
            <w:vAlign w:val="bottom"/>
            <w:hideMark/>
          </w:tcPr>
          <w:p w14:paraId="63BB9A3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106,502.65</w:t>
            </w:r>
          </w:p>
        </w:tc>
        <w:tc>
          <w:tcPr>
            <w:tcW w:w="1080" w:type="dxa"/>
            <w:tcBorders>
              <w:top w:val="nil"/>
              <w:left w:val="nil"/>
              <w:bottom w:val="single" w:sz="4" w:space="0" w:color="auto"/>
              <w:right w:val="single" w:sz="4" w:space="0" w:color="auto"/>
            </w:tcBorders>
            <w:shd w:val="clear" w:color="auto" w:fill="FFFF99"/>
            <w:vAlign w:val="bottom"/>
            <w:hideMark/>
          </w:tcPr>
          <w:p w14:paraId="2F17ACD6"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15,856.36</w:t>
            </w:r>
          </w:p>
        </w:tc>
        <w:tc>
          <w:tcPr>
            <w:tcW w:w="1080" w:type="dxa"/>
            <w:tcBorders>
              <w:top w:val="nil"/>
              <w:left w:val="nil"/>
              <w:bottom w:val="single" w:sz="4" w:space="0" w:color="auto"/>
              <w:right w:val="single" w:sz="8" w:space="0" w:color="auto"/>
            </w:tcBorders>
            <w:shd w:val="clear" w:color="auto" w:fill="FFFF99"/>
            <w:vAlign w:val="bottom"/>
            <w:hideMark/>
          </w:tcPr>
          <w:p w14:paraId="3A4E4F7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122,359.01</w:t>
            </w:r>
          </w:p>
        </w:tc>
        <w:tc>
          <w:tcPr>
            <w:tcW w:w="1214" w:type="dxa"/>
            <w:tcBorders>
              <w:top w:val="nil"/>
              <w:left w:val="nil"/>
              <w:bottom w:val="single" w:sz="4" w:space="0" w:color="auto"/>
              <w:right w:val="single" w:sz="4" w:space="0" w:color="auto"/>
            </w:tcBorders>
            <w:shd w:val="clear" w:color="auto" w:fill="FFFF99"/>
            <w:vAlign w:val="bottom"/>
            <w:hideMark/>
          </w:tcPr>
          <w:p w14:paraId="694AFA71"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108,360.05</w:t>
            </w:r>
          </w:p>
        </w:tc>
        <w:tc>
          <w:tcPr>
            <w:tcW w:w="946" w:type="dxa"/>
            <w:tcBorders>
              <w:top w:val="nil"/>
              <w:left w:val="nil"/>
              <w:bottom w:val="single" w:sz="4" w:space="0" w:color="auto"/>
              <w:right w:val="single" w:sz="4" w:space="0" w:color="auto"/>
            </w:tcBorders>
            <w:shd w:val="clear" w:color="auto" w:fill="FFFF99"/>
            <w:vAlign w:val="bottom"/>
            <w:hideMark/>
          </w:tcPr>
          <w:p w14:paraId="7C76B111"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13,998.95</w:t>
            </w:r>
          </w:p>
        </w:tc>
        <w:tc>
          <w:tcPr>
            <w:tcW w:w="1080" w:type="dxa"/>
            <w:tcBorders>
              <w:top w:val="nil"/>
              <w:left w:val="nil"/>
              <w:bottom w:val="single" w:sz="4" w:space="0" w:color="auto"/>
              <w:right w:val="single" w:sz="8" w:space="0" w:color="auto"/>
            </w:tcBorders>
            <w:shd w:val="clear" w:color="auto" w:fill="FFFF99"/>
            <w:vAlign w:val="bottom"/>
            <w:hideMark/>
          </w:tcPr>
          <w:p w14:paraId="7073C83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122,359.00</w:t>
            </w:r>
          </w:p>
        </w:tc>
        <w:tc>
          <w:tcPr>
            <w:tcW w:w="1080" w:type="dxa"/>
            <w:tcBorders>
              <w:top w:val="nil"/>
              <w:left w:val="nil"/>
              <w:bottom w:val="single" w:sz="4" w:space="0" w:color="auto"/>
              <w:right w:val="single" w:sz="4" w:space="0" w:color="auto"/>
            </w:tcBorders>
            <w:shd w:val="clear" w:color="auto" w:fill="FFFF99"/>
            <w:vAlign w:val="bottom"/>
            <w:hideMark/>
          </w:tcPr>
          <w:p w14:paraId="24D4EDA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110,263.70</w:t>
            </w:r>
          </w:p>
        </w:tc>
        <w:tc>
          <w:tcPr>
            <w:tcW w:w="1041" w:type="dxa"/>
            <w:tcBorders>
              <w:top w:val="nil"/>
              <w:left w:val="nil"/>
              <w:bottom w:val="single" w:sz="4" w:space="0" w:color="auto"/>
              <w:right w:val="single" w:sz="4" w:space="0" w:color="auto"/>
            </w:tcBorders>
            <w:shd w:val="clear" w:color="auto" w:fill="FFFF99"/>
            <w:vAlign w:val="bottom"/>
            <w:hideMark/>
          </w:tcPr>
          <w:p w14:paraId="17AEDDE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12,095.30</w:t>
            </w:r>
          </w:p>
        </w:tc>
        <w:tc>
          <w:tcPr>
            <w:tcW w:w="1119" w:type="dxa"/>
            <w:tcBorders>
              <w:top w:val="nil"/>
              <w:left w:val="nil"/>
              <w:bottom w:val="single" w:sz="4" w:space="0" w:color="auto"/>
              <w:right w:val="single" w:sz="8" w:space="0" w:color="auto"/>
            </w:tcBorders>
            <w:shd w:val="clear" w:color="auto" w:fill="FFFF99"/>
            <w:vAlign w:val="bottom"/>
            <w:hideMark/>
          </w:tcPr>
          <w:p w14:paraId="2A8337B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122,359.00</w:t>
            </w:r>
          </w:p>
        </w:tc>
        <w:tc>
          <w:tcPr>
            <w:tcW w:w="1260" w:type="dxa"/>
            <w:tcBorders>
              <w:top w:val="nil"/>
              <w:left w:val="nil"/>
              <w:bottom w:val="single" w:sz="4" w:space="0" w:color="auto"/>
              <w:right w:val="single" w:sz="4" w:space="0" w:color="auto"/>
            </w:tcBorders>
            <w:shd w:val="clear" w:color="auto" w:fill="FFFF99"/>
            <w:vAlign w:val="bottom"/>
            <w:hideMark/>
          </w:tcPr>
          <w:p w14:paraId="06FD30B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325,126.40</w:t>
            </w:r>
          </w:p>
        </w:tc>
        <w:tc>
          <w:tcPr>
            <w:tcW w:w="1080" w:type="dxa"/>
            <w:tcBorders>
              <w:top w:val="nil"/>
              <w:left w:val="nil"/>
              <w:bottom w:val="single" w:sz="4" w:space="0" w:color="auto"/>
              <w:right w:val="single" w:sz="4" w:space="0" w:color="auto"/>
            </w:tcBorders>
            <w:shd w:val="clear" w:color="auto" w:fill="FFFF99"/>
            <w:vAlign w:val="bottom"/>
            <w:hideMark/>
          </w:tcPr>
          <w:p w14:paraId="3A41952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41,950.61</w:t>
            </w:r>
          </w:p>
        </w:tc>
        <w:tc>
          <w:tcPr>
            <w:tcW w:w="1289" w:type="dxa"/>
            <w:tcBorders>
              <w:top w:val="nil"/>
              <w:left w:val="nil"/>
              <w:bottom w:val="single" w:sz="4" w:space="0" w:color="auto"/>
              <w:right w:val="single" w:sz="8" w:space="0" w:color="auto"/>
            </w:tcBorders>
            <w:shd w:val="clear" w:color="auto" w:fill="FFFF99"/>
            <w:vAlign w:val="bottom"/>
            <w:hideMark/>
          </w:tcPr>
          <w:p w14:paraId="01048C8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367,077.01</w:t>
            </w:r>
          </w:p>
        </w:tc>
      </w:tr>
      <w:tr w:rsidR="00EA0FD7" w:rsidRPr="00EA0FD7" w14:paraId="3D824EE8" w14:textId="77777777" w:rsidTr="00EA0FD7">
        <w:trPr>
          <w:trHeight w:val="1063"/>
        </w:trPr>
        <w:tc>
          <w:tcPr>
            <w:tcW w:w="445" w:type="dxa"/>
            <w:vMerge w:val="restart"/>
            <w:tcBorders>
              <w:top w:val="nil"/>
              <w:left w:val="single" w:sz="8" w:space="0" w:color="auto"/>
              <w:bottom w:val="single" w:sz="4" w:space="0" w:color="000000"/>
              <w:right w:val="nil"/>
            </w:tcBorders>
            <w:noWrap/>
            <w:vAlign w:val="center"/>
            <w:hideMark/>
          </w:tcPr>
          <w:p w14:paraId="7E23DCB9" w14:textId="77777777"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3.</w:t>
            </w:r>
          </w:p>
        </w:tc>
        <w:tc>
          <w:tcPr>
            <w:tcW w:w="1550" w:type="dxa"/>
            <w:vMerge w:val="restart"/>
            <w:tcBorders>
              <w:top w:val="nil"/>
              <w:left w:val="single" w:sz="8" w:space="0" w:color="auto"/>
              <w:bottom w:val="single" w:sz="4" w:space="0" w:color="000000"/>
              <w:right w:val="single" w:sz="8" w:space="0" w:color="auto"/>
            </w:tcBorders>
            <w:shd w:val="clear" w:color="auto" w:fill="FFFF99"/>
            <w:vAlign w:val="center"/>
            <w:hideMark/>
          </w:tcPr>
          <w:p w14:paraId="40D7AC31" w14:textId="77777777"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 xml:space="preserve">ПРОЈЕКАТ СТАМБЕНЕ ОБНОВЕ СПОРАЗУМ О ЗАЈМУ - </w:t>
            </w:r>
            <w:r w:rsidRPr="00EA0FD7">
              <w:rPr>
                <w:rFonts w:ascii="Arial" w:eastAsia="Times New Roman" w:hAnsi="Arial" w:cs="Arial"/>
                <w:sz w:val="13"/>
                <w:szCs w:val="13"/>
                <w:lang w:val="sr-Cyrl-RS"/>
              </w:rPr>
              <w:br/>
              <w:t xml:space="preserve">Кредит се отплаћује путем ОПЕЦ Фонда за међународни развој </w:t>
            </w:r>
          </w:p>
        </w:tc>
        <w:tc>
          <w:tcPr>
            <w:tcW w:w="799" w:type="dxa"/>
            <w:tcBorders>
              <w:top w:val="nil"/>
              <w:left w:val="nil"/>
              <w:bottom w:val="single" w:sz="4" w:space="0" w:color="auto"/>
              <w:right w:val="nil"/>
            </w:tcBorders>
            <w:hideMark/>
          </w:tcPr>
          <w:p w14:paraId="2CF5A327" w14:textId="4F509F17"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USD</w:t>
            </w:r>
          </w:p>
        </w:tc>
        <w:tc>
          <w:tcPr>
            <w:tcW w:w="1080" w:type="dxa"/>
            <w:tcBorders>
              <w:top w:val="nil"/>
              <w:left w:val="single" w:sz="8" w:space="0" w:color="auto"/>
              <w:bottom w:val="single" w:sz="4" w:space="0" w:color="auto"/>
              <w:right w:val="single" w:sz="4" w:space="0" w:color="auto"/>
            </w:tcBorders>
            <w:vAlign w:val="bottom"/>
            <w:hideMark/>
          </w:tcPr>
          <w:p w14:paraId="6680D05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32,494.48</w:t>
            </w:r>
          </w:p>
        </w:tc>
        <w:tc>
          <w:tcPr>
            <w:tcW w:w="1080" w:type="dxa"/>
            <w:tcBorders>
              <w:top w:val="nil"/>
              <w:left w:val="nil"/>
              <w:bottom w:val="single" w:sz="4" w:space="0" w:color="auto"/>
              <w:right w:val="single" w:sz="4" w:space="0" w:color="auto"/>
            </w:tcBorders>
            <w:vAlign w:val="bottom"/>
            <w:hideMark/>
          </w:tcPr>
          <w:p w14:paraId="76C60DF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8,900.00</w:t>
            </w:r>
          </w:p>
        </w:tc>
        <w:tc>
          <w:tcPr>
            <w:tcW w:w="1080" w:type="dxa"/>
            <w:tcBorders>
              <w:top w:val="nil"/>
              <w:left w:val="nil"/>
              <w:bottom w:val="single" w:sz="4" w:space="0" w:color="auto"/>
              <w:right w:val="single" w:sz="8" w:space="0" w:color="auto"/>
            </w:tcBorders>
            <w:vAlign w:val="bottom"/>
            <w:hideMark/>
          </w:tcPr>
          <w:p w14:paraId="2711E36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41,394.48</w:t>
            </w:r>
          </w:p>
        </w:tc>
        <w:tc>
          <w:tcPr>
            <w:tcW w:w="1214" w:type="dxa"/>
            <w:tcBorders>
              <w:top w:val="nil"/>
              <w:left w:val="nil"/>
              <w:bottom w:val="single" w:sz="4" w:space="0" w:color="auto"/>
              <w:right w:val="single" w:sz="4" w:space="0" w:color="auto"/>
            </w:tcBorders>
            <w:vAlign w:val="bottom"/>
            <w:hideMark/>
          </w:tcPr>
          <w:p w14:paraId="744E45E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32,494.48</w:t>
            </w:r>
          </w:p>
        </w:tc>
        <w:tc>
          <w:tcPr>
            <w:tcW w:w="946" w:type="dxa"/>
            <w:tcBorders>
              <w:top w:val="nil"/>
              <w:left w:val="nil"/>
              <w:bottom w:val="single" w:sz="4" w:space="0" w:color="auto"/>
              <w:right w:val="single" w:sz="4" w:space="0" w:color="auto"/>
            </w:tcBorders>
            <w:vAlign w:val="bottom"/>
            <w:hideMark/>
          </w:tcPr>
          <w:p w14:paraId="79DD8EEE"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7,700.00</w:t>
            </w:r>
          </w:p>
        </w:tc>
        <w:tc>
          <w:tcPr>
            <w:tcW w:w="1080" w:type="dxa"/>
            <w:tcBorders>
              <w:top w:val="nil"/>
              <w:left w:val="nil"/>
              <w:bottom w:val="single" w:sz="4" w:space="0" w:color="auto"/>
              <w:right w:val="single" w:sz="8" w:space="0" w:color="auto"/>
            </w:tcBorders>
            <w:vAlign w:val="bottom"/>
            <w:hideMark/>
          </w:tcPr>
          <w:p w14:paraId="43C127CA"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40,194.48</w:t>
            </w:r>
          </w:p>
        </w:tc>
        <w:tc>
          <w:tcPr>
            <w:tcW w:w="1080" w:type="dxa"/>
            <w:tcBorders>
              <w:top w:val="nil"/>
              <w:left w:val="nil"/>
              <w:bottom w:val="single" w:sz="4" w:space="0" w:color="auto"/>
              <w:right w:val="single" w:sz="4" w:space="0" w:color="auto"/>
            </w:tcBorders>
            <w:vAlign w:val="bottom"/>
            <w:hideMark/>
          </w:tcPr>
          <w:p w14:paraId="6420367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32,494.48</w:t>
            </w:r>
          </w:p>
        </w:tc>
        <w:tc>
          <w:tcPr>
            <w:tcW w:w="1041" w:type="dxa"/>
            <w:tcBorders>
              <w:top w:val="nil"/>
              <w:left w:val="nil"/>
              <w:bottom w:val="single" w:sz="4" w:space="0" w:color="auto"/>
              <w:right w:val="single" w:sz="4" w:space="0" w:color="auto"/>
            </w:tcBorders>
            <w:vAlign w:val="bottom"/>
            <w:hideMark/>
          </w:tcPr>
          <w:p w14:paraId="42D56085"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6,600.00</w:t>
            </w:r>
          </w:p>
        </w:tc>
        <w:tc>
          <w:tcPr>
            <w:tcW w:w="1119" w:type="dxa"/>
            <w:tcBorders>
              <w:top w:val="nil"/>
              <w:left w:val="nil"/>
              <w:bottom w:val="single" w:sz="4" w:space="0" w:color="auto"/>
              <w:right w:val="single" w:sz="8" w:space="0" w:color="auto"/>
            </w:tcBorders>
            <w:vAlign w:val="bottom"/>
            <w:hideMark/>
          </w:tcPr>
          <w:p w14:paraId="0EE4B57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39,094.48</w:t>
            </w:r>
          </w:p>
        </w:tc>
        <w:tc>
          <w:tcPr>
            <w:tcW w:w="1260" w:type="dxa"/>
            <w:tcBorders>
              <w:top w:val="nil"/>
              <w:left w:val="nil"/>
              <w:bottom w:val="single" w:sz="4" w:space="0" w:color="auto"/>
              <w:right w:val="single" w:sz="4" w:space="0" w:color="auto"/>
            </w:tcBorders>
            <w:vAlign w:val="bottom"/>
            <w:hideMark/>
          </w:tcPr>
          <w:p w14:paraId="7713812E"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97,483.44</w:t>
            </w:r>
          </w:p>
        </w:tc>
        <w:tc>
          <w:tcPr>
            <w:tcW w:w="1080" w:type="dxa"/>
            <w:tcBorders>
              <w:top w:val="nil"/>
              <w:left w:val="nil"/>
              <w:bottom w:val="single" w:sz="4" w:space="0" w:color="auto"/>
              <w:right w:val="single" w:sz="4" w:space="0" w:color="auto"/>
            </w:tcBorders>
            <w:vAlign w:val="bottom"/>
            <w:hideMark/>
          </w:tcPr>
          <w:p w14:paraId="424FBCD1"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23,200.00</w:t>
            </w:r>
          </w:p>
        </w:tc>
        <w:tc>
          <w:tcPr>
            <w:tcW w:w="1289" w:type="dxa"/>
            <w:tcBorders>
              <w:top w:val="nil"/>
              <w:left w:val="nil"/>
              <w:bottom w:val="single" w:sz="4" w:space="0" w:color="auto"/>
              <w:right w:val="single" w:sz="8" w:space="0" w:color="auto"/>
            </w:tcBorders>
            <w:vAlign w:val="bottom"/>
            <w:hideMark/>
          </w:tcPr>
          <w:p w14:paraId="080B888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120,683.44</w:t>
            </w:r>
          </w:p>
        </w:tc>
      </w:tr>
      <w:tr w:rsidR="00EA0FD7" w:rsidRPr="00AE5455" w14:paraId="26B381CC" w14:textId="77777777" w:rsidTr="00EA0FD7">
        <w:trPr>
          <w:trHeight w:val="721"/>
        </w:trPr>
        <w:tc>
          <w:tcPr>
            <w:tcW w:w="300" w:type="dxa"/>
            <w:vMerge/>
            <w:tcBorders>
              <w:top w:val="nil"/>
              <w:left w:val="single" w:sz="8" w:space="0" w:color="auto"/>
              <w:bottom w:val="single" w:sz="4" w:space="0" w:color="000000"/>
              <w:right w:val="nil"/>
            </w:tcBorders>
            <w:vAlign w:val="center"/>
            <w:hideMark/>
          </w:tcPr>
          <w:p w14:paraId="4B19F146"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300" w:type="dxa"/>
            <w:vMerge/>
            <w:tcBorders>
              <w:top w:val="nil"/>
              <w:left w:val="single" w:sz="8" w:space="0" w:color="auto"/>
              <w:bottom w:val="single" w:sz="4" w:space="0" w:color="000000"/>
              <w:right w:val="single" w:sz="8" w:space="0" w:color="auto"/>
            </w:tcBorders>
            <w:vAlign w:val="center"/>
            <w:hideMark/>
          </w:tcPr>
          <w:p w14:paraId="3D49DFD9"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799" w:type="dxa"/>
            <w:tcBorders>
              <w:top w:val="nil"/>
              <w:left w:val="nil"/>
              <w:bottom w:val="single" w:sz="4" w:space="0" w:color="auto"/>
              <w:right w:val="nil"/>
            </w:tcBorders>
            <w:shd w:val="clear" w:color="auto" w:fill="FFFF99"/>
            <w:hideMark/>
          </w:tcPr>
          <w:p w14:paraId="561D645E" w14:textId="620E4B4B"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BAM</w:t>
            </w:r>
          </w:p>
        </w:tc>
        <w:tc>
          <w:tcPr>
            <w:tcW w:w="1080" w:type="dxa"/>
            <w:tcBorders>
              <w:top w:val="nil"/>
              <w:left w:val="single" w:sz="8" w:space="0" w:color="auto"/>
              <w:bottom w:val="single" w:sz="4" w:space="0" w:color="auto"/>
              <w:right w:val="single" w:sz="4" w:space="0" w:color="auto"/>
            </w:tcBorders>
            <w:shd w:val="clear" w:color="auto" w:fill="FFFF99"/>
            <w:vAlign w:val="bottom"/>
            <w:hideMark/>
          </w:tcPr>
          <w:p w14:paraId="40A0508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60,114.79</w:t>
            </w:r>
          </w:p>
        </w:tc>
        <w:tc>
          <w:tcPr>
            <w:tcW w:w="1080" w:type="dxa"/>
            <w:tcBorders>
              <w:top w:val="nil"/>
              <w:left w:val="nil"/>
              <w:bottom w:val="single" w:sz="4" w:space="0" w:color="auto"/>
              <w:right w:val="single" w:sz="4" w:space="0" w:color="auto"/>
            </w:tcBorders>
            <w:shd w:val="clear" w:color="auto" w:fill="FFFF99"/>
            <w:vAlign w:val="bottom"/>
            <w:hideMark/>
          </w:tcPr>
          <w:p w14:paraId="613D1CF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16,465.00</w:t>
            </w:r>
          </w:p>
        </w:tc>
        <w:tc>
          <w:tcPr>
            <w:tcW w:w="1080" w:type="dxa"/>
            <w:tcBorders>
              <w:top w:val="nil"/>
              <w:left w:val="nil"/>
              <w:bottom w:val="single" w:sz="4" w:space="0" w:color="auto"/>
              <w:right w:val="single" w:sz="8" w:space="0" w:color="auto"/>
            </w:tcBorders>
            <w:shd w:val="clear" w:color="auto" w:fill="FFFF99"/>
            <w:vAlign w:val="bottom"/>
            <w:hideMark/>
          </w:tcPr>
          <w:p w14:paraId="008DCB4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76,579.79</w:t>
            </w:r>
          </w:p>
        </w:tc>
        <w:tc>
          <w:tcPr>
            <w:tcW w:w="1214" w:type="dxa"/>
            <w:tcBorders>
              <w:top w:val="nil"/>
              <w:left w:val="nil"/>
              <w:bottom w:val="single" w:sz="4" w:space="0" w:color="auto"/>
              <w:right w:val="single" w:sz="4" w:space="0" w:color="auto"/>
            </w:tcBorders>
            <w:shd w:val="clear" w:color="auto" w:fill="FFFF99"/>
            <w:vAlign w:val="bottom"/>
            <w:hideMark/>
          </w:tcPr>
          <w:p w14:paraId="5ABB896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60,114.79</w:t>
            </w:r>
          </w:p>
        </w:tc>
        <w:tc>
          <w:tcPr>
            <w:tcW w:w="946" w:type="dxa"/>
            <w:tcBorders>
              <w:top w:val="nil"/>
              <w:left w:val="nil"/>
              <w:bottom w:val="single" w:sz="4" w:space="0" w:color="auto"/>
              <w:right w:val="single" w:sz="4" w:space="0" w:color="auto"/>
            </w:tcBorders>
            <w:shd w:val="clear" w:color="auto" w:fill="FFFF99"/>
            <w:vAlign w:val="bottom"/>
            <w:hideMark/>
          </w:tcPr>
          <w:p w14:paraId="679319D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14,245.00</w:t>
            </w:r>
          </w:p>
        </w:tc>
        <w:tc>
          <w:tcPr>
            <w:tcW w:w="1080" w:type="dxa"/>
            <w:tcBorders>
              <w:top w:val="nil"/>
              <w:left w:val="nil"/>
              <w:bottom w:val="single" w:sz="4" w:space="0" w:color="auto"/>
              <w:right w:val="single" w:sz="8" w:space="0" w:color="auto"/>
            </w:tcBorders>
            <w:shd w:val="clear" w:color="auto" w:fill="FFFF99"/>
            <w:vAlign w:val="bottom"/>
            <w:hideMark/>
          </w:tcPr>
          <w:p w14:paraId="1154631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74,359.79</w:t>
            </w:r>
          </w:p>
        </w:tc>
        <w:tc>
          <w:tcPr>
            <w:tcW w:w="1080" w:type="dxa"/>
            <w:tcBorders>
              <w:top w:val="nil"/>
              <w:left w:val="nil"/>
              <w:bottom w:val="single" w:sz="4" w:space="0" w:color="auto"/>
              <w:right w:val="single" w:sz="4" w:space="0" w:color="auto"/>
            </w:tcBorders>
            <w:shd w:val="clear" w:color="auto" w:fill="FFFF99"/>
            <w:vAlign w:val="bottom"/>
            <w:hideMark/>
          </w:tcPr>
          <w:p w14:paraId="6D6961F5"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60,114.79</w:t>
            </w:r>
          </w:p>
        </w:tc>
        <w:tc>
          <w:tcPr>
            <w:tcW w:w="1041" w:type="dxa"/>
            <w:tcBorders>
              <w:top w:val="nil"/>
              <w:left w:val="nil"/>
              <w:bottom w:val="single" w:sz="4" w:space="0" w:color="auto"/>
              <w:right w:val="single" w:sz="4" w:space="0" w:color="auto"/>
            </w:tcBorders>
            <w:shd w:val="clear" w:color="auto" w:fill="FFFF99"/>
            <w:vAlign w:val="bottom"/>
            <w:hideMark/>
          </w:tcPr>
          <w:p w14:paraId="7EDFEB96"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12,210.00</w:t>
            </w:r>
          </w:p>
        </w:tc>
        <w:tc>
          <w:tcPr>
            <w:tcW w:w="1119" w:type="dxa"/>
            <w:tcBorders>
              <w:top w:val="nil"/>
              <w:left w:val="nil"/>
              <w:bottom w:val="single" w:sz="4" w:space="0" w:color="auto"/>
              <w:right w:val="single" w:sz="8" w:space="0" w:color="auto"/>
            </w:tcBorders>
            <w:shd w:val="clear" w:color="auto" w:fill="FFFF99"/>
            <w:vAlign w:val="bottom"/>
            <w:hideMark/>
          </w:tcPr>
          <w:p w14:paraId="6F5DD5C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72,324.79</w:t>
            </w:r>
          </w:p>
        </w:tc>
        <w:tc>
          <w:tcPr>
            <w:tcW w:w="1260" w:type="dxa"/>
            <w:tcBorders>
              <w:top w:val="nil"/>
              <w:left w:val="nil"/>
              <w:bottom w:val="single" w:sz="4" w:space="0" w:color="auto"/>
              <w:right w:val="single" w:sz="4" w:space="0" w:color="auto"/>
            </w:tcBorders>
            <w:shd w:val="clear" w:color="auto" w:fill="FFFF99"/>
            <w:vAlign w:val="bottom"/>
            <w:hideMark/>
          </w:tcPr>
          <w:p w14:paraId="7DDFDA2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180,344.37</w:t>
            </w:r>
          </w:p>
        </w:tc>
        <w:tc>
          <w:tcPr>
            <w:tcW w:w="1080" w:type="dxa"/>
            <w:tcBorders>
              <w:top w:val="nil"/>
              <w:left w:val="nil"/>
              <w:bottom w:val="single" w:sz="4" w:space="0" w:color="auto"/>
              <w:right w:val="single" w:sz="4" w:space="0" w:color="auto"/>
            </w:tcBorders>
            <w:shd w:val="clear" w:color="auto" w:fill="FFFF99"/>
            <w:vAlign w:val="bottom"/>
            <w:hideMark/>
          </w:tcPr>
          <w:p w14:paraId="0FC0414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42,920.00</w:t>
            </w:r>
          </w:p>
        </w:tc>
        <w:tc>
          <w:tcPr>
            <w:tcW w:w="1289" w:type="dxa"/>
            <w:tcBorders>
              <w:top w:val="nil"/>
              <w:left w:val="nil"/>
              <w:bottom w:val="single" w:sz="4" w:space="0" w:color="auto"/>
              <w:right w:val="single" w:sz="8" w:space="0" w:color="auto"/>
            </w:tcBorders>
            <w:shd w:val="clear" w:color="auto" w:fill="FFFF99"/>
            <w:vAlign w:val="bottom"/>
            <w:hideMark/>
          </w:tcPr>
          <w:p w14:paraId="5D948B5E"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223,264.37</w:t>
            </w:r>
          </w:p>
        </w:tc>
      </w:tr>
      <w:tr w:rsidR="00EA0FD7" w:rsidRPr="00EA0FD7" w14:paraId="3650B582" w14:textId="77777777" w:rsidTr="00EA0FD7">
        <w:trPr>
          <w:trHeight w:val="1063"/>
        </w:trPr>
        <w:tc>
          <w:tcPr>
            <w:tcW w:w="445" w:type="dxa"/>
            <w:vMerge w:val="restart"/>
            <w:tcBorders>
              <w:top w:val="nil"/>
              <w:left w:val="single" w:sz="8" w:space="0" w:color="auto"/>
              <w:bottom w:val="single" w:sz="4" w:space="0" w:color="000000"/>
              <w:right w:val="single" w:sz="8" w:space="0" w:color="auto"/>
            </w:tcBorders>
            <w:noWrap/>
            <w:vAlign w:val="center"/>
            <w:hideMark/>
          </w:tcPr>
          <w:p w14:paraId="4F87311F" w14:textId="77777777"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4.</w:t>
            </w:r>
          </w:p>
        </w:tc>
        <w:tc>
          <w:tcPr>
            <w:tcW w:w="1550" w:type="dxa"/>
            <w:vMerge w:val="restart"/>
            <w:tcBorders>
              <w:top w:val="nil"/>
              <w:left w:val="single" w:sz="8" w:space="0" w:color="auto"/>
              <w:bottom w:val="single" w:sz="4" w:space="0" w:color="000000"/>
              <w:right w:val="single" w:sz="8" w:space="0" w:color="auto"/>
            </w:tcBorders>
            <w:shd w:val="clear" w:color="auto" w:fill="FFFF99"/>
            <w:vAlign w:val="center"/>
            <w:hideMark/>
          </w:tcPr>
          <w:p w14:paraId="10744D14" w14:textId="6166BA92" w:rsidR="00EA0FD7" w:rsidRPr="00752F04" w:rsidRDefault="00EA0FD7" w:rsidP="00EA0FD7">
            <w:pPr>
              <w:spacing w:after="0" w:line="240" w:lineRule="auto"/>
              <w:jc w:val="center"/>
              <w:rPr>
                <w:rFonts w:ascii="Arial" w:eastAsia="Times New Roman" w:hAnsi="Arial" w:cs="Arial"/>
                <w:sz w:val="13"/>
                <w:szCs w:val="13"/>
              </w:rPr>
            </w:pPr>
            <w:r w:rsidRPr="00752F04">
              <w:rPr>
                <w:rFonts w:ascii="Arial" w:eastAsia="Times New Roman" w:hAnsi="Arial" w:cs="Arial"/>
                <w:i/>
                <w:sz w:val="13"/>
                <w:szCs w:val="13"/>
                <w:lang w:val="sr-Cyrl-RS"/>
              </w:rPr>
              <w:t>WО</w:t>
            </w:r>
            <w:r w:rsidR="00752F04" w:rsidRPr="00752F04">
              <w:rPr>
                <w:rFonts w:ascii="Arial" w:eastAsia="Times New Roman" w:hAnsi="Arial" w:cs="Arial"/>
                <w:i/>
                <w:sz w:val="13"/>
                <w:szCs w:val="13"/>
              </w:rPr>
              <w:t>RLD</w:t>
            </w:r>
            <w:r w:rsidRPr="00752F04">
              <w:rPr>
                <w:rFonts w:ascii="Arial" w:eastAsia="Times New Roman" w:hAnsi="Arial" w:cs="Arial"/>
                <w:i/>
                <w:sz w:val="13"/>
                <w:szCs w:val="13"/>
                <w:lang w:val="sr-Cyrl-RS"/>
              </w:rPr>
              <w:t xml:space="preserve"> </w:t>
            </w:r>
            <w:r w:rsidR="00752F04" w:rsidRPr="00752F04">
              <w:rPr>
                <w:rFonts w:ascii="Arial" w:eastAsia="Times New Roman" w:hAnsi="Arial" w:cs="Arial"/>
                <w:i/>
                <w:sz w:val="13"/>
                <w:szCs w:val="13"/>
              </w:rPr>
              <w:t>B</w:t>
            </w:r>
            <w:r w:rsidRPr="00752F04">
              <w:rPr>
                <w:rFonts w:ascii="Arial" w:eastAsia="Times New Roman" w:hAnsi="Arial" w:cs="Arial"/>
                <w:i/>
                <w:sz w:val="13"/>
                <w:szCs w:val="13"/>
                <w:lang w:val="sr-Cyrl-RS"/>
              </w:rPr>
              <w:t>А</w:t>
            </w:r>
            <w:r w:rsidR="00752F04" w:rsidRPr="00752F04">
              <w:rPr>
                <w:rFonts w:ascii="Arial" w:eastAsia="Times New Roman" w:hAnsi="Arial" w:cs="Arial"/>
                <w:i/>
                <w:sz w:val="13"/>
                <w:szCs w:val="13"/>
              </w:rPr>
              <w:t>N</w:t>
            </w:r>
            <w:r w:rsidRPr="00752F04">
              <w:rPr>
                <w:rFonts w:ascii="Arial" w:eastAsia="Times New Roman" w:hAnsi="Arial" w:cs="Arial"/>
                <w:i/>
                <w:sz w:val="13"/>
                <w:szCs w:val="13"/>
                <w:lang w:val="sr-Cyrl-RS"/>
              </w:rPr>
              <w:t>К</w:t>
            </w:r>
            <w:r w:rsidR="00752F04" w:rsidRPr="00752F04">
              <w:rPr>
                <w:rFonts w:ascii="Arial" w:eastAsia="Times New Roman" w:hAnsi="Arial" w:cs="Arial"/>
                <w:i/>
                <w:sz w:val="13"/>
                <w:szCs w:val="13"/>
              </w:rPr>
              <w:t xml:space="preserve"> IDA</w:t>
            </w:r>
            <w:r w:rsidRPr="00EA0FD7">
              <w:rPr>
                <w:rFonts w:ascii="Arial" w:eastAsia="Times New Roman" w:hAnsi="Arial" w:cs="Arial"/>
                <w:sz w:val="13"/>
                <w:szCs w:val="13"/>
                <w:lang w:val="sr-Cyrl-RS"/>
              </w:rPr>
              <w:t xml:space="preserve"> _ПРОГРАМ ХИТНОГ ОПОРАВКА ОД ПОПЛАВА</w:t>
            </w:r>
            <w:r w:rsidRPr="00EA0FD7">
              <w:rPr>
                <w:rFonts w:ascii="Arial" w:eastAsia="Times New Roman" w:hAnsi="Arial" w:cs="Arial"/>
                <w:sz w:val="13"/>
                <w:szCs w:val="13"/>
                <w:lang w:val="sr-Cyrl-RS"/>
              </w:rPr>
              <w:br/>
              <w:t xml:space="preserve">Кредит се отплаћује путем </w:t>
            </w:r>
            <w:r w:rsidRPr="00752F04">
              <w:rPr>
                <w:rFonts w:ascii="Arial" w:eastAsia="Times New Roman" w:hAnsi="Arial" w:cs="Arial"/>
                <w:i/>
                <w:sz w:val="13"/>
                <w:szCs w:val="13"/>
                <w:lang w:val="sr-Cyrl-RS"/>
              </w:rPr>
              <w:t>W</w:t>
            </w:r>
            <w:r w:rsidR="00752F04" w:rsidRPr="00752F04">
              <w:rPr>
                <w:rFonts w:ascii="Arial" w:eastAsia="Times New Roman" w:hAnsi="Arial" w:cs="Arial"/>
                <w:i/>
                <w:sz w:val="13"/>
                <w:szCs w:val="13"/>
              </w:rPr>
              <w:t>orld</w:t>
            </w:r>
            <w:r w:rsidRPr="00752F04">
              <w:rPr>
                <w:rFonts w:ascii="Arial" w:eastAsia="Times New Roman" w:hAnsi="Arial" w:cs="Arial"/>
                <w:i/>
                <w:sz w:val="13"/>
                <w:szCs w:val="13"/>
                <w:lang w:val="sr-Cyrl-RS"/>
              </w:rPr>
              <w:t xml:space="preserve"> </w:t>
            </w:r>
            <w:r w:rsidR="00752F04" w:rsidRPr="00752F04">
              <w:rPr>
                <w:rFonts w:ascii="Arial" w:eastAsia="Times New Roman" w:hAnsi="Arial" w:cs="Arial"/>
                <w:i/>
                <w:sz w:val="13"/>
                <w:szCs w:val="13"/>
              </w:rPr>
              <w:t>Bank</w:t>
            </w:r>
            <w:r w:rsidRPr="00752F04">
              <w:rPr>
                <w:rFonts w:ascii="Arial" w:eastAsia="Times New Roman" w:hAnsi="Arial" w:cs="Arial"/>
                <w:i/>
                <w:sz w:val="13"/>
                <w:szCs w:val="13"/>
                <w:lang w:val="sr-Cyrl-RS"/>
              </w:rPr>
              <w:t xml:space="preserve"> </w:t>
            </w:r>
            <w:r w:rsidR="00752F04" w:rsidRPr="00752F04">
              <w:rPr>
                <w:rFonts w:ascii="Arial" w:eastAsia="Times New Roman" w:hAnsi="Arial" w:cs="Arial"/>
                <w:i/>
                <w:sz w:val="13"/>
                <w:szCs w:val="13"/>
              </w:rPr>
              <w:t>IDA</w:t>
            </w:r>
          </w:p>
        </w:tc>
        <w:tc>
          <w:tcPr>
            <w:tcW w:w="799" w:type="dxa"/>
            <w:tcBorders>
              <w:top w:val="nil"/>
              <w:left w:val="nil"/>
              <w:bottom w:val="single" w:sz="4" w:space="0" w:color="auto"/>
              <w:right w:val="nil"/>
            </w:tcBorders>
            <w:vAlign w:val="bottom"/>
            <w:hideMark/>
          </w:tcPr>
          <w:p w14:paraId="58BDB16F" w14:textId="19D98405" w:rsidR="00EA0FD7" w:rsidRPr="00EA0FD7" w:rsidRDefault="00752F04" w:rsidP="00EA0FD7">
            <w:pPr>
              <w:spacing w:after="0" w:line="240" w:lineRule="auto"/>
              <w:jc w:val="center"/>
              <w:rPr>
                <w:rFonts w:ascii="Arial" w:eastAsia="Times New Roman" w:hAnsi="Arial" w:cs="Arial"/>
                <w:sz w:val="13"/>
                <w:szCs w:val="13"/>
                <w:lang w:val="sr-Cyrl-RS"/>
              </w:rPr>
            </w:pPr>
            <w:r>
              <w:rPr>
                <w:rFonts w:ascii="Arial" w:eastAsia="Times New Roman" w:hAnsi="Arial" w:cs="Arial"/>
                <w:sz w:val="13"/>
                <w:szCs w:val="13"/>
                <w:lang w:val="sr-Cyrl-RS"/>
              </w:rPr>
              <w:t>SDR</w:t>
            </w:r>
          </w:p>
        </w:tc>
        <w:tc>
          <w:tcPr>
            <w:tcW w:w="1080" w:type="dxa"/>
            <w:tcBorders>
              <w:top w:val="nil"/>
              <w:left w:val="single" w:sz="8" w:space="0" w:color="auto"/>
              <w:bottom w:val="single" w:sz="4" w:space="0" w:color="auto"/>
              <w:right w:val="single" w:sz="4" w:space="0" w:color="auto"/>
            </w:tcBorders>
            <w:vAlign w:val="bottom"/>
            <w:hideMark/>
          </w:tcPr>
          <w:p w14:paraId="004CDFD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209,361.88</w:t>
            </w:r>
          </w:p>
        </w:tc>
        <w:tc>
          <w:tcPr>
            <w:tcW w:w="1080" w:type="dxa"/>
            <w:tcBorders>
              <w:top w:val="nil"/>
              <w:left w:val="nil"/>
              <w:bottom w:val="single" w:sz="4" w:space="0" w:color="auto"/>
              <w:right w:val="single" w:sz="4" w:space="0" w:color="auto"/>
            </w:tcBorders>
            <w:vAlign w:val="bottom"/>
            <w:hideMark/>
          </w:tcPr>
          <w:p w14:paraId="20351AB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107,131.10</w:t>
            </w:r>
          </w:p>
        </w:tc>
        <w:tc>
          <w:tcPr>
            <w:tcW w:w="1080" w:type="dxa"/>
            <w:tcBorders>
              <w:top w:val="nil"/>
              <w:left w:val="nil"/>
              <w:bottom w:val="single" w:sz="4" w:space="0" w:color="auto"/>
              <w:right w:val="single" w:sz="8" w:space="0" w:color="auto"/>
            </w:tcBorders>
            <w:vAlign w:val="bottom"/>
            <w:hideMark/>
          </w:tcPr>
          <w:p w14:paraId="304FD5B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316,492.98</w:t>
            </w:r>
          </w:p>
        </w:tc>
        <w:tc>
          <w:tcPr>
            <w:tcW w:w="1214" w:type="dxa"/>
            <w:tcBorders>
              <w:top w:val="nil"/>
              <w:left w:val="nil"/>
              <w:bottom w:val="single" w:sz="4" w:space="0" w:color="auto"/>
              <w:right w:val="single" w:sz="4" w:space="0" w:color="auto"/>
            </w:tcBorders>
            <w:vAlign w:val="bottom"/>
            <w:hideMark/>
          </w:tcPr>
          <w:p w14:paraId="01C6F54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209,361.88</w:t>
            </w:r>
          </w:p>
        </w:tc>
        <w:tc>
          <w:tcPr>
            <w:tcW w:w="946" w:type="dxa"/>
            <w:tcBorders>
              <w:top w:val="nil"/>
              <w:left w:val="nil"/>
              <w:bottom w:val="single" w:sz="4" w:space="0" w:color="auto"/>
              <w:right w:val="single" w:sz="4" w:space="0" w:color="auto"/>
            </w:tcBorders>
            <w:vAlign w:val="bottom"/>
            <w:hideMark/>
          </w:tcPr>
          <w:p w14:paraId="48BB3FF6"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98,819.44</w:t>
            </w:r>
          </w:p>
        </w:tc>
        <w:tc>
          <w:tcPr>
            <w:tcW w:w="1080" w:type="dxa"/>
            <w:tcBorders>
              <w:top w:val="nil"/>
              <w:left w:val="nil"/>
              <w:bottom w:val="single" w:sz="4" w:space="0" w:color="auto"/>
              <w:right w:val="single" w:sz="8" w:space="0" w:color="auto"/>
            </w:tcBorders>
            <w:vAlign w:val="bottom"/>
            <w:hideMark/>
          </w:tcPr>
          <w:p w14:paraId="5291A48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308,181.32</w:t>
            </w:r>
          </w:p>
        </w:tc>
        <w:tc>
          <w:tcPr>
            <w:tcW w:w="1080" w:type="dxa"/>
            <w:tcBorders>
              <w:top w:val="nil"/>
              <w:left w:val="nil"/>
              <w:bottom w:val="single" w:sz="4" w:space="0" w:color="auto"/>
              <w:right w:val="single" w:sz="4" w:space="0" w:color="auto"/>
            </w:tcBorders>
            <w:vAlign w:val="bottom"/>
            <w:hideMark/>
          </w:tcPr>
          <w:p w14:paraId="38627A15"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209,361.88</w:t>
            </w:r>
          </w:p>
        </w:tc>
        <w:tc>
          <w:tcPr>
            <w:tcW w:w="1041" w:type="dxa"/>
            <w:tcBorders>
              <w:top w:val="nil"/>
              <w:left w:val="nil"/>
              <w:bottom w:val="single" w:sz="4" w:space="0" w:color="auto"/>
              <w:right w:val="single" w:sz="4" w:space="0" w:color="auto"/>
            </w:tcBorders>
            <w:vAlign w:val="bottom"/>
            <w:hideMark/>
          </w:tcPr>
          <w:p w14:paraId="34F24EB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90,507.78</w:t>
            </w:r>
          </w:p>
        </w:tc>
        <w:tc>
          <w:tcPr>
            <w:tcW w:w="1119" w:type="dxa"/>
            <w:tcBorders>
              <w:top w:val="nil"/>
              <w:left w:val="nil"/>
              <w:bottom w:val="single" w:sz="4" w:space="0" w:color="auto"/>
              <w:right w:val="single" w:sz="8" w:space="0" w:color="auto"/>
            </w:tcBorders>
            <w:vAlign w:val="bottom"/>
            <w:hideMark/>
          </w:tcPr>
          <w:p w14:paraId="4EC1DF0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299,869.66</w:t>
            </w:r>
          </w:p>
        </w:tc>
        <w:tc>
          <w:tcPr>
            <w:tcW w:w="1260" w:type="dxa"/>
            <w:tcBorders>
              <w:top w:val="nil"/>
              <w:left w:val="nil"/>
              <w:bottom w:val="single" w:sz="4" w:space="0" w:color="auto"/>
              <w:right w:val="single" w:sz="4" w:space="0" w:color="auto"/>
            </w:tcBorders>
            <w:vAlign w:val="bottom"/>
            <w:hideMark/>
          </w:tcPr>
          <w:p w14:paraId="7E96CE2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628,085.64</w:t>
            </w:r>
          </w:p>
        </w:tc>
        <w:tc>
          <w:tcPr>
            <w:tcW w:w="1080" w:type="dxa"/>
            <w:tcBorders>
              <w:top w:val="nil"/>
              <w:left w:val="nil"/>
              <w:bottom w:val="single" w:sz="4" w:space="0" w:color="auto"/>
              <w:right w:val="single" w:sz="4" w:space="0" w:color="auto"/>
            </w:tcBorders>
            <w:vAlign w:val="bottom"/>
            <w:hideMark/>
          </w:tcPr>
          <w:p w14:paraId="7A6EFB7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296,458.32</w:t>
            </w:r>
          </w:p>
        </w:tc>
        <w:tc>
          <w:tcPr>
            <w:tcW w:w="1289" w:type="dxa"/>
            <w:tcBorders>
              <w:top w:val="nil"/>
              <w:left w:val="nil"/>
              <w:bottom w:val="single" w:sz="4" w:space="0" w:color="auto"/>
              <w:right w:val="single" w:sz="8" w:space="0" w:color="auto"/>
            </w:tcBorders>
            <w:vAlign w:val="bottom"/>
            <w:hideMark/>
          </w:tcPr>
          <w:p w14:paraId="0EB0F91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924,543.96</w:t>
            </w:r>
          </w:p>
        </w:tc>
      </w:tr>
      <w:tr w:rsidR="00EA0FD7" w:rsidRPr="00AE5455" w14:paraId="3B9BB0E3" w14:textId="77777777" w:rsidTr="00EA0FD7">
        <w:trPr>
          <w:trHeight w:val="1081"/>
        </w:trPr>
        <w:tc>
          <w:tcPr>
            <w:tcW w:w="300" w:type="dxa"/>
            <w:vMerge/>
            <w:tcBorders>
              <w:top w:val="nil"/>
              <w:left w:val="single" w:sz="8" w:space="0" w:color="auto"/>
              <w:bottom w:val="single" w:sz="4" w:space="0" w:color="000000"/>
              <w:right w:val="single" w:sz="8" w:space="0" w:color="auto"/>
            </w:tcBorders>
            <w:vAlign w:val="center"/>
            <w:hideMark/>
          </w:tcPr>
          <w:p w14:paraId="51500103"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300" w:type="dxa"/>
            <w:vMerge/>
            <w:tcBorders>
              <w:top w:val="nil"/>
              <w:left w:val="single" w:sz="8" w:space="0" w:color="auto"/>
              <w:bottom w:val="single" w:sz="4" w:space="0" w:color="000000"/>
              <w:right w:val="single" w:sz="8" w:space="0" w:color="auto"/>
            </w:tcBorders>
            <w:vAlign w:val="center"/>
            <w:hideMark/>
          </w:tcPr>
          <w:p w14:paraId="0543A031"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799" w:type="dxa"/>
            <w:tcBorders>
              <w:top w:val="nil"/>
              <w:left w:val="nil"/>
              <w:bottom w:val="single" w:sz="4" w:space="0" w:color="auto"/>
              <w:right w:val="nil"/>
            </w:tcBorders>
            <w:shd w:val="clear" w:color="auto" w:fill="FFFF99"/>
            <w:vAlign w:val="bottom"/>
            <w:hideMark/>
          </w:tcPr>
          <w:p w14:paraId="0E6531F3" w14:textId="0A44A874" w:rsidR="00EA0FD7" w:rsidRPr="00EA0FD7" w:rsidRDefault="00752F04" w:rsidP="00EA0FD7">
            <w:pPr>
              <w:spacing w:after="0" w:line="240" w:lineRule="auto"/>
              <w:jc w:val="center"/>
              <w:rPr>
                <w:rFonts w:ascii="Arial" w:eastAsia="Times New Roman" w:hAnsi="Arial" w:cs="Arial"/>
                <w:sz w:val="13"/>
                <w:szCs w:val="13"/>
                <w:lang w:val="sr-Cyrl-RS"/>
              </w:rPr>
            </w:pPr>
            <w:r>
              <w:rPr>
                <w:rFonts w:ascii="Arial" w:eastAsia="Times New Roman" w:hAnsi="Arial" w:cs="Arial"/>
                <w:sz w:val="13"/>
                <w:szCs w:val="13"/>
                <w:lang w:val="sr-Cyrl-RS"/>
              </w:rPr>
              <w:t>BAM</w:t>
            </w:r>
          </w:p>
        </w:tc>
        <w:tc>
          <w:tcPr>
            <w:tcW w:w="1080" w:type="dxa"/>
            <w:tcBorders>
              <w:top w:val="nil"/>
              <w:left w:val="single" w:sz="8" w:space="0" w:color="auto"/>
              <w:bottom w:val="single" w:sz="4" w:space="0" w:color="auto"/>
              <w:right w:val="single" w:sz="4" w:space="0" w:color="auto"/>
            </w:tcBorders>
            <w:shd w:val="clear" w:color="auto" w:fill="FFFF99"/>
            <w:vAlign w:val="bottom"/>
            <w:hideMark/>
          </w:tcPr>
          <w:p w14:paraId="5B39E8F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523,404.70</w:t>
            </w:r>
          </w:p>
        </w:tc>
        <w:tc>
          <w:tcPr>
            <w:tcW w:w="1080" w:type="dxa"/>
            <w:tcBorders>
              <w:top w:val="nil"/>
              <w:left w:val="nil"/>
              <w:bottom w:val="single" w:sz="4" w:space="0" w:color="auto"/>
              <w:right w:val="single" w:sz="4" w:space="0" w:color="auto"/>
            </w:tcBorders>
            <w:shd w:val="clear" w:color="auto" w:fill="FFFF99"/>
            <w:vAlign w:val="bottom"/>
            <w:hideMark/>
          </w:tcPr>
          <w:p w14:paraId="57AAC2E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267,827.75</w:t>
            </w:r>
          </w:p>
        </w:tc>
        <w:tc>
          <w:tcPr>
            <w:tcW w:w="1080" w:type="dxa"/>
            <w:tcBorders>
              <w:top w:val="nil"/>
              <w:left w:val="nil"/>
              <w:bottom w:val="single" w:sz="4" w:space="0" w:color="auto"/>
              <w:right w:val="single" w:sz="8" w:space="0" w:color="auto"/>
            </w:tcBorders>
            <w:shd w:val="clear" w:color="auto" w:fill="FFFF99"/>
            <w:vAlign w:val="bottom"/>
            <w:hideMark/>
          </w:tcPr>
          <w:p w14:paraId="4D036E0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791,232.45</w:t>
            </w:r>
          </w:p>
        </w:tc>
        <w:tc>
          <w:tcPr>
            <w:tcW w:w="1214" w:type="dxa"/>
            <w:tcBorders>
              <w:top w:val="nil"/>
              <w:left w:val="nil"/>
              <w:bottom w:val="single" w:sz="4" w:space="0" w:color="auto"/>
              <w:right w:val="single" w:sz="4" w:space="0" w:color="auto"/>
            </w:tcBorders>
            <w:shd w:val="clear" w:color="auto" w:fill="FFFF99"/>
            <w:vAlign w:val="bottom"/>
            <w:hideMark/>
          </w:tcPr>
          <w:p w14:paraId="17A1148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523,404.70</w:t>
            </w:r>
          </w:p>
        </w:tc>
        <w:tc>
          <w:tcPr>
            <w:tcW w:w="946" w:type="dxa"/>
            <w:tcBorders>
              <w:top w:val="nil"/>
              <w:left w:val="nil"/>
              <w:bottom w:val="single" w:sz="4" w:space="0" w:color="auto"/>
              <w:right w:val="single" w:sz="4" w:space="0" w:color="auto"/>
            </w:tcBorders>
            <w:shd w:val="clear" w:color="auto" w:fill="FFFF99"/>
            <w:vAlign w:val="bottom"/>
            <w:hideMark/>
          </w:tcPr>
          <w:p w14:paraId="199C6C6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247,048.60</w:t>
            </w:r>
          </w:p>
        </w:tc>
        <w:tc>
          <w:tcPr>
            <w:tcW w:w="1080" w:type="dxa"/>
            <w:tcBorders>
              <w:top w:val="nil"/>
              <w:left w:val="nil"/>
              <w:bottom w:val="single" w:sz="4" w:space="0" w:color="auto"/>
              <w:right w:val="single" w:sz="8" w:space="0" w:color="auto"/>
            </w:tcBorders>
            <w:shd w:val="clear" w:color="auto" w:fill="FFFF99"/>
            <w:vAlign w:val="bottom"/>
            <w:hideMark/>
          </w:tcPr>
          <w:p w14:paraId="20F7BFEE"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770,453.30</w:t>
            </w:r>
          </w:p>
        </w:tc>
        <w:tc>
          <w:tcPr>
            <w:tcW w:w="1080" w:type="dxa"/>
            <w:tcBorders>
              <w:top w:val="nil"/>
              <w:left w:val="nil"/>
              <w:bottom w:val="single" w:sz="4" w:space="0" w:color="auto"/>
              <w:right w:val="single" w:sz="4" w:space="0" w:color="auto"/>
            </w:tcBorders>
            <w:shd w:val="clear" w:color="auto" w:fill="FFFF99"/>
            <w:vAlign w:val="bottom"/>
            <w:hideMark/>
          </w:tcPr>
          <w:p w14:paraId="5B8AC16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523,404.70</w:t>
            </w:r>
          </w:p>
        </w:tc>
        <w:tc>
          <w:tcPr>
            <w:tcW w:w="1041" w:type="dxa"/>
            <w:tcBorders>
              <w:top w:val="nil"/>
              <w:left w:val="nil"/>
              <w:bottom w:val="single" w:sz="4" w:space="0" w:color="auto"/>
              <w:right w:val="single" w:sz="4" w:space="0" w:color="auto"/>
            </w:tcBorders>
            <w:shd w:val="clear" w:color="auto" w:fill="FFFF99"/>
            <w:vAlign w:val="bottom"/>
            <w:hideMark/>
          </w:tcPr>
          <w:p w14:paraId="7529C815"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226,269.45</w:t>
            </w:r>
          </w:p>
        </w:tc>
        <w:tc>
          <w:tcPr>
            <w:tcW w:w="1119" w:type="dxa"/>
            <w:tcBorders>
              <w:top w:val="nil"/>
              <w:left w:val="nil"/>
              <w:bottom w:val="single" w:sz="4" w:space="0" w:color="auto"/>
              <w:right w:val="single" w:sz="8" w:space="0" w:color="auto"/>
            </w:tcBorders>
            <w:shd w:val="clear" w:color="auto" w:fill="FFFF99"/>
            <w:vAlign w:val="bottom"/>
            <w:hideMark/>
          </w:tcPr>
          <w:p w14:paraId="5EEDB4A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749,674.15</w:t>
            </w:r>
          </w:p>
        </w:tc>
        <w:tc>
          <w:tcPr>
            <w:tcW w:w="1260" w:type="dxa"/>
            <w:tcBorders>
              <w:top w:val="nil"/>
              <w:left w:val="nil"/>
              <w:bottom w:val="single" w:sz="4" w:space="0" w:color="auto"/>
              <w:right w:val="single" w:sz="4" w:space="0" w:color="auto"/>
            </w:tcBorders>
            <w:shd w:val="clear" w:color="auto" w:fill="FFFF99"/>
            <w:vAlign w:val="bottom"/>
            <w:hideMark/>
          </w:tcPr>
          <w:p w14:paraId="6038619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1,570,214.10</w:t>
            </w:r>
          </w:p>
        </w:tc>
        <w:tc>
          <w:tcPr>
            <w:tcW w:w="1080" w:type="dxa"/>
            <w:tcBorders>
              <w:top w:val="nil"/>
              <w:left w:val="nil"/>
              <w:bottom w:val="single" w:sz="4" w:space="0" w:color="auto"/>
              <w:right w:val="single" w:sz="4" w:space="0" w:color="auto"/>
            </w:tcBorders>
            <w:shd w:val="clear" w:color="auto" w:fill="FFFF99"/>
            <w:vAlign w:val="bottom"/>
            <w:hideMark/>
          </w:tcPr>
          <w:p w14:paraId="6E044EB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741,145.80</w:t>
            </w:r>
          </w:p>
        </w:tc>
        <w:tc>
          <w:tcPr>
            <w:tcW w:w="1289" w:type="dxa"/>
            <w:tcBorders>
              <w:top w:val="nil"/>
              <w:left w:val="nil"/>
              <w:bottom w:val="single" w:sz="4" w:space="0" w:color="auto"/>
              <w:right w:val="single" w:sz="8" w:space="0" w:color="auto"/>
            </w:tcBorders>
            <w:shd w:val="clear" w:color="auto" w:fill="FFFF99"/>
            <w:vAlign w:val="bottom"/>
            <w:hideMark/>
          </w:tcPr>
          <w:p w14:paraId="364CCE86"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2,311,359.90</w:t>
            </w:r>
          </w:p>
        </w:tc>
      </w:tr>
      <w:tr w:rsidR="00EA0FD7" w:rsidRPr="00EA0FD7" w14:paraId="1E1CDAE5" w14:textId="77777777" w:rsidTr="00EA0FD7">
        <w:trPr>
          <w:trHeight w:val="883"/>
        </w:trPr>
        <w:tc>
          <w:tcPr>
            <w:tcW w:w="445" w:type="dxa"/>
            <w:vMerge w:val="restart"/>
            <w:tcBorders>
              <w:top w:val="nil"/>
              <w:left w:val="single" w:sz="8" w:space="0" w:color="auto"/>
              <w:bottom w:val="nil"/>
              <w:right w:val="single" w:sz="8" w:space="0" w:color="auto"/>
            </w:tcBorders>
            <w:noWrap/>
            <w:vAlign w:val="center"/>
            <w:hideMark/>
          </w:tcPr>
          <w:p w14:paraId="5EDDD5DF" w14:textId="56232874"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lastRenderedPageBreak/>
              <w:t>5</w:t>
            </w:r>
            <w:r w:rsidR="00752F04">
              <w:rPr>
                <w:rFonts w:ascii="Arial" w:eastAsia="Times New Roman" w:hAnsi="Arial" w:cs="Arial"/>
                <w:sz w:val="13"/>
                <w:szCs w:val="13"/>
                <w:lang w:val="sr-Cyrl-RS"/>
              </w:rPr>
              <w:t>.</w:t>
            </w:r>
          </w:p>
        </w:tc>
        <w:tc>
          <w:tcPr>
            <w:tcW w:w="1550" w:type="dxa"/>
            <w:vMerge w:val="restart"/>
            <w:tcBorders>
              <w:top w:val="nil"/>
              <w:left w:val="single" w:sz="8" w:space="0" w:color="auto"/>
              <w:bottom w:val="nil"/>
              <w:right w:val="single" w:sz="8" w:space="0" w:color="auto"/>
            </w:tcBorders>
            <w:shd w:val="clear" w:color="auto" w:fill="FFFF99"/>
            <w:vAlign w:val="center"/>
            <w:hideMark/>
          </w:tcPr>
          <w:p w14:paraId="7F62AAF1" w14:textId="3EE24FC6" w:rsidR="00EA0FD7" w:rsidRPr="00752F04" w:rsidRDefault="00EA0FD7" w:rsidP="00EA0FD7">
            <w:pPr>
              <w:spacing w:after="0" w:line="240" w:lineRule="auto"/>
              <w:jc w:val="center"/>
              <w:rPr>
                <w:rFonts w:ascii="Arial" w:eastAsia="Times New Roman" w:hAnsi="Arial" w:cs="Arial"/>
                <w:sz w:val="13"/>
                <w:szCs w:val="13"/>
              </w:rPr>
            </w:pPr>
            <w:r w:rsidRPr="00EA0FD7">
              <w:rPr>
                <w:rFonts w:ascii="Arial" w:eastAsia="Times New Roman" w:hAnsi="Arial" w:cs="Arial"/>
                <w:sz w:val="13"/>
                <w:szCs w:val="13"/>
                <w:lang w:val="sr-Cyrl-RS"/>
              </w:rPr>
              <w:t xml:space="preserve">МЕЂУНАРОДНИ МОНЕТАРНИ ФОНД </w:t>
            </w:r>
            <w:r w:rsidRPr="00EA0FD7">
              <w:rPr>
                <w:rFonts w:ascii="Arial" w:eastAsia="Times New Roman" w:hAnsi="Arial" w:cs="Arial"/>
                <w:sz w:val="13"/>
                <w:szCs w:val="13"/>
                <w:lang w:val="sr-Cyrl-RS"/>
              </w:rPr>
              <w:br/>
              <w:t xml:space="preserve">Кредит се отплаћује путем </w:t>
            </w:r>
            <w:r w:rsidR="00752F04" w:rsidRPr="00752F04">
              <w:rPr>
                <w:rFonts w:ascii="Arial" w:eastAsia="Times New Roman" w:hAnsi="Arial" w:cs="Arial"/>
                <w:i/>
                <w:sz w:val="13"/>
                <w:szCs w:val="13"/>
              </w:rPr>
              <w:t>IMF</w:t>
            </w:r>
            <w:r w:rsidRPr="00752F04">
              <w:rPr>
                <w:rFonts w:ascii="Arial" w:eastAsia="Times New Roman" w:hAnsi="Arial" w:cs="Arial"/>
                <w:i/>
                <w:sz w:val="13"/>
                <w:szCs w:val="13"/>
                <w:lang w:val="sr-Cyrl-RS"/>
              </w:rPr>
              <w:t xml:space="preserve"> </w:t>
            </w:r>
            <w:r w:rsidR="00752F04" w:rsidRPr="00752F04">
              <w:rPr>
                <w:rFonts w:ascii="Arial" w:eastAsia="Times New Roman" w:hAnsi="Arial" w:cs="Arial"/>
                <w:i/>
                <w:sz w:val="13"/>
                <w:szCs w:val="13"/>
              </w:rPr>
              <w:t>SBA</w:t>
            </w:r>
            <w:r w:rsidRPr="00752F04">
              <w:rPr>
                <w:rFonts w:ascii="Arial" w:eastAsia="Times New Roman" w:hAnsi="Arial" w:cs="Arial"/>
                <w:i/>
                <w:sz w:val="13"/>
                <w:szCs w:val="13"/>
                <w:lang w:val="sr-Cyrl-RS"/>
              </w:rPr>
              <w:t xml:space="preserve"> </w:t>
            </w:r>
            <w:r w:rsidR="00752F04" w:rsidRPr="00752F04">
              <w:rPr>
                <w:rFonts w:ascii="Arial" w:eastAsia="Times New Roman" w:hAnsi="Arial" w:cs="Arial"/>
                <w:i/>
                <w:sz w:val="13"/>
                <w:szCs w:val="13"/>
              </w:rPr>
              <w:t>RFI</w:t>
            </w:r>
          </w:p>
        </w:tc>
        <w:tc>
          <w:tcPr>
            <w:tcW w:w="799" w:type="dxa"/>
            <w:tcBorders>
              <w:top w:val="nil"/>
              <w:left w:val="nil"/>
              <w:bottom w:val="single" w:sz="4" w:space="0" w:color="auto"/>
              <w:right w:val="nil"/>
            </w:tcBorders>
            <w:vAlign w:val="bottom"/>
            <w:hideMark/>
          </w:tcPr>
          <w:p w14:paraId="0744E514" w14:textId="4FAD92DC" w:rsidR="00EA0FD7" w:rsidRPr="00EA0FD7" w:rsidRDefault="00752F04" w:rsidP="00EA0FD7">
            <w:pPr>
              <w:spacing w:after="0" w:line="240" w:lineRule="auto"/>
              <w:jc w:val="center"/>
              <w:rPr>
                <w:rFonts w:ascii="Arial" w:eastAsia="Times New Roman" w:hAnsi="Arial" w:cs="Arial"/>
                <w:sz w:val="13"/>
                <w:szCs w:val="13"/>
                <w:lang w:val="sr-Cyrl-RS"/>
              </w:rPr>
            </w:pPr>
            <w:r>
              <w:rPr>
                <w:rFonts w:ascii="Arial" w:eastAsia="Times New Roman" w:hAnsi="Arial" w:cs="Arial"/>
                <w:sz w:val="13"/>
                <w:szCs w:val="13"/>
                <w:lang w:val="sr-Cyrl-RS"/>
              </w:rPr>
              <w:t>SDR</w:t>
            </w:r>
          </w:p>
        </w:tc>
        <w:tc>
          <w:tcPr>
            <w:tcW w:w="1080" w:type="dxa"/>
            <w:tcBorders>
              <w:top w:val="nil"/>
              <w:left w:val="single" w:sz="8" w:space="0" w:color="auto"/>
              <w:bottom w:val="single" w:sz="4" w:space="0" w:color="auto"/>
              <w:right w:val="single" w:sz="4" w:space="0" w:color="auto"/>
            </w:tcBorders>
            <w:vAlign w:val="bottom"/>
            <w:hideMark/>
          </w:tcPr>
          <w:p w14:paraId="7914D7C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663,000.00</w:t>
            </w:r>
          </w:p>
        </w:tc>
        <w:tc>
          <w:tcPr>
            <w:tcW w:w="1080" w:type="dxa"/>
            <w:tcBorders>
              <w:top w:val="nil"/>
              <w:left w:val="nil"/>
              <w:bottom w:val="single" w:sz="4" w:space="0" w:color="auto"/>
              <w:right w:val="single" w:sz="4" w:space="0" w:color="auto"/>
            </w:tcBorders>
            <w:vAlign w:val="bottom"/>
            <w:hideMark/>
          </w:tcPr>
          <w:p w14:paraId="2FA5D66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31,000.00</w:t>
            </w:r>
          </w:p>
        </w:tc>
        <w:tc>
          <w:tcPr>
            <w:tcW w:w="1080" w:type="dxa"/>
            <w:tcBorders>
              <w:top w:val="nil"/>
              <w:left w:val="nil"/>
              <w:bottom w:val="single" w:sz="4" w:space="0" w:color="auto"/>
              <w:right w:val="single" w:sz="8" w:space="0" w:color="auto"/>
            </w:tcBorders>
            <w:vAlign w:val="bottom"/>
            <w:hideMark/>
          </w:tcPr>
          <w:p w14:paraId="081E74B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694,000.00</w:t>
            </w:r>
          </w:p>
        </w:tc>
        <w:tc>
          <w:tcPr>
            <w:tcW w:w="1214" w:type="dxa"/>
            <w:tcBorders>
              <w:top w:val="nil"/>
              <w:left w:val="nil"/>
              <w:bottom w:val="single" w:sz="4" w:space="0" w:color="auto"/>
              <w:right w:val="single" w:sz="4" w:space="0" w:color="auto"/>
            </w:tcBorders>
            <w:vAlign w:val="bottom"/>
            <w:hideMark/>
          </w:tcPr>
          <w:p w14:paraId="136FBD9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1,326,000.00</w:t>
            </w:r>
          </w:p>
        </w:tc>
        <w:tc>
          <w:tcPr>
            <w:tcW w:w="946" w:type="dxa"/>
            <w:tcBorders>
              <w:top w:val="nil"/>
              <w:left w:val="nil"/>
              <w:bottom w:val="single" w:sz="4" w:space="0" w:color="auto"/>
              <w:right w:val="single" w:sz="4" w:space="0" w:color="auto"/>
            </w:tcBorders>
            <w:vAlign w:val="bottom"/>
            <w:hideMark/>
          </w:tcPr>
          <w:p w14:paraId="40C9E78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33,100.00</w:t>
            </w:r>
          </w:p>
        </w:tc>
        <w:tc>
          <w:tcPr>
            <w:tcW w:w="1080" w:type="dxa"/>
            <w:tcBorders>
              <w:top w:val="nil"/>
              <w:left w:val="nil"/>
              <w:bottom w:val="single" w:sz="4" w:space="0" w:color="auto"/>
              <w:right w:val="single" w:sz="8" w:space="0" w:color="auto"/>
            </w:tcBorders>
            <w:vAlign w:val="bottom"/>
            <w:hideMark/>
          </w:tcPr>
          <w:p w14:paraId="1CC5234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1,359,100.00</w:t>
            </w:r>
          </w:p>
        </w:tc>
        <w:tc>
          <w:tcPr>
            <w:tcW w:w="1080" w:type="dxa"/>
            <w:tcBorders>
              <w:top w:val="nil"/>
              <w:left w:val="nil"/>
              <w:bottom w:val="single" w:sz="4" w:space="0" w:color="auto"/>
              <w:right w:val="single" w:sz="4" w:space="0" w:color="auto"/>
            </w:tcBorders>
            <w:vAlign w:val="bottom"/>
            <w:hideMark/>
          </w:tcPr>
          <w:p w14:paraId="51E73BD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663,000.00</w:t>
            </w:r>
          </w:p>
        </w:tc>
        <w:tc>
          <w:tcPr>
            <w:tcW w:w="1041" w:type="dxa"/>
            <w:tcBorders>
              <w:top w:val="nil"/>
              <w:left w:val="nil"/>
              <w:bottom w:val="single" w:sz="4" w:space="0" w:color="auto"/>
              <w:right w:val="single" w:sz="4" w:space="0" w:color="auto"/>
            </w:tcBorders>
            <w:vAlign w:val="bottom"/>
            <w:hideMark/>
          </w:tcPr>
          <w:p w14:paraId="2EEEF01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32,000.00</w:t>
            </w:r>
          </w:p>
        </w:tc>
        <w:tc>
          <w:tcPr>
            <w:tcW w:w="1119" w:type="dxa"/>
            <w:tcBorders>
              <w:top w:val="nil"/>
              <w:left w:val="nil"/>
              <w:bottom w:val="single" w:sz="4" w:space="0" w:color="auto"/>
              <w:right w:val="single" w:sz="8" w:space="0" w:color="auto"/>
            </w:tcBorders>
            <w:vAlign w:val="bottom"/>
            <w:hideMark/>
          </w:tcPr>
          <w:p w14:paraId="1F7E2F9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695,000.00</w:t>
            </w:r>
          </w:p>
        </w:tc>
        <w:tc>
          <w:tcPr>
            <w:tcW w:w="1260" w:type="dxa"/>
            <w:tcBorders>
              <w:top w:val="nil"/>
              <w:left w:val="nil"/>
              <w:bottom w:val="single" w:sz="4" w:space="0" w:color="auto"/>
              <w:right w:val="single" w:sz="4" w:space="0" w:color="auto"/>
            </w:tcBorders>
            <w:vAlign w:val="bottom"/>
            <w:hideMark/>
          </w:tcPr>
          <w:p w14:paraId="46F3E63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2,652,000.00</w:t>
            </w:r>
          </w:p>
        </w:tc>
        <w:tc>
          <w:tcPr>
            <w:tcW w:w="1080" w:type="dxa"/>
            <w:tcBorders>
              <w:top w:val="nil"/>
              <w:left w:val="nil"/>
              <w:bottom w:val="single" w:sz="4" w:space="0" w:color="auto"/>
              <w:right w:val="single" w:sz="4" w:space="0" w:color="auto"/>
            </w:tcBorders>
            <w:vAlign w:val="bottom"/>
            <w:hideMark/>
          </w:tcPr>
          <w:p w14:paraId="15D4386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96,100.00</w:t>
            </w:r>
          </w:p>
        </w:tc>
        <w:tc>
          <w:tcPr>
            <w:tcW w:w="1289" w:type="dxa"/>
            <w:tcBorders>
              <w:top w:val="nil"/>
              <w:left w:val="nil"/>
              <w:bottom w:val="single" w:sz="4" w:space="0" w:color="auto"/>
              <w:right w:val="single" w:sz="8" w:space="0" w:color="auto"/>
            </w:tcBorders>
            <w:vAlign w:val="bottom"/>
            <w:hideMark/>
          </w:tcPr>
          <w:p w14:paraId="0983BE01"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2,748,100.00</w:t>
            </w:r>
          </w:p>
        </w:tc>
      </w:tr>
      <w:tr w:rsidR="00EA0FD7" w:rsidRPr="00AE5455" w14:paraId="352470DE" w14:textId="77777777" w:rsidTr="00EA0FD7">
        <w:trPr>
          <w:trHeight w:val="1090"/>
        </w:trPr>
        <w:tc>
          <w:tcPr>
            <w:tcW w:w="300" w:type="dxa"/>
            <w:vMerge/>
            <w:tcBorders>
              <w:top w:val="nil"/>
              <w:left w:val="single" w:sz="8" w:space="0" w:color="auto"/>
              <w:bottom w:val="nil"/>
              <w:right w:val="single" w:sz="8" w:space="0" w:color="auto"/>
            </w:tcBorders>
            <w:vAlign w:val="center"/>
            <w:hideMark/>
          </w:tcPr>
          <w:p w14:paraId="54065550"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300" w:type="dxa"/>
            <w:vMerge/>
            <w:tcBorders>
              <w:top w:val="nil"/>
              <w:left w:val="single" w:sz="8" w:space="0" w:color="auto"/>
              <w:bottom w:val="nil"/>
              <w:right w:val="single" w:sz="8" w:space="0" w:color="auto"/>
            </w:tcBorders>
            <w:vAlign w:val="center"/>
            <w:hideMark/>
          </w:tcPr>
          <w:p w14:paraId="1203BAE7"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799" w:type="dxa"/>
            <w:tcBorders>
              <w:top w:val="nil"/>
              <w:left w:val="nil"/>
              <w:bottom w:val="single" w:sz="4" w:space="0" w:color="auto"/>
              <w:right w:val="nil"/>
            </w:tcBorders>
            <w:shd w:val="clear" w:color="auto" w:fill="FFFF99"/>
            <w:vAlign w:val="bottom"/>
            <w:hideMark/>
          </w:tcPr>
          <w:p w14:paraId="3425E56B" w14:textId="06B52A54" w:rsidR="00EA0FD7" w:rsidRPr="00EA0FD7" w:rsidRDefault="00752F04" w:rsidP="00EA0FD7">
            <w:pPr>
              <w:spacing w:after="0" w:line="240" w:lineRule="auto"/>
              <w:jc w:val="center"/>
              <w:rPr>
                <w:rFonts w:ascii="Arial" w:eastAsia="Times New Roman" w:hAnsi="Arial" w:cs="Arial"/>
                <w:sz w:val="13"/>
                <w:szCs w:val="13"/>
                <w:lang w:val="sr-Cyrl-RS"/>
              </w:rPr>
            </w:pPr>
            <w:r>
              <w:rPr>
                <w:rFonts w:ascii="Arial" w:eastAsia="Times New Roman" w:hAnsi="Arial" w:cs="Arial"/>
                <w:sz w:val="13"/>
                <w:szCs w:val="13"/>
                <w:lang w:val="sr-Cyrl-RS"/>
              </w:rPr>
              <w:t>BAM</w:t>
            </w:r>
          </w:p>
        </w:tc>
        <w:tc>
          <w:tcPr>
            <w:tcW w:w="1080" w:type="dxa"/>
            <w:tcBorders>
              <w:top w:val="nil"/>
              <w:left w:val="single" w:sz="8" w:space="0" w:color="auto"/>
              <w:bottom w:val="single" w:sz="4" w:space="0" w:color="auto"/>
              <w:right w:val="single" w:sz="4" w:space="0" w:color="auto"/>
            </w:tcBorders>
            <w:shd w:val="clear" w:color="auto" w:fill="FFFF99"/>
            <w:vAlign w:val="bottom"/>
            <w:hideMark/>
          </w:tcPr>
          <w:p w14:paraId="2CDF07D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1,657,500.00</w:t>
            </w:r>
          </w:p>
        </w:tc>
        <w:tc>
          <w:tcPr>
            <w:tcW w:w="1080" w:type="dxa"/>
            <w:tcBorders>
              <w:top w:val="nil"/>
              <w:left w:val="nil"/>
              <w:bottom w:val="single" w:sz="4" w:space="0" w:color="auto"/>
              <w:right w:val="single" w:sz="4" w:space="0" w:color="auto"/>
            </w:tcBorders>
            <w:shd w:val="clear" w:color="auto" w:fill="FFFF99"/>
            <w:vAlign w:val="bottom"/>
            <w:hideMark/>
          </w:tcPr>
          <w:p w14:paraId="033DD33A"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77,500.00</w:t>
            </w:r>
          </w:p>
        </w:tc>
        <w:tc>
          <w:tcPr>
            <w:tcW w:w="1080" w:type="dxa"/>
            <w:tcBorders>
              <w:top w:val="nil"/>
              <w:left w:val="nil"/>
              <w:bottom w:val="single" w:sz="4" w:space="0" w:color="auto"/>
              <w:right w:val="single" w:sz="8" w:space="0" w:color="auto"/>
            </w:tcBorders>
            <w:shd w:val="clear" w:color="auto" w:fill="FFFF99"/>
            <w:vAlign w:val="bottom"/>
            <w:hideMark/>
          </w:tcPr>
          <w:p w14:paraId="75DD0A0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1,735,000.00</w:t>
            </w:r>
          </w:p>
        </w:tc>
        <w:tc>
          <w:tcPr>
            <w:tcW w:w="1214" w:type="dxa"/>
            <w:tcBorders>
              <w:top w:val="nil"/>
              <w:left w:val="nil"/>
              <w:bottom w:val="single" w:sz="4" w:space="0" w:color="auto"/>
              <w:right w:val="single" w:sz="4" w:space="0" w:color="auto"/>
            </w:tcBorders>
            <w:shd w:val="clear" w:color="auto" w:fill="FFFF99"/>
            <w:vAlign w:val="bottom"/>
            <w:hideMark/>
          </w:tcPr>
          <w:p w14:paraId="3BD74E1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3,315,000.00</w:t>
            </w:r>
          </w:p>
        </w:tc>
        <w:tc>
          <w:tcPr>
            <w:tcW w:w="946" w:type="dxa"/>
            <w:tcBorders>
              <w:top w:val="nil"/>
              <w:left w:val="nil"/>
              <w:bottom w:val="single" w:sz="4" w:space="0" w:color="auto"/>
              <w:right w:val="single" w:sz="4" w:space="0" w:color="auto"/>
            </w:tcBorders>
            <w:shd w:val="clear" w:color="auto" w:fill="FFFF99"/>
            <w:vAlign w:val="bottom"/>
            <w:hideMark/>
          </w:tcPr>
          <w:p w14:paraId="4DDCCB0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82,750.00</w:t>
            </w:r>
          </w:p>
        </w:tc>
        <w:tc>
          <w:tcPr>
            <w:tcW w:w="1080" w:type="dxa"/>
            <w:tcBorders>
              <w:top w:val="nil"/>
              <w:left w:val="nil"/>
              <w:bottom w:val="single" w:sz="4" w:space="0" w:color="auto"/>
              <w:right w:val="single" w:sz="8" w:space="0" w:color="auto"/>
            </w:tcBorders>
            <w:shd w:val="clear" w:color="auto" w:fill="FFFF99"/>
            <w:vAlign w:val="bottom"/>
            <w:hideMark/>
          </w:tcPr>
          <w:p w14:paraId="2A66E97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3,397,750.00</w:t>
            </w:r>
          </w:p>
        </w:tc>
        <w:tc>
          <w:tcPr>
            <w:tcW w:w="1080" w:type="dxa"/>
            <w:tcBorders>
              <w:top w:val="nil"/>
              <w:left w:val="nil"/>
              <w:bottom w:val="single" w:sz="4" w:space="0" w:color="auto"/>
              <w:right w:val="single" w:sz="4" w:space="0" w:color="auto"/>
            </w:tcBorders>
            <w:shd w:val="clear" w:color="auto" w:fill="FFFF99"/>
            <w:vAlign w:val="bottom"/>
            <w:hideMark/>
          </w:tcPr>
          <w:p w14:paraId="4916A2F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1,657,500.00</w:t>
            </w:r>
          </w:p>
        </w:tc>
        <w:tc>
          <w:tcPr>
            <w:tcW w:w="1041" w:type="dxa"/>
            <w:tcBorders>
              <w:top w:val="nil"/>
              <w:left w:val="nil"/>
              <w:bottom w:val="single" w:sz="4" w:space="0" w:color="auto"/>
              <w:right w:val="single" w:sz="4" w:space="0" w:color="auto"/>
            </w:tcBorders>
            <w:shd w:val="clear" w:color="auto" w:fill="FFFF99"/>
            <w:vAlign w:val="bottom"/>
            <w:hideMark/>
          </w:tcPr>
          <w:p w14:paraId="0475B9F1"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80,000.00</w:t>
            </w:r>
          </w:p>
        </w:tc>
        <w:tc>
          <w:tcPr>
            <w:tcW w:w="1119" w:type="dxa"/>
            <w:tcBorders>
              <w:top w:val="nil"/>
              <w:left w:val="nil"/>
              <w:bottom w:val="single" w:sz="4" w:space="0" w:color="auto"/>
              <w:right w:val="single" w:sz="8" w:space="0" w:color="auto"/>
            </w:tcBorders>
            <w:shd w:val="clear" w:color="auto" w:fill="FFFF99"/>
            <w:vAlign w:val="bottom"/>
            <w:hideMark/>
          </w:tcPr>
          <w:p w14:paraId="336B037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1,737,500.00</w:t>
            </w:r>
          </w:p>
        </w:tc>
        <w:tc>
          <w:tcPr>
            <w:tcW w:w="1260" w:type="dxa"/>
            <w:tcBorders>
              <w:top w:val="nil"/>
              <w:left w:val="nil"/>
              <w:bottom w:val="single" w:sz="4" w:space="0" w:color="auto"/>
              <w:right w:val="single" w:sz="4" w:space="0" w:color="auto"/>
            </w:tcBorders>
            <w:shd w:val="clear" w:color="auto" w:fill="FFFF99"/>
            <w:vAlign w:val="bottom"/>
            <w:hideMark/>
          </w:tcPr>
          <w:p w14:paraId="2B71509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6,630,000.00</w:t>
            </w:r>
          </w:p>
        </w:tc>
        <w:tc>
          <w:tcPr>
            <w:tcW w:w="1080" w:type="dxa"/>
            <w:tcBorders>
              <w:top w:val="nil"/>
              <w:left w:val="nil"/>
              <w:bottom w:val="single" w:sz="4" w:space="0" w:color="auto"/>
              <w:right w:val="single" w:sz="4" w:space="0" w:color="auto"/>
            </w:tcBorders>
            <w:shd w:val="clear" w:color="auto" w:fill="FFFF99"/>
            <w:vAlign w:val="bottom"/>
            <w:hideMark/>
          </w:tcPr>
          <w:p w14:paraId="352E631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240,250.00</w:t>
            </w:r>
          </w:p>
        </w:tc>
        <w:tc>
          <w:tcPr>
            <w:tcW w:w="1289" w:type="dxa"/>
            <w:tcBorders>
              <w:top w:val="nil"/>
              <w:left w:val="nil"/>
              <w:bottom w:val="single" w:sz="4" w:space="0" w:color="auto"/>
              <w:right w:val="single" w:sz="8" w:space="0" w:color="auto"/>
            </w:tcBorders>
            <w:shd w:val="clear" w:color="auto" w:fill="FFFF99"/>
            <w:vAlign w:val="bottom"/>
            <w:hideMark/>
          </w:tcPr>
          <w:p w14:paraId="4F9C2AD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6,870,250.00</w:t>
            </w:r>
          </w:p>
        </w:tc>
      </w:tr>
      <w:tr w:rsidR="00EA0FD7" w:rsidRPr="00EA0FD7" w14:paraId="118758B8" w14:textId="77777777" w:rsidTr="00EA0FD7">
        <w:trPr>
          <w:trHeight w:val="883"/>
        </w:trPr>
        <w:tc>
          <w:tcPr>
            <w:tcW w:w="445" w:type="dxa"/>
            <w:vMerge w:val="restart"/>
            <w:tcBorders>
              <w:top w:val="nil"/>
              <w:left w:val="single" w:sz="8" w:space="0" w:color="auto"/>
              <w:bottom w:val="single" w:sz="4" w:space="0" w:color="000000"/>
              <w:right w:val="nil"/>
            </w:tcBorders>
            <w:noWrap/>
            <w:vAlign w:val="center"/>
            <w:hideMark/>
          </w:tcPr>
          <w:p w14:paraId="520ACAAA" w14:textId="1DD3BEE3"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6</w:t>
            </w:r>
            <w:r w:rsidR="00752F04">
              <w:rPr>
                <w:rFonts w:ascii="Arial" w:eastAsia="Times New Roman" w:hAnsi="Arial" w:cs="Arial"/>
                <w:sz w:val="13"/>
                <w:szCs w:val="13"/>
                <w:lang w:val="sr-Cyrl-RS"/>
              </w:rPr>
              <w:t>.</w:t>
            </w:r>
          </w:p>
        </w:tc>
        <w:tc>
          <w:tcPr>
            <w:tcW w:w="1550" w:type="dxa"/>
            <w:vMerge w:val="restart"/>
            <w:tcBorders>
              <w:top w:val="nil"/>
              <w:left w:val="single" w:sz="8" w:space="0" w:color="auto"/>
              <w:bottom w:val="single" w:sz="4" w:space="0" w:color="000000"/>
              <w:right w:val="single" w:sz="8" w:space="0" w:color="auto"/>
            </w:tcBorders>
            <w:shd w:val="clear" w:color="auto" w:fill="FFFF99"/>
            <w:vAlign w:val="center"/>
            <w:hideMark/>
          </w:tcPr>
          <w:p w14:paraId="030DC9AF" w14:textId="443EFCB2"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 xml:space="preserve">ОБНОВА СТАМБЕНОГ </w:t>
            </w:r>
            <w:r w:rsidRPr="00EA0FD7">
              <w:rPr>
                <w:rFonts w:ascii="Arial" w:eastAsia="Times New Roman" w:hAnsi="Arial" w:cs="Arial"/>
                <w:sz w:val="13"/>
                <w:szCs w:val="13"/>
                <w:lang w:val="sr-Cyrl-RS"/>
              </w:rPr>
              <w:br/>
              <w:t>ФОНДА ИЗБЈЕГЛИХ И РАСЕЉЕНИХ ЛИЦА У Б</w:t>
            </w:r>
            <w:r w:rsidR="00752F04">
              <w:rPr>
                <w:rFonts w:ascii="Arial" w:eastAsia="Times New Roman" w:hAnsi="Arial" w:cs="Arial"/>
                <w:sz w:val="13"/>
                <w:szCs w:val="13"/>
                <w:lang w:val="sr-Cyrl-RS"/>
              </w:rPr>
              <w:t>и</w:t>
            </w:r>
            <w:r w:rsidRPr="00EA0FD7">
              <w:rPr>
                <w:rFonts w:ascii="Arial" w:eastAsia="Times New Roman" w:hAnsi="Arial" w:cs="Arial"/>
                <w:sz w:val="13"/>
                <w:szCs w:val="13"/>
                <w:lang w:val="sr-Cyrl-RS"/>
              </w:rPr>
              <w:t xml:space="preserve">Х </w:t>
            </w:r>
            <w:r w:rsidRPr="00EA0FD7">
              <w:rPr>
                <w:rFonts w:ascii="Arial" w:eastAsia="Times New Roman" w:hAnsi="Arial" w:cs="Arial"/>
                <w:sz w:val="13"/>
                <w:szCs w:val="13"/>
                <w:lang w:val="sr-Cyrl-RS"/>
              </w:rPr>
              <w:br/>
              <w:t xml:space="preserve">(ЦЕБ - </w:t>
            </w:r>
            <w:r w:rsidR="00752F04">
              <w:rPr>
                <w:rFonts w:ascii="Arial" w:eastAsia="Times New Roman" w:hAnsi="Arial" w:cs="Arial"/>
                <w:sz w:val="13"/>
                <w:szCs w:val="13"/>
              </w:rPr>
              <w:t>I</w:t>
            </w:r>
            <w:r w:rsidRPr="00EA0FD7">
              <w:rPr>
                <w:rFonts w:ascii="Arial" w:eastAsia="Times New Roman" w:hAnsi="Arial" w:cs="Arial"/>
                <w:sz w:val="13"/>
                <w:szCs w:val="13"/>
                <w:lang w:val="sr-Cyrl-RS"/>
              </w:rPr>
              <w:t xml:space="preserve"> транша)</w:t>
            </w:r>
            <w:r w:rsidRPr="00EA0FD7">
              <w:rPr>
                <w:rFonts w:ascii="Arial" w:eastAsia="Times New Roman" w:hAnsi="Arial" w:cs="Arial"/>
                <w:sz w:val="13"/>
                <w:szCs w:val="13"/>
                <w:lang w:val="sr-Cyrl-RS"/>
              </w:rPr>
              <w:br/>
              <w:t>- Кредит се отплаћује путем ЦЕБ Развојне банке</w:t>
            </w:r>
            <w:r w:rsidR="00752F04">
              <w:rPr>
                <w:rFonts w:ascii="Arial" w:eastAsia="Times New Roman" w:hAnsi="Arial" w:cs="Arial"/>
                <w:sz w:val="13"/>
                <w:szCs w:val="13"/>
              </w:rPr>
              <w:t xml:space="preserve"> </w:t>
            </w:r>
            <w:r w:rsidR="00752F04">
              <w:rPr>
                <w:rFonts w:ascii="Arial" w:eastAsia="Times New Roman" w:hAnsi="Arial" w:cs="Arial"/>
                <w:sz w:val="13"/>
                <w:szCs w:val="13"/>
                <w:lang w:val="bs-Cyrl-BA"/>
              </w:rPr>
              <w:t>Савјета</w:t>
            </w:r>
            <w:r w:rsidRPr="00EA0FD7">
              <w:rPr>
                <w:rFonts w:ascii="Arial" w:eastAsia="Times New Roman" w:hAnsi="Arial" w:cs="Arial"/>
                <w:sz w:val="13"/>
                <w:szCs w:val="13"/>
                <w:lang w:val="sr-Cyrl-RS"/>
              </w:rPr>
              <w:t xml:space="preserve"> Европе</w:t>
            </w:r>
          </w:p>
        </w:tc>
        <w:tc>
          <w:tcPr>
            <w:tcW w:w="799" w:type="dxa"/>
            <w:tcBorders>
              <w:top w:val="nil"/>
              <w:left w:val="nil"/>
              <w:bottom w:val="single" w:sz="4" w:space="0" w:color="auto"/>
              <w:right w:val="nil"/>
            </w:tcBorders>
            <w:hideMark/>
          </w:tcPr>
          <w:p w14:paraId="42FEDD98" w14:textId="439A7B17"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EUR</w:t>
            </w:r>
          </w:p>
        </w:tc>
        <w:tc>
          <w:tcPr>
            <w:tcW w:w="1080" w:type="dxa"/>
            <w:tcBorders>
              <w:top w:val="nil"/>
              <w:left w:val="single" w:sz="8" w:space="0" w:color="auto"/>
              <w:bottom w:val="single" w:sz="4" w:space="0" w:color="auto"/>
              <w:right w:val="single" w:sz="4" w:space="0" w:color="auto"/>
            </w:tcBorders>
            <w:vAlign w:val="bottom"/>
            <w:hideMark/>
          </w:tcPr>
          <w:p w14:paraId="4687F1B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12,000.00</w:t>
            </w:r>
          </w:p>
        </w:tc>
        <w:tc>
          <w:tcPr>
            <w:tcW w:w="1080" w:type="dxa"/>
            <w:tcBorders>
              <w:top w:val="nil"/>
              <w:left w:val="nil"/>
              <w:bottom w:val="single" w:sz="4" w:space="0" w:color="auto"/>
              <w:right w:val="single" w:sz="4" w:space="0" w:color="auto"/>
            </w:tcBorders>
            <w:vAlign w:val="bottom"/>
            <w:hideMark/>
          </w:tcPr>
          <w:p w14:paraId="68505CEE"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1,201.20</w:t>
            </w:r>
          </w:p>
        </w:tc>
        <w:tc>
          <w:tcPr>
            <w:tcW w:w="1080" w:type="dxa"/>
            <w:tcBorders>
              <w:top w:val="nil"/>
              <w:left w:val="nil"/>
              <w:bottom w:val="single" w:sz="4" w:space="0" w:color="auto"/>
              <w:right w:val="single" w:sz="8" w:space="0" w:color="auto"/>
            </w:tcBorders>
            <w:vAlign w:val="bottom"/>
            <w:hideMark/>
          </w:tcPr>
          <w:p w14:paraId="6E0A0EC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13,201.20</w:t>
            </w:r>
          </w:p>
        </w:tc>
        <w:tc>
          <w:tcPr>
            <w:tcW w:w="1214" w:type="dxa"/>
            <w:tcBorders>
              <w:top w:val="nil"/>
              <w:left w:val="nil"/>
              <w:bottom w:val="single" w:sz="4" w:space="0" w:color="auto"/>
              <w:right w:val="single" w:sz="4" w:space="0" w:color="auto"/>
            </w:tcBorders>
            <w:vAlign w:val="bottom"/>
            <w:hideMark/>
          </w:tcPr>
          <w:p w14:paraId="12E6770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12,000.00</w:t>
            </w:r>
          </w:p>
        </w:tc>
        <w:tc>
          <w:tcPr>
            <w:tcW w:w="946" w:type="dxa"/>
            <w:tcBorders>
              <w:top w:val="nil"/>
              <w:left w:val="nil"/>
              <w:bottom w:val="single" w:sz="4" w:space="0" w:color="auto"/>
              <w:right w:val="single" w:sz="4" w:space="0" w:color="auto"/>
            </w:tcBorders>
            <w:vAlign w:val="bottom"/>
            <w:hideMark/>
          </w:tcPr>
          <w:p w14:paraId="2E706BE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858.00</w:t>
            </w:r>
          </w:p>
        </w:tc>
        <w:tc>
          <w:tcPr>
            <w:tcW w:w="1080" w:type="dxa"/>
            <w:tcBorders>
              <w:top w:val="nil"/>
              <w:left w:val="nil"/>
              <w:bottom w:val="single" w:sz="4" w:space="0" w:color="auto"/>
              <w:right w:val="single" w:sz="8" w:space="0" w:color="auto"/>
            </w:tcBorders>
            <w:vAlign w:val="bottom"/>
            <w:hideMark/>
          </w:tcPr>
          <w:p w14:paraId="29E87781"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12,858.00</w:t>
            </w:r>
          </w:p>
        </w:tc>
        <w:tc>
          <w:tcPr>
            <w:tcW w:w="1080" w:type="dxa"/>
            <w:tcBorders>
              <w:top w:val="nil"/>
              <w:left w:val="nil"/>
              <w:bottom w:val="single" w:sz="4" w:space="0" w:color="auto"/>
              <w:right w:val="single" w:sz="4" w:space="0" w:color="auto"/>
            </w:tcBorders>
            <w:vAlign w:val="bottom"/>
            <w:hideMark/>
          </w:tcPr>
          <w:p w14:paraId="563D49A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12,000.00</w:t>
            </w:r>
          </w:p>
        </w:tc>
        <w:tc>
          <w:tcPr>
            <w:tcW w:w="1041" w:type="dxa"/>
            <w:tcBorders>
              <w:top w:val="nil"/>
              <w:left w:val="nil"/>
              <w:bottom w:val="single" w:sz="4" w:space="0" w:color="auto"/>
              <w:right w:val="single" w:sz="4" w:space="0" w:color="auto"/>
            </w:tcBorders>
            <w:vAlign w:val="bottom"/>
            <w:hideMark/>
          </w:tcPr>
          <w:p w14:paraId="083EA76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514.80</w:t>
            </w:r>
          </w:p>
        </w:tc>
        <w:tc>
          <w:tcPr>
            <w:tcW w:w="1119" w:type="dxa"/>
            <w:tcBorders>
              <w:top w:val="nil"/>
              <w:left w:val="nil"/>
              <w:bottom w:val="single" w:sz="4" w:space="0" w:color="auto"/>
              <w:right w:val="single" w:sz="8" w:space="0" w:color="auto"/>
            </w:tcBorders>
            <w:vAlign w:val="bottom"/>
            <w:hideMark/>
          </w:tcPr>
          <w:p w14:paraId="66A965F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12,514.80</w:t>
            </w:r>
          </w:p>
        </w:tc>
        <w:tc>
          <w:tcPr>
            <w:tcW w:w="1260" w:type="dxa"/>
            <w:tcBorders>
              <w:top w:val="nil"/>
              <w:left w:val="nil"/>
              <w:bottom w:val="single" w:sz="4" w:space="0" w:color="auto"/>
              <w:right w:val="single" w:sz="4" w:space="0" w:color="auto"/>
            </w:tcBorders>
            <w:vAlign w:val="bottom"/>
            <w:hideMark/>
          </w:tcPr>
          <w:p w14:paraId="0BBAD556"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36,000.00</w:t>
            </w:r>
          </w:p>
        </w:tc>
        <w:tc>
          <w:tcPr>
            <w:tcW w:w="1080" w:type="dxa"/>
            <w:tcBorders>
              <w:top w:val="nil"/>
              <w:left w:val="nil"/>
              <w:bottom w:val="single" w:sz="4" w:space="0" w:color="auto"/>
              <w:right w:val="single" w:sz="4" w:space="0" w:color="auto"/>
            </w:tcBorders>
            <w:vAlign w:val="bottom"/>
            <w:hideMark/>
          </w:tcPr>
          <w:p w14:paraId="1996F4B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2,574.00</w:t>
            </w:r>
          </w:p>
        </w:tc>
        <w:tc>
          <w:tcPr>
            <w:tcW w:w="1289" w:type="dxa"/>
            <w:tcBorders>
              <w:top w:val="nil"/>
              <w:left w:val="nil"/>
              <w:bottom w:val="single" w:sz="4" w:space="0" w:color="auto"/>
              <w:right w:val="single" w:sz="8" w:space="0" w:color="auto"/>
            </w:tcBorders>
            <w:vAlign w:val="bottom"/>
            <w:hideMark/>
          </w:tcPr>
          <w:p w14:paraId="4F3724B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38,574.00</w:t>
            </w:r>
          </w:p>
        </w:tc>
      </w:tr>
      <w:tr w:rsidR="00EA0FD7" w:rsidRPr="00AE5455" w14:paraId="45606489" w14:textId="77777777" w:rsidTr="00EA0FD7">
        <w:trPr>
          <w:trHeight w:val="892"/>
        </w:trPr>
        <w:tc>
          <w:tcPr>
            <w:tcW w:w="300" w:type="dxa"/>
            <w:vMerge/>
            <w:tcBorders>
              <w:top w:val="nil"/>
              <w:left w:val="single" w:sz="8" w:space="0" w:color="auto"/>
              <w:bottom w:val="single" w:sz="4" w:space="0" w:color="000000"/>
              <w:right w:val="nil"/>
            </w:tcBorders>
            <w:vAlign w:val="center"/>
            <w:hideMark/>
          </w:tcPr>
          <w:p w14:paraId="10634A16"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300" w:type="dxa"/>
            <w:vMerge/>
            <w:tcBorders>
              <w:top w:val="nil"/>
              <w:left w:val="single" w:sz="8" w:space="0" w:color="auto"/>
              <w:bottom w:val="single" w:sz="4" w:space="0" w:color="000000"/>
              <w:right w:val="single" w:sz="8" w:space="0" w:color="auto"/>
            </w:tcBorders>
            <w:vAlign w:val="center"/>
            <w:hideMark/>
          </w:tcPr>
          <w:p w14:paraId="4C1DED28"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799" w:type="dxa"/>
            <w:tcBorders>
              <w:top w:val="nil"/>
              <w:left w:val="nil"/>
              <w:bottom w:val="single" w:sz="4" w:space="0" w:color="auto"/>
              <w:right w:val="nil"/>
            </w:tcBorders>
            <w:shd w:val="clear" w:color="auto" w:fill="FFFF99"/>
            <w:hideMark/>
          </w:tcPr>
          <w:p w14:paraId="331FF618" w14:textId="10164E53"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BAM</w:t>
            </w:r>
          </w:p>
        </w:tc>
        <w:tc>
          <w:tcPr>
            <w:tcW w:w="1080" w:type="dxa"/>
            <w:tcBorders>
              <w:top w:val="nil"/>
              <w:left w:val="single" w:sz="8" w:space="0" w:color="auto"/>
              <w:bottom w:val="single" w:sz="4" w:space="0" w:color="auto"/>
              <w:right w:val="single" w:sz="4" w:space="0" w:color="auto"/>
            </w:tcBorders>
            <w:shd w:val="clear" w:color="auto" w:fill="FFFF99"/>
            <w:vAlign w:val="bottom"/>
            <w:hideMark/>
          </w:tcPr>
          <w:p w14:paraId="6C30B30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23,469.96</w:t>
            </w:r>
          </w:p>
        </w:tc>
        <w:tc>
          <w:tcPr>
            <w:tcW w:w="1080" w:type="dxa"/>
            <w:tcBorders>
              <w:top w:val="nil"/>
              <w:left w:val="nil"/>
              <w:bottom w:val="single" w:sz="4" w:space="0" w:color="auto"/>
              <w:right w:val="single" w:sz="4" w:space="0" w:color="auto"/>
            </w:tcBorders>
            <w:shd w:val="clear" w:color="auto" w:fill="FFFF99"/>
            <w:vAlign w:val="bottom"/>
            <w:hideMark/>
          </w:tcPr>
          <w:p w14:paraId="2351429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2,349.34</w:t>
            </w:r>
          </w:p>
        </w:tc>
        <w:tc>
          <w:tcPr>
            <w:tcW w:w="1080" w:type="dxa"/>
            <w:tcBorders>
              <w:top w:val="nil"/>
              <w:left w:val="nil"/>
              <w:bottom w:val="single" w:sz="4" w:space="0" w:color="auto"/>
              <w:right w:val="single" w:sz="8" w:space="0" w:color="auto"/>
            </w:tcBorders>
            <w:shd w:val="clear" w:color="auto" w:fill="FFFF99"/>
            <w:vAlign w:val="bottom"/>
            <w:hideMark/>
          </w:tcPr>
          <w:p w14:paraId="7F73E73A"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25,819.30</w:t>
            </w:r>
          </w:p>
        </w:tc>
        <w:tc>
          <w:tcPr>
            <w:tcW w:w="1214" w:type="dxa"/>
            <w:tcBorders>
              <w:top w:val="nil"/>
              <w:left w:val="nil"/>
              <w:bottom w:val="single" w:sz="4" w:space="0" w:color="auto"/>
              <w:right w:val="single" w:sz="4" w:space="0" w:color="auto"/>
            </w:tcBorders>
            <w:shd w:val="clear" w:color="auto" w:fill="FFFF99"/>
            <w:vAlign w:val="bottom"/>
            <w:hideMark/>
          </w:tcPr>
          <w:p w14:paraId="1C7A9681"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23,469.96</w:t>
            </w:r>
          </w:p>
        </w:tc>
        <w:tc>
          <w:tcPr>
            <w:tcW w:w="946" w:type="dxa"/>
            <w:tcBorders>
              <w:top w:val="nil"/>
              <w:left w:val="nil"/>
              <w:bottom w:val="single" w:sz="4" w:space="0" w:color="auto"/>
              <w:right w:val="single" w:sz="4" w:space="0" w:color="auto"/>
            </w:tcBorders>
            <w:shd w:val="clear" w:color="auto" w:fill="FFFF99"/>
            <w:vAlign w:val="bottom"/>
            <w:hideMark/>
          </w:tcPr>
          <w:p w14:paraId="25ECA536"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1,678.10</w:t>
            </w:r>
          </w:p>
        </w:tc>
        <w:tc>
          <w:tcPr>
            <w:tcW w:w="1080" w:type="dxa"/>
            <w:tcBorders>
              <w:top w:val="nil"/>
              <w:left w:val="nil"/>
              <w:bottom w:val="single" w:sz="4" w:space="0" w:color="auto"/>
              <w:right w:val="single" w:sz="8" w:space="0" w:color="auto"/>
            </w:tcBorders>
            <w:shd w:val="clear" w:color="auto" w:fill="FFFF99"/>
            <w:vAlign w:val="bottom"/>
            <w:hideMark/>
          </w:tcPr>
          <w:p w14:paraId="028AD40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25,148.06</w:t>
            </w:r>
          </w:p>
        </w:tc>
        <w:tc>
          <w:tcPr>
            <w:tcW w:w="1080" w:type="dxa"/>
            <w:tcBorders>
              <w:top w:val="nil"/>
              <w:left w:val="nil"/>
              <w:bottom w:val="single" w:sz="4" w:space="0" w:color="auto"/>
              <w:right w:val="single" w:sz="4" w:space="0" w:color="auto"/>
            </w:tcBorders>
            <w:shd w:val="clear" w:color="auto" w:fill="FFFF99"/>
            <w:vAlign w:val="bottom"/>
            <w:hideMark/>
          </w:tcPr>
          <w:p w14:paraId="22F3AD2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23,469.96</w:t>
            </w:r>
          </w:p>
        </w:tc>
        <w:tc>
          <w:tcPr>
            <w:tcW w:w="1041" w:type="dxa"/>
            <w:tcBorders>
              <w:top w:val="nil"/>
              <w:left w:val="nil"/>
              <w:bottom w:val="single" w:sz="4" w:space="0" w:color="auto"/>
              <w:right w:val="single" w:sz="4" w:space="0" w:color="auto"/>
            </w:tcBorders>
            <w:shd w:val="clear" w:color="auto" w:fill="FFFF99"/>
            <w:vAlign w:val="bottom"/>
            <w:hideMark/>
          </w:tcPr>
          <w:p w14:paraId="7945E6D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1,006.86</w:t>
            </w:r>
          </w:p>
        </w:tc>
        <w:tc>
          <w:tcPr>
            <w:tcW w:w="1119" w:type="dxa"/>
            <w:tcBorders>
              <w:top w:val="nil"/>
              <w:left w:val="nil"/>
              <w:bottom w:val="single" w:sz="4" w:space="0" w:color="auto"/>
              <w:right w:val="single" w:sz="8" w:space="0" w:color="auto"/>
            </w:tcBorders>
            <w:shd w:val="clear" w:color="auto" w:fill="FFFF99"/>
            <w:vAlign w:val="bottom"/>
            <w:hideMark/>
          </w:tcPr>
          <w:p w14:paraId="09B5AFC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24,476.82</w:t>
            </w:r>
          </w:p>
        </w:tc>
        <w:tc>
          <w:tcPr>
            <w:tcW w:w="1260" w:type="dxa"/>
            <w:tcBorders>
              <w:top w:val="nil"/>
              <w:left w:val="nil"/>
              <w:bottom w:val="single" w:sz="4" w:space="0" w:color="auto"/>
              <w:right w:val="single" w:sz="4" w:space="0" w:color="auto"/>
            </w:tcBorders>
            <w:shd w:val="clear" w:color="auto" w:fill="FFFF99"/>
            <w:vAlign w:val="bottom"/>
            <w:hideMark/>
          </w:tcPr>
          <w:p w14:paraId="1A245D7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70,409.88</w:t>
            </w:r>
          </w:p>
        </w:tc>
        <w:tc>
          <w:tcPr>
            <w:tcW w:w="1080" w:type="dxa"/>
            <w:tcBorders>
              <w:top w:val="nil"/>
              <w:left w:val="nil"/>
              <w:bottom w:val="single" w:sz="4" w:space="0" w:color="auto"/>
              <w:right w:val="single" w:sz="4" w:space="0" w:color="auto"/>
            </w:tcBorders>
            <w:shd w:val="clear" w:color="auto" w:fill="FFFF99"/>
            <w:vAlign w:val="bottom"/>
            <w:hideMark/>
          </w:tcPr>
          <w:p w14:paraId="0021D28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5,034.30</w:t>
            </w:r>
          </w:p>
        </w:tc>
        <w:tc>
          <w:tcPr>
            <w:tcW w:w="1289" w:type="dxa"/>
            <w:tcBorders>
              <w:top w:val="nil"/>
              <w:left w:val="nil"/>
              <w:bottom w:val="single" w:sz="4" w:space="0" w:color="auto"/>
              <w:right w:val="single" w:sz="8" w:space="0" w:color="auto"/>
            </w:tcBorders>
            <w:shd w:val="clear" w:color="auto" w:fill="FFFF99"/>
            <w:vAlign w:val="bottom"/>
            <w:hideMark/>
          </w:tcPr>
          <w:p w14:paraId="2C9759E5"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75,444.18</w:t>
            </w:r>
          </w:p>
        </w:tc>
      </w:tr>
      <w:tr w:rsidR="00EA0FD7" w:rsidRPr="00EA0FD7" w14:paraId="2523DE2B" w14:textId="77777777" w:rsidTr="00EA0FD7">
        <w:trPr>
          <w:trHeight w:val="901"/>
        </w:trPr>
        <w:tc>
          <w:tcPr>
            <w:tcW w:w="445" w:type="dxa"/>
            <w:vMerge w:val="restart"/>
            <w:tcBorders>
              <w:top w:val="nil"/>
              <w:left w:val="single" w:sz="8" w:space="0" w:color="auto"/>
              <w:bottom w:val="single" w:sz="4" w:space="0" w:color="000000"/>
              <w:right w:val="nil"/>
            </w:tcBorders>
            <w:noWrap/>
            <w:vAlign w:val="center"/>
            <w:hideMark/>
          </w:tcPr>
          <w:p w14:paraId="1DFDA26E" w14:textId="5F4ECEA6"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7</w:t>
            </w:r>
            <w:r w:rsidR="00752F04">
              <w:rPr>
                <w:rFonts w:ascii="Arial" w:eastAsia="Times New Roman" w:hAnsi="Arial" w:cs="Arial"/>
                <w:sz w:val="13"/>
                <w:szCs w:val="13"/>
                <w:lang w:val="sr-Cyrl-RS"/>
              </w:rPr>
              <w:t>.</w:t>
            </w:r>
          </w:p>
        </w:tc>
        <w:tc>
          <w:tcPr>
            <w:tcW w:w="1550" w:type="dxa"/>
            <w:vMerge w:val="restart"/>
            <w:tcBorders>
              <w:top w:val="nil"/>
              <w:left w:val="single" w:sz="8" w:space="0" w:color="auto"/>
              <w:bottom w:val="single" w:sz="4" w:space="0" w:color="000000"/>
              <w:right w:val="single" w:sz="8" w:space="0" w:color="auto"/>
            </w:tcBorders>
            <w:shd w:val="clear" w:color="auto" w:fill="FFFF99"/>
            <w:vAlign w:val="center"/>
            <w:hideMark/>
          </w:tcPr>
          <w:p w14:paraId="264D1474" w14:textId="247C00FF"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 xml:space="preserve">ОБНОВА СТАМБЕНОГ </w:t>
            </w:r>
            <w:r w:rsidRPr="00EA0FD7">
              <w:rPr>
                <w:rFonts w:ascii="Arial" w:eastAsia="Times New Roman" w:hAnsi="Arial" w:cs="Arial"/>
                <w:sz w:val="13"/>
                <w:szCs w:val="13"/>
                <w:lang w:val="sr-Cyrl-RS"/>
              </w:rPr>
              <w:br/>
              <w:t>ФОНДА ИЗБЈЕГЛИХ И РАСЕЉЕНИХ ЛИЦА У Б</w:t>
            </w:r>
            <w:r w:rsidR="00752F04">
              <w:rPr>
                <w:rFonts w:ascii="Arial" w:eastAsia="Times New Roman" w:hAnsi="Arial" w:cs="Arial"/>
                <w:sz w:val="13"/>
                <w:szCs w:val="13"/>
                <w:lang w:val="sr-Cyrl-RS"/>
              </w:rPr>
              <w:t>и</w:t>
            </w:r>
            <w:r w:rsidRPr="00EA0FD7">
              <w:rPr>
                <w:rFonts w:ascii="Arial" w:eastAsia="Times New Roman" w:hAnsi="Arial" w:cs="Arial"/>
                <w:sz w:val="13"/>
                <w:szCs w:val="13"/>
                <w:lang w:val="sr-Cyrl-RS"/>
              </w:rPr>
              <w:t xml:space="preserve">Х </w:t>
            </w:r>
            <w:r w:rsidRPr="00EA0FD7">
              <w:rPr>
                <w:rFonts w:ascii="Arial" w:eastAsia="Times New Roman" w:hAnsi="Arial" w:cs="Arial"/>
                <w:sz w:val="13"/>
                <w:szCs w:val="13"/>
                <w:lang w:val="sr-Cyrl-RS"/>
              </w:rPr>
              <w:br/>
              <w:t xml:space="preserve">(ЦЕБ - </w:t>
            </w:r>
            <w:r w:rsidR="00752F04">
              <w:rPr>
                <w:rFonts w:ascii="Arial" w:eastAsia="Times New Roman" w:hAnsi="Arial" w:cs="Arial"/>
                <w:sz w:val="13"/>
                <w:szCs w:val="13"/>
              </w:rPr>
              <w:t>II</w:t>
            </w:r>
            <w:r w:rsidRPr="00EA0FD7">
              <w:rPr>
                <w:rFonts w:ascii="Arial" w:eastAsia="Times New Roman" w:hAnsi="Arial" w:cs="Arial"/>
                <w:sz w:val="13"/>
                <w:szCs w:val="13"/>
                <w:lang w:val="sr-Cyrl-RS"/>
              </w:rPr>
              <w:t xml:space="preserve"> транша)</w:t>
            </w:r>
            <w:r w:rsidRPr="00EA0FD7">
              <w:rPr>
                <w:rFonts w:ascii="Arial" w:eastAsia="Times New Roman" w:hAnsi="Arial" w:cs="Arial"/>
                <w:sz w:val="13"/>
                <w:szCs w:val="13"/>
                <w:lang w:val="sr-Cyrl-RS"/>
              </w:rPr>
              <w:br/>
              <w:t xml:space="preserve">- Кредит се отплаћује путем ЦЕБ Развојне банке </w:t>
            </w:r>
            <w:r w:rsidR="00752F04">
              <w:rPr>
                <w:rFonts w:ascii="Arial" w:eastAsia="Times New Roman" w:hAnsi="Arial" w:cs="Arial"/>
                <w:sz w:val="13"/>
                <w:szCs w:val="13"/>
                <w:lang w:val="sr-Cyrl-RS"/>
              </w:rPr>
              <w:t>Савјета</w:t>
            </w:r>
            <w:r w:rsidRPr="00EA0FD7">
              <w:rPr>
                <w:rFonts w:ascii="Arial" w:eastAsia="Times New Roman" w:hAnsi="Arial" w:cs="Arial"/>
                <w:sz w:val="13"/>
                <w:szCs w:val="13"/>
                <w:lang w:val="sr-Cyrl-RS"/>
              </w:rPr>
              <w:t xml:space="preserve"> Европе</w:t>
            </w:r>
          </w:p>
        </w:tc>
        <w:tc>
          <w:tcPr>
            <w:tcW w:w="799" w:type="dxa"/>
            <w:tcBorders>
              <w:top w:val="nil"/>
              <w:left w:val="nil"/>
              <w:bottom w:val="single" w:sz="4" w:space="0" w:color="auto"/>
              <w:right w:val="nil"/>
            </w:tcBorders>
            <w:hideMark/>
          </w:tcPr>
          <w:p w14:paraId="2817A060" w14:textId="31B21EB0" w:rsid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EUR</w:t>
            </w:r>
          </w:p>
          <w:p w14:paraId="76166C58" w14:textId="0C54B104" w:rsidR="00A10E7A" w:rsidRPr="00EA0FD7" w:rsidRDefault="00A10E7A" w:rsidP="00EA0FD7">
            <w:pPr>
              <w:spacing w:after="0" w:line="240" w:lineRule="auto"/>
              <w:jc w:val="center"/>
              <w:rPr>
                <w:rFonts w:ascii="Arial" w:eastAsia="Times New Roman" w:hAnsi="Arial" w:cs="Arial"/>
                <w:sz w:val="13"/>
                <w:szCs w:val="13"/>
                <w:lang w:val="sr-Cyrl-RS"/>
              </w:rPr>
            </w:pPr>
          </w:p>
        </w:tc>
        <w:tc>
          <w:tcPr>
            <w:tcW w:w="1080" w:type="dxa"/>
            <w:tcBorders>
              <w:top w:val="nil"/>
              <w:left w:val="single" w:sz="8" w:space="0" w:color="auto"/>
              <w:bottom w:val="single" w:sz="4" w:space="0" w:color="auto"/>
              <w:right w:val="single" w:sz="4" w:space="0" w:color="auto"/>
            </w:tcBorders>
            <w:vAlign w:val="bottom"/>
            <w:hideMark/>
          </w:tcPr>
          <w:p w14:paraId="554773B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4" w:space="0" w:color="auto"/>
            </w:tcBorders>
            <w:vAlign w:val="bottom"/>
            <w:hideMark/>
          </w:tcPr>
          <w:p w14:paraId="312FF89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8" w:space="0" w:color="auto"/>
            </w:tcBorders>
            <w:vAlign w:val="bottom"/>
            <w:hideMark/>
          </w:tcPr>
          <w:p w14:paraId="1860BE61"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214" w:type="dxa"/>
            <w:tcBorders>
              <w:top w:val="nil"/>
              <w:left w:val="nil"/>
              <w:bottom w:val="single" w:sz="4" w:space="0" w:color="auto"/>
              <w:right w:val="single" w:sz="4" w:space="0" w:color="auto"/>
            </w:tcBorders>
            <w:vAlign w:val="bottom"/>
            <w:hideMark/>
          </w:tcPr>
          <w:p w14:paraId="52745CF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946" w:type="dxa"/>
            <w:tcBorders>
              <w:top w:val="nil"/>
              <w:left w:val="nil"/>
              <w:bottom w:val="single" w:sz="4" w:space="0" w:color="auto"/>
              <w:right w:val="single" w:sz="4" w:space="0" w:color="auto"/>
            </w:tcBorders>
            <w:vAlign w:val="bottom"/>
            <w:hideMark/>
          </w:tcPr>
          <w:p w14:paraId="551E4AE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8" w:space="0" w:color="auto"/>
            </w:tcBorders>
            <w:vAlign w:val="bottom"/>
            <w:hideMark/>
          </w:tcPr>
          <w:p w14:paraId="062BCF4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4" w:space="0" w:color="auto"/>
            </w:tcBorders>
            <w:vAlign w:val="bottom"/>
            <w:hideMark/>
          </w:tcPr>
          <w:p w14:paraId="59BC282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41" w:type="dxa"/>
            <w:tcBorders>
              <w:top w:val="nil"/>
              <w:left w:val="nil"/>
              <w:bottom w:val="single" w:sz="4" w:space="0" w:color="auto"/>
              <w:right w:val="single" w:sz="4" w:space="0" w:color="auto"/>
            </w:tcBorders>
            <w:vAlign w:val="bottom"/>
            <w:hideMark/>
          </w:tcPr>
          <w:p w14:paraId="225CDA4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119" w:type="dxa"/>
            <w:tcBorders>
              <w:top w:val="nil"/>
              <w:left w:val="nil"/>
              <w:bottom w:val="single" w:sz="4" w:space="0" w:color="auto"/>
              <w:right w:val="single" w:sz="8" w:space="0" w:color="auto"/>
            </w:tcBorders>
            <w:vAlign w:val="bottom"/>
            <w:hideMark/>
          </w:tcPr>
          <w:p w14:paraId="5F2D95A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260" w:type="dxa"/>
            <w:tcBorders>
              <w:top w:val="nil"/>
              <w:left w:val="nil"/>
              <w:bottom w:val="single" w:sz="4" w:space="0" w:color="auto"/>
              <w:right w:val="single" w:sz="4" w:space="0" w:color="auto"/>
            </w:tcBorders>
            <w:vAlign w:val="bottom"/>
            <w:hideMark/>
          </w:tcPr>
          <w:p w14:paraId="72D3F22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4" w:space="0" w:color="auto"/>
            </w:tcBorders>
            <w:vAlign w:val="bottom"/>
            <w:hideMark/>
          </w:tcPr>
          <w:p w14:paraId="47FE8A81"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289" w:type="dxa"/>
            <w:tcBorders>
              <w:top w:val="nil"/>
              <w:left w:val="nil"/>
              <w:bottom w:val="single" w:sz="4" w:space="0" w:color="auto"/>
              <w:right w:val="single" w:sz="8" w:space="0" w:color="auto"/>
            </w:tcBorders>
            <w:vAlign w:val="bottom"/>
            <w:hideMark/>
          </w:tcPr>
          <w:p w14:paraId="0B144EE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r>
      <w:tr w:rsidR="00EA0FD7" w:rsidRPr="00AE5455" w14:paraId="0BC88557" w14:textId="77777777" w:rsidTr="00EA0FD7">
        <w:trPr>
          <w:trHeight w:val="694"/>
        </w:trPr>
        <w:tc>
          <w:tcPr>
            <w:tcW w:w="300" w:type="dxa"/>
            <w:vMerge/>
            <w:tcBorders>
              <w:top w:val="nil"/>
              <w:left w:val="single" w:sz="8" w:space="0" w:color="auto"/>
              <w:bottom w:val="single" w:sz="4" w:space="0" w:color="000000"/>
              <w:right w:val="nil"/>
            </w:tcBorders>
            <w:vAlign w:val="center"/>
            <w:hideMark/>
          </w:tcPr>
          <w:p w14:paraId="6C0EE0D3"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300" w:type="dxa"/>
            <w:vMerge/>
            <w:tcBorders>
              <w:top w:val="nil"/>
              <w:left w:val="single" w:sz="8" w:space="0" w:color="auto"/>
              <w:bottom w:val="single" w:sz="4" w:space="0" w:color="000000"/>
              <w:right w:val="single" w:sz="8" w:space="0" w:color="auto"/>
            </w:tcBorders>
            <w:vAlign w:val="center"/>
            <w:hideMark/>
          </w:tcPr>
          <w:p w14:paraId="11D3EA41"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799" w:type="dxa"/>
            <w:tcBorders>
              <w:top w:val="nil"/>
              <w:left w:val="nil"/>
              <w:bottom w:val="single" w:sz="4" w:space="0" w:color="auto"/>
              <w:right w:val="nil"/>
            </w:tcBorders>
            <w:shd w:val="clear" w:color="auto" w:fill="FFFF99"/>
            <w:hideMark/>
          </w:tcPr>
          <w:p w14:paraId="09CE6CCC" w14:textId="7C94447F"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BAM</w:t>
            </w:r>
          </w:p>
        </w:tc>
        <w:tc>
          <w:tcPr>
            <w:tcW w:w="1080" w:type="dxa"/>
            <w:tcBorders>
              <w:top w:val="nil"/>
              <w:left w:val="single" w:sz="8" w:space="0" w:color="auto"/>
              <w:bottom w:val="single" w:sz="4" w:space="0" w:color="auto"/>
              <w:right w:val="single" w:sz="4" w:space="0" w:color="auto"/>
            </w:tcBorders>
            <w:shd w:val="clear" w:color="auto" w:fill="FFFF99"/>
            <w:vAlign w:val="bottom"/>
            <w:hideMark/>
          </w:tcPr>
          <w:p w14:paraId="4F3095E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4" w:space="0" w:color="auto"/>
            </w:tcBorders>
            <w:shd w:val="clear" w:color="auto" w:fill="FFFF99"/>
            <w:vAlign w:val="bottom"/>
            <w:hideMark/>
          </w:tcPr>
          <w:p w14:paraId="15F3261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8" w:space="0" w:color="auto"/>
            </w:tcBorders>
            <w:shd w:val="clear" w:color="auto" w:fill="FFFF99"/>
            <w:vAlign w:val="bottom"/>
            <w:hideMark/>
          </w:tcPr>
          <w:p w14:paraId="2C0A2205"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214" w:type="dxa"/>
            <w:tcBorders>
              <w:top w:val="nil"/>
              <w:left w:val="nil"/>
              <w:bottom w:val="single" w:sz="4" w:space="0" w:color="auto"/>
              <w:right w:val="single" w:sz="4" w:space="0" w:color="auto"/>
            </w:tcBorders>
            <w:shd w:val="clear" w:color="auto" w:fill="FFFF99"/>
            <w:vAlign w:val="bottom"/>
            <w:hideMark/>
          </w:tcPr>
          <w:p w14:paraId="1BC7DA7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946" w:type="dxa"/>
            <w:tcBorders>
              <w:top w:val="nil"/>
              <w:left w:val="nil"/>
              <w:bottom w:val="single" w:sz="4" w:space="0" w:color="auto"/>
              <w:right w:val="single" w:sz="4" w:space="0" w:color="auto"/>
            </w:tcBorders>
            <w:shd w:val="clear" w:color="auto" w:fill="FFFF99"/>
            <w:vAlign w:val="bottom"/>
            <w:hideMark/>
          </w:tcPr>
          <w:p w14:paraId="5D15712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8" w:space="0" w:color="auto"/>
            </w:tcBorders>
            <w:shd w:val="clear" w:color="auto" w:fill="FFFF99"/>
            <w:vAlign w:val="bottom"/>
            <w:hideMark/>
          </w:tcPr>
          <w:p w14:paraId="1AA2E885"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4" w:space="0" w:color="auto"/>
            </w:tcBorders>
            <w:shd w:val="clear" w:color="auto" w:fill="FFFF99"/>
            <w:vAlign w:val="bottom"/>
            <w:hideMark/>
          </w:tcPr>
          <w:p w14:paraId="76BEF9C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41" w:type="dxa"/>
            <w:tcBorders>
              <w:top w:val="nil"/>
              <w:left w:val="nil"/>
              <w:bottom w:val="single" w:sz="4" w:space="0" w:color="auto"/>
              <w:right w:val="single" w:sz="4" w:space="0" w:color="auto"/>
            </w:tcBorders>
            <w:shd w:val="clear" w:color="auto" w:fill="FFFF99"/>
            <w:vAlign w:val="bottom"/>
            <w:hideMark/>
          </w:tcPr>
          <w:p w14:paraId="178026E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119" w:type="dxa"/>
            <w:tcBorders>
              <w:top w:val="nil"/>
              <w:left w:val="nil"/>
              <w:bottom w:val="single" w:sz="4" w:space="0" w:color="auto"/>
              <w:right w:val="single" w:sz="8" w:space="0" w:color="auto"/>
            </w:tcBorders>
            <w:shd w:val="clear" w:color="auto" w:fill="FFFF99"/>
            <w:vAlign w:val="bottom"/>
            <w:hideMark/>
          </w:tcPr>
          <w:p w14:paraId="2A60170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260" w:type="dxa"/>
            <w:tcBorders>
              <w:top w:val="nil"/>
              <w:left w:val="nil"/>
              <w:bottom w:val="single" w:sz="4" w:space="0" w:color="auto"/>
              <w:right w:val="single" w:sz="4" w:space="0" w:color="auto"/>
            </w:tcBorders>
            <w:shd w:val="clear" w:color="auto" w:fill="FFFF99"/>
            <w:vAlign w:val="bottom"/>
            <w:hideMark/>
          </w:tcPr>
          <w:p w14:paraId="4360FFA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4" w:space="0" w:color="auto"/>
            </w:tcBorders>
            <w:shd w:val="clear" w:color="auto" w:fill="FFFF99"/>
            <w:vAlign w:val="bottom"/>
            <w:hideMark/>
          </w:tcPr>
          <w:p w14:paraId="7B3B75E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289" w:type="dxa"/>
            <w:tcBorders>
              <w:top w:val="nil"/>
              <w:left w:val="nil"/>
              <w:bottom w:val="single" w:sz="4" w:space="0" w:color="auto"/>
              <w:right w:val="single" w:sz="8" w:space="0" w:color="auto"/>
            </w:tcBorders>
            <w:shd w:val="clear" w:color="auto" w:fill="FFFF99"/>
            <w:vAlign w:val="bottom"/>
            <w:hideMark/>
          </w:tcPr>
          <w:p w14:paraId="3327753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r>
      <w:tr w:rsidR="00EA0FD7" w:rsidRPr="00EA0FD7" w14:paraId="196B8B08" w14:textId="77777777" w:rsidTr="00EA0FD7">
        <w:trPr>
          <w:trHeight w:val="712"/>
        </w:trPr>
        <w:tc>
          <w:tcPr>
            <w:tcW w:w="445" w:type="dxa"/>
            <w:vMerge w:val="restart"/>
            <w:tcBorders>
              <w:top w:val="nil"/>
              <w:left w:val="single" w:sz="8" w:space="0" w:color="auto"/>
              <w:bottom w:val="single" w:sz="4" w:space="0" w:color="000000"/>
              <w:right w:val="nil"/>
            </w:tcBorders>
            <w:noWrap/>
            <w:vAlign w:val="center"/>
            <w:hideMark/>
          </w:tcPr>
          <w:p w14:paraId="26B02396" w14:textId="6D5A9B61"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8</w:t>
            </w:r>
            <w:r w:rsidR="00752F04">
              <w:rPr>
                <w:rFonts w:ascii="Arial" w:eastAsia="Times New Roman" w:hAnsi="Arial" w:cs="Arial"/>
                <w:sz w:val="13"/>
                <w:szCs w:val="13"/>
                <w:lang w:val="sr-Cyrl-RS"/>
              </w:rPr>
              <w:t>.</w:t>
            </w:r>
          </w:p>
        </w:tc>
        <w:tc>
          <w:tcPr>
            <w:tcW w:w="1550" w:type="dxa"/>
            <w:vMerge w:val="restart"/>
            <w:tcBorders>
              <w:top w:val="nil"/>
              <w:left w:val="single" w:sz="8" w:space="0" w:color="auto"/>
              <w:bottom w:val="single" w:sz="4" w:space="0" w:color="000000"/>
              <w:right w:val="single" w:sz="8" w:space="0" w:color="auto"/>
            </w:tcBorders>
            <w:shd w:val="clear" w:color="auto" w:fill="FFFF99"/>
            <w:vAlign w:val="center"/>
            <w:hideMark/>
          </w:tcPr>
          <w:p w14:paraId="4E52082F" w14:textId="13F12097"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 xml:space="preserve">ОБНОВА СТАМБЕНОГ </w:t>
            </w:r>
            <w:r w:rsidRPr="00EA0FD7">
              <w:rPr>
                <w:rFonts w:ascii="Arial" w:eastAsia="Times New Roman" w:hAnsi="Arial" w:cs="Arial"/>
                <w:sz w:val="13"/>
                <w:szCs w:val="13"/>
                <w:lang w:val="sr-Cyrl-RS"/>
              </w:rPr>
              <w:br/>
              <w:t>ФОНДА ИЗБЈЕГЛИХ И РАСЕЉЕНИХ ЛИЦА У Б</w:t>
            </w:r>
            <w:r w:rsidR="00752F04">
              <w:rPr>
                <w:rFonts w:ascii="Arial" w:eastAsia="Times New Roman" w:hAnsi="Arial" w:cs="Arial"/>
                <w:sz w:val="13"/>
                <w:szCs w:val="13"/>
                <w:lang w:val="sr-Cyrl-RS"/>
              </w:rPr>
              <w:t>и</w:t>
            </w:r>
            <w:r w:rsidRPr="00EA0FD7">
              <w:rPr>
                <w:rFonts w:ascii="Arial" w:eastAsia="Times New Roman" w:hAnsi="Arial" w:cs="Arial"/>
                <w:sz w:val="13"/>
                <w:szCs w:val="13"/>
                <w:lang w:val="sr-Cyrl-RS"/>
              </w:rPr>
              <w:t xml:space="preserve">Х </w:t>
            </w:r>
            <w:r w:rsidRPr="00EA0FD7">
              <w:rPr>
                <w:rFonts w:ascii="Arial" w:eastAsia="Times New Roman" w:hAnsi="Arial" w:cs="Arial"/>
                <w:sz w:val="13"/>
                <w:szCs w:val="13"/>
                <w:lang w:val="sr-Cyrl-RS"/>
              </w:rPr>
              <w:br/>
              <w:t xml:space="preserve">(ЦЕБ </w:t>
            </w:r>
            <w:r w:rsidR="00752F04">
              <w:rPr>
                <w:rFonts w:ascii="Arial" w:eastAsia="Times New Roman" w:hAnsi="Arial" w:cs="Arial"/>
                <w:sz w:val="13"/>
                <w:szCs w:val="13"/>
                <w:lang w:val="sr-Cyrl-RS"/>
              </w:rPr>
              <w:t>–</w:t>
            </w:r>
            <w:r w:rsidRPr="00EA0FD7">
              <w:rPr>
                <w:rFonts w:ascii="Arial" w:eastAsia="Times New Roman" w:hAnsi="Arial" w:cs="Arial"/>
                <w:sz w:val="13"/>
                <w:szCs w:val="13"/>
                <w:lang w:val="sr-Cyrl-RS"/>
              </w:rPr>
              <w:t xml:space="preserve"> </w:t>
            </w:r>
            <w:r w:rsidR="00752F04">
              <w:rPr>
                <w:rFonts w:ascii="Arial" w:eastAsia="Times New Roman" w:hAnsi="Arial" w:cs="Arial"/>
                <w:sz w:val="13"/>
                <w:szCs w:val="13"/>
              </w:rPr>
              <w:t xml:space="preserve">III </w:t>
            </w:r>
            <w:r w:rsidRPr="00EA0FD7">
              <w:rPr>
                <w:rFonts w:ascii="Arial" w:eastAsia="Times New Roman" w:hAnsi="Arial" w:cs="Arial"/>
                <w:sz w:val="13"/>
                <w:szCs w:val="13"/>
                <w:lang w:val="sr-Cyrl-RS"/>
              </w:rPr>
              <w:t>транша)</w:t>
            </w:r>
            <w:r w:rsidRPr="00EA0FD7">
              <w:rPr>
                <w:rFonts w:ascii="Arial" w:eastAsia="Times New Roman" w:hAnsi="Arial" w:cs="Arial"/>
                <w:sz w:val="13"/>
                <w:szCs w:val="13"/>
                <w:lang w:val="sr-Cyrl-RS"/>
              </w:rPr>
              <w:br/>
              <w:t xml:space="preserve">- Кредит се отплаћује путем ЦЕБ Развојне банке </w:t>
            </w:r>
            <w:r w:rsidR="00752F04">
              <w:rPr>
                <w:rFonts w:ascii="Arial" w:eastAsia="Times New Roman" w:hAnsi="Arial" w:cs="Arial"/>
                <w:sz w:val="13"/>
                <w:szCs w:val="13"/>
                <w:lang w:val="sr-Cyrl-RS"/>
              </w:rPr>
              <w:t>Савјета</w:t>
            </w:r>
            <w:r w:rsidRPr="00EA0FD7">
              <w:rPr>
                <w:rFonts w:ascii="Arial" w:eastAsia="Times New Roman" w:hAnsi="Arial" w:cs="Arial"/>
                <w:sz w:val="13"/>
                <w:szCs w:val="13"/>
                <w:lang w:val="sr-Cyrl-RS"/>
              </w:rPr>
              <w:t xml:space="preserve"> Европе</w:t>
            </w:r>
          </w:p>
        </w:tc>
        <w:tc>
          <w:tcPr>
            <w:tcW w:w="799" w:type="dxa"/>
            <w:tcBorders>
              <w:top w:val="nil"/>
              <w:left w:val="nil"/>
              <w:bottom w:val="single" w:sz="4" w:space="0" w:color="auto"/>
              <w:right w:val="nil"/>
            </w:tcBorders>
            <w:hideMark/>
          </w:tcPr>
          <w:p w14:paraId="3C10D2FC" w14:textId="7C0E9EF1"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EUR</w:t>
            </w:r>
          </w:p>
        </w:tc>
        <w:tc>
          <w:tcPr>
            <w:tcW w:w="1080" w:type="dxa"/>
            <w:tcBorders>
              <w:top w:val="nil"/>
              <w:left w:val="single" w:sz="8" w:space="0" w:color="auto"/>
              <w:bottom w:val="single" w:sz="4" w:space="0" w:color="auto"/>
              <w:right w:val="single" w:sz="4" w:space="0" w:color="auto"/>
            </w:tcBorders>
            <w:vAlign w:val="bottom"/>
            <w:hideMark/>
          </w:tcPr>
          <w:p w14:paraId="6C7AD43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15,375.00</w:t>
            </w:r>
          </w:p>
        </w:tc>
        <w:tc>
          <w:tcPr>
            <w:tcW w:w="1080" w:type="dxa"/>
            <w:tcBorders>
              <w:top w:val="nil"/>
              <w:left w:val="nil"/>
              <w:bottom w:val="single" w:sz="4" w:space="0" w:color="auto"/>
              <w:right w:val="single" w:sz="4" w:space="0" w:color="auto"/>
            </w:tcBorders>
            <w:vAlign w:val="bottom"/>
            <w:hideMark/>
          </w:tcPr>
          <w:p w14:paraId="3F2BB3B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310.58</w:t>
            </w:r>
          </w:p>
        </w:tc>
        <w:tc>
          <w:tcPr>
            <w:tcW w:w="1080" w:type="dxa"/>
            <w:tcBorders>
              <w:top w:val="nil"/>
              <w:left w:val="nil"/>
              <w:bottom w:val="single" w:sz="4" w:space="0" w:color="auto"/>
              <w:right w:val="single" w:sz="8" w:space="0" w:color="auto"/>
            </w:tcBorders>
            <w:vAlign w:val="bottom"/>
            <w:hideMark/>
          </w:tcPr>
          <w:p w14:paraId="0A9B6CB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15,685.58</w:t>
            </w:r>
          </w:p>
        </w:tc>
        <w:tc>
          <w:tcPr>
            <w:tcW w:w="1214" w:type="dxa"/>
            <w:tcBorders>
              <w:top w:val="nil"/>
              <w:left w:val="nil"/>
              <w:bottom w:val="single" w:sz="4" w:space="0" w:color="auto"/>
              <w:right w:val="single" w:sz="4" w:space="0" w:color="auto"/>
            </w:tcBorders>
            <w:vAlign w:val="bottom"/>
            <w:hideMark/>
          </w:tcPr>
          <w:p w14:paraId="07A7A45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946" w:type="dxa"/>
            <w:tcBorders>
              <w:top w:val="nil"/>
              <w:left w:val="nil"/>
              <w:bottom w:val="single" w:sz="4" w:space="0" w:color="auto"/>
              <w:right w:val="single" w:sz="4" w:space="0" w:color="auto"/>
            </w:tcBorders>
            <w:vAlign w:val="bottom"/>
            <w:hideMark/>
          </w:tcPr>
          <w:p w14:paraId="455980D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8" w:space="0" w:color="auto"/>
            </w:tcBorders>
            <w:vAlign w:val="bottom"/>
            <w:hideMark/>
          </w:tcPr>
          <w:p w14:paraId="15B0980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4" w:space="0" w:color="auto"/>
            </w:tcBorders>
            <w:vAlign w:val="bottom"/>
            <w:hideMark/>
          </w:tcPr>
          <w:p w14:paraId="32C4981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41" w:type="dxa"/>
            <w:tcBorders>
              <w:top w:val="nil"/>
              <w:left w:val="nil"/>
              <w:bottom w:val="single" w:sz="4" w:space="0" w:color="auto"/>
              <w:right w:val="single" w:sz="4" w:space="0" w:color="auto"/>
            </w:tcBorders>
            <w:vAlign w:val="bottom"/>
            <w:hideMark/>
          </w:tcPr>
          <w:p w14:paraId="3B0C4F0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119" w:type="dxa"/>
            <w:tcBorders>
              <w:top w:val="nil"/>
              <w:left w:val="nil"/>
              <w:bottom w:val="single" w:sz="4" w:space="0" w:color="auto"/>
              <w:right w:val="single" w:sz="8" w:space="0" w:color="auto"/>
            </w:tcBorders>
            <w:vAlign w:val="bottom"/>
            <w:hideMark/>
          </w:tcPr>
          <w:p w14:paraId="624085C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260" w:type="dxa"/>
            <w:tcBorders>
              <w:top w:val="nil"/>
              <w:left w:val="nil"/>
              <w:bottom w:val="single" w:sz="4" w:space="0" w:color="auto"/>
              <w:right w:val="single" w:sz="4" w:space="0" w:color="auto"/>
            </w:tcBorders>
            <w:vAlign w:val="bottom"/>
            <w:hideMark/>
          </w:tcPr>
          <w:p w14:paraId="6057F82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15,375.00</w:t>
            </w:r>
          </w:p>
        </w:tc>
        <w:tc>
          <w:tcPr>
            <w:tcW w:w="1080" w:type="dxa"/>
            <w:tcBorders>
              <w:top w:val="nil"/>
              <w:left w:val="nil"/>
              <w:bottom w:val="single" w:sz="4" w:space="0" w:color="auto"/>
              <w:right w:val="single" w:sz="4" w:space="0" w:color="auto"/>
            </w:tcBorders>
            <w:vAlign w:val="bottom"/>
            <w:hideMark/>
          </w:tcPr>
          <w:p w14:paraId="29D7F57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310.58</w:t>
            </w:r>
          </w:p>
        </w:tc>
        <w:tc>
          <w:tcPr>
            <w:tcW w:w="1289" w:type="dxa"/>
            <w:tcBorders>
              <w:top w:val="nil"/>
              <w:left w:val="nil"/>
              <w:bottom w:val="single" w:sz="4" w:space="0" w:color="auto"/>
              <w:right w:val="single" w:sz="8" w:space="0" w:color="auto"/>
            </w:tcBorders>
            <w:vAlign w:val="bottom"/>
            <w:hideMark/>
          </w:tcPr>
          <w:p w14:paraId="5CF0B56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15,685.58</w:t>
            </w:r>
          </w:p>
        </w:tc>
      </w:tr>
      <w:tr w:rsidR="00EA0FD7" w:rsidRPr="00AE5455" w14:paraId="6F8CC185" w14:textId="77777777" w:rsidTr="00EA0FD7">
        <w:trPr>
          <w:trHeight w:val="901"/>
        </w:trPr>
        <w:tc>
          <w:tcPr>
            <w:tcW w:w="300" w:type="dxa"/>
            <w:vMerge/>
            <w:tcBorders>
              <w:top w:val="nil"/>
              <w:left w:val="single" w:sz="8" w:space="0" w:color="auto"/>
              <w:bottom w:val="single" w:sz="4" w:space="0" w:color="000000"/>
              <w:right w:val="nil"/>
            </w:tcBorders>
            <w:vAlign w:val="center"/>
            <w:hideMark/>
          </w:tcPr>
          <w:p w14:paraId="4DC1733E"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300" w:type="dxa"/>
            <w:vMerge/>
            <w:tcBorders>
              <w:top w:val="nil"/>
              <w:left w:val="single" w:sz="8" w:space="0" w:color="auto"/>
              <w:bottom w:val="single" w:sz="4" w:space="0" w:color="000000"/>
              <w:right w:val="single" w:sz="8" w:space="0" w:color="auto"/>
            </w:tcBorders>
            <w:vAlign w:val="center"/>
            <w:hideMark/>
          </w:tcPr>
          <w:p w14:paraId="116EFA5A"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799" w:type="dxa"/>
            <w:tcBorders>
              <w:top w:val="nil"/>
              <w:left w:val="nil"/>
              <w:bottom w:val="single" w:sz="4" w:space="0" w:color="auto"/>
              <w:right w:val="nil"/>
            </w:tcBorders>
            <w:shd w:val="clear" w:color="auto" w:fill="FFFF99"/>
            <w:hideMark/>
          </w:tcPr>
          <w:p w14:paraId="69870697" w14:textId="3AAF5A29"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BAM</w:t>
            </w:r>
          </w:p>
        </w:tc>
        <w:tc>
          <w:tcPr>
            <w:tcW w:w="1080" w:type="dxa"/>
            <w:tcBorders>
              <w:top w:val="nil"/>
              <w:left w:val="single" w:sz="8" w:space="0" w:color="auto"/>
              <w:bottom w:val="single" w:sz="4" w:space="0" w:color="auto"/>
              <w:right w:val="single" w:sz="4" w:space="0" w:color="auto"/>
            </w:tcBorders>
            <w:shd w:val="clear" w:color="auto" w:fill="FFFF99"/>
            <w:vAlign w:val="bottom"/>
            <w:hideMark/>
          </w:tcPr>
          <w:p w14:paraId="7C14BC06"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30,070.89</w:t>
            </w:r>
          </w:p>
        </w:tc>
        <w:tc>
          <w:tcPr>
            <w:tcW w:w="1080" w:type="dxa"/>
            <w:tcBorders>
              <w:top w:val="nil"/>
              <w:left w:val="nil"/>
              <w:bottom w:val="single" w:sz="4" w:space="0" w:color="auto"/>
              <w:right w:val="single" w:sz="4" w:space="0" w:color="auto"/>
            </w:tcBorders>
            <w:shd w:val="clear" w:color="auto" w:fill="FFFF99"/>
            <w:vAlign w:val="bottom"/>
            <w:hideMark/>
          </w:tcPr>
          <w:p w14:paraId="427E24F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607.44</w:t>
            </w:r>
          </w:p>
        </w:tc>
        <w:tc>
          <w:tcPr>
            <w:tcW w:w="1080" w:type="dxa"/>
            <w:tcBorders>
              <w:top w:val="nil"/>
              <w:left w:val="nil"/>
              <w:bottom w:val="single" w:sz="4" w:space="0" w:color="auto"/>
              <w:right w:val="single" w:sz="8" w:space="0" w:color="auto"/>
            </w:tcBorders>
            <w:shd w:val="clear" w:color="auto" w:fill="FFFF99"/>
            <w:vAlign w:val="bottom"/>
            <w:hideMark/>
          </w:tcPr>
          <w:p w14:paraId="7C5D226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30,678.33</w:t>
            </w:r>
          </w:p>
        </w:tc>
        <w:tc>
          <w:tcPr>
            <w:tcW w:w="1214" w:type="dxa"/>
            <w:tcBorders>
              <w:top w:val="nil"/>
              <w:left w:val="nil"/>
              <w:bottom w:val="single" w:sz="4" w:space="0" w:color="auto"/>
              <w:right w:val="single" w:sz="4" w:space="0" w:color="auto"/>
            </w:tcBorders>
            <w:shd w:val="clear" w:color="auto" w:fill="FFFF99"/>
            <w:vAlign w:val="bottom"/>
            <w:hideMark/>
          </w:tcPr>
          <w:p w14:paraId="1BFE6B65"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946" w:type="dxa"/>
            <w:tcBorders>
              <w:top w:val="nil"/>
              <w:left w:val="nil"/>
              <w:bottom w:val="single" w:sz="4" w:space="0" w:color="auto"/>
              <w:right w:val="single" w:sz="4" w:space="0" w:color="auto"/>
            </w:tcBorders>
            <w:shd w:val="clear" w:color="auto" w:fill="FFFF99"/>
            <w:vAlign w:val="bottom"/>
            <w:hideMark/>
          </w:tcPr>
          <w:p w14:paraId="0A6AB35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8" w:space="0" w:color="auto"/>
            </w:tcBorders>
            <w:shd w:val="clear" w:color="auto" w:fill="FFFF99"/>
            <w:vAlign w:val="bottom"/>
            <w:hideMark/>
          </w:tcPr>
          <w:p w14:paraId="3A700766"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4" w:space="0" w:color="auto"/>
            </w:tcBorders>
            <w:shd w:val="clear" w:color="auto" w:fill="FFFF99"/>
            <w:vAlign w:val="bottom"/>
            <w:hideMark/>
          </w:tcPr>
          <w:p w14:paraId="76D89D4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41" w:type="dxa"/>
            <w:tcBorders>
              <w:top w:val="nil"/>
              <w:left w:val="nil"/>
              <w:bottom w:val="single" w:sz="4" w:space="0" w:color="auto"/>
              <w:right w:val="single" w:sz="4" w:space="0" w:color="auto"/>
            </w:tcBorders>
            <w:shd w:val="clear" w:color="auto" w:fill="FFFF99"/>
            <w:vAlign w:val="bottom"/>
            <w:hideMark/>
          </w:tcPr>
          <w:p w14:paraId="6F15D89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119" w:type="dxa"/>
            <w:tcBorders>
              <w:top w:val="nil"/>
              <w:left w:val="nil"/>
              <w:bottom w:val="single" w:sz="4" w:space="0" w:color="auto"/>
              <w:right w:val="single" w:sz="8" w:space="0" w:color="auto"/>
            </w:tcBorders>
            <w:shd w:val="clear" w:color="auto" w:fill="FFFF99"/>
            <w:vAlign w:val="bottom"/>
            <w:hideMark/>
          </w:tcPr>
          <w:p w14:paraId="342252F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260" w:type="dxa"/>
            <w:tcBorders>
              <w:top w:val="nil"/>
              <w:left w:val="nil"/>
              <w:bottom w:val="single" w:sz="4" w:space="0" w:color="auto"/>
              <w:right w:val="single" w:sz="4" w:space="0" w:color="auto"/>
            </w:tcBorders>
            <w:shd w:val="clear" w:color="auto" w:fill="FFFF99"/>
            <w:vAlign w:val="bottom"/>
            <w:hideMark/>
          </w:tcPr>
          <w:p w14:paraId="23D4FC2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30,070.89</w:t>
            </w:r>
          </w:p>
        </w:tc>
        <w:tc>
          <w:tcPr>
            <w:tcW w:w="1080" w:type="dxa"/>
            <w:tcBorders>
              <w:top w:val="nil"/>
              <w:left w:val="nil"/>
              <w:bottom w:val="single" w:sz="4" w:space="0" w:color="auto"/>
              <w:right w:val="single" w:sz="4" w:space="0" w:color="auto"/>
            </w:tcBorders>
            <w:shd w:val="clear" w:color="auto" w:fill="FFFF99"/>
            <w:vAlign w:val="bottom"/>
            <w:hideMark/>
          </w:tcPr>
          <w:p w14:paraId="3CD9859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607.44</w:t>
            </w:r>
          </w:p>
        </w:tc>
        <w:tc>
          <w:tcPr>
            <w:tcW w:w="1289" w:type="dxa"/>
            <w:tcBorders>
              <w:top w:val="nil"/>
              <w:left w:val="nil"/>
              <w:bottom w:val="single" w:sz="4" w:space="0" w:color="auto"/>
              <w:right w:val="single" w:sz="8" w:space="0" w:color="auto"/>
            </w:tcBorders>
            <w:shd w:val="clear" w:color="auto" w:fill="FFFF99"/>
            <w:vAlign w:val="bottom"/>
            <w:hideMark/>
          </w:tcPr>
          <w:p w14:paraId="7FE782AA"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30,678.33</w:t>
            </w:r>
          </w:p>
        </w:tc>
      </w:tr>
      <w:tr w:rsidR="00EA0FD7" w:rsidRPr="00EA0FD7" w14:paraId="7927C185" w14:textId="77777777" w:rsidTr="00EA0FD7">
        <w:trPr>
          <w:trHeight w:val="1063"/>
        </w:trPr>
        <w:tc>
          <w:tcPr>
            <w:tcW w:w="445" w:type="dxa"/>
            <w:vMerge w:val="restart"/>
            <w:tcBorders>
              <w:top w:val="nil"/>
              <w:left w:val="single" w:sz="8" w:space="0" w:color="auto"/>
              <w:bottom w:val="single" w:sz="4" w:space="0" w:color="000000"/>
              <w:right w:val="nil"/>
            </w:tcBorders>
            <w:noWrap/>
            <w:vAlign w:val="center"/>
            <w:hideMark/>
          </w:tcPr>
          <w:p w14:paraId="05E8FEA3" w14:textId="4807D9B7"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9</w:t>
            </w:r>
            <w:r w:rsidR="00752F04">
              <w:rPr>
                <w:rFonts w:ascii="Arial" w:eastAsia="Times New Roman" w:hAnsi="Arial" w:cs="Arial"/>
                <w:sz w:val="13"/>
                <w:szCs w:val="13"/>
                <w:lang w:val="sr-Cyrl-RS"/>
              </w:rPr>
              <w:t>.</w:t>
            </w:r>
          </w:p>
        </w:tc>
        <w:tc>
          <w:tcPr>
            <w:tcW w:w="1550" w:type="dxa"/>
            <w:vMerge w:val="restart"/>
            <w:tcBorders>
              <w:top w:val="nil"/>
              <w:left w:val="single" w:sz="8" w:space="0" w:color="auto"/>
              <w:bottom w:val="single" w:sz="4" w:space="0" w:color="000000"/>
              <w:right w:val="single" w:sz="8" w:space="0" w:color="auto"/>
            </w:tcBorders>
            <w:shd w:val="clear" w:color="auto" w:fill="FFFF99"/>
            <w:vAlign w:val="center"/>
            <w:hideMark/>
          </w:tcPr>
          <w:p w14:paraId="567D554E" w14:textId="0DF53B50"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 xml:space="preserve">ОБНОВА СТАМБЕНОГ </w:t>
            </w:r>
            <w:r w:rsidRPr="00EA0FD7">
              <w:rPr>
                <w:rFonts w:ascii="Arial" w:eastAsia="Times New Roman" w:hAnsi="Arial" w:cs="Arial"/>
                <w:sz w:val="13"/>
                <w:szCs w:val="13"/>
                <w:lang w:val="sr-Cyrl-RS"/>
              </w:rPr>
              <w:br/>
              <w:t>ФОНДА ИЗБЈЕГЛИХ И РАСЕЉЕНИХ ЛИЦА У Б</w:t>
            </w:r>
            <w:r w:rsidR="00752F04">
              <w:rPr>
                <w:rFonts w:ascii="Arial" w:eastAsia="Times New Roman" w:hAnsi="Arial" w:cs="Arial"/>
                <w:sz w:val="13"/>
                <w:szCs w:val="13"/>
                <w:lang w:val="sr-Cyrl-RS"/>
              </w:rPr>
              <w:t>и</w:t>
            </w:r>
            <w:r w:rsidRPr="00EA0FD7">
              <w:rPr>
                <w:rFonts w:ascii="Arial" w:eastAsia="Times New Roman" w:hAnsi="Arial" w:cs="Arial"/>
                <w:sz w:val="13"/>
                <w:szCs w:val="13"/>
                <w:lang w:val="sr-Cyrl-RS"/>
              </w:rPr>
              <w:t xml:space="preserve">Х </w:t>
            </w:r>
            <w:r w:rsidRPr="00EA0FD7">
              <w:rPr>
                <w:rFonts w:ascii="Arial" w:eastAsia="Times New Roman" w:hAnsi="Arial" w:cs="Arial"/>
                <w:sz w:val="13"/>
                <w:szCs w:val="13"/>
                <w:lang w:val="sr-Cyrl-RS"/>
              </w:rPr>
              <w:br/>
              <w:t xml:space="preserve">(ЦЕБ </w:t>
            </w:r>
            <w:r w:rsidR="00752F04">
              <w:rPr>
                <w:rFonts w:ascii="Arial" w:eastAsia="Times New Roman" w:hAnsi="Arial" w:cs="Arial"/>
                <w:sz w:val="13"/>
                <w:szCs w:val="13"/>
                <w:lang w:val="sr-Cyrl-RS"/>
              </w:rPr>
              <w:t>–</w:t>
            </w:r>
            <w:r w:rsidRPr="00EA0FD7">
              <w:rPr>
                <w:rFonts w:ascii="Arial" w:eastAsia="Times New Roman" w:hAnsi="Arial" w:cs="Arial"/>
                <w:sz w:val="13"/>
                <w:szCs w:val="13"/>
                <w:lang w:val="sr-Cyrl-RS"/>
              </w:rPr>
              <w:t xml:space="preserve"> </w:t>
            </w:r>
            <w:r w:rsidR="00752F04">
              <w:rPr>
                <w:rFonts w:ascii="Arial" w:eastAsia="Times New Roman" w:hAnsi="Arial" w:cs="Arial"/>
                <w:sz w:val="13"/>
                <w:szCs w:val="13"/>
              </w:rPr>
              <w:t xml:space="preserve">IV </w:t>
            </w:r>
            <w:r w:rsidRPr="00EA0FD7">
              <w:rPr>
                <w:rFonts w:ascii="Arial" w:eastAsia="Times New Roman" w:hAnsi="Arial" w:cs="Arial"/>
                <w:sz w:val="13"/>
                <w:szCs w:val="13"/>
                <w:lang w:val="sr-Cyrl-RS"/>
              </w:rPr>
              <w:t>транша)</w:t>
            </w:r>
            <w:r w:rsidRPr="00EA0FD7">
              <w:rPr>
                <w:rFonts w:ascii="Arial" w:eastAsia="Times New Roman" w:hAnsi="Arial" w:cs="Arial"/>
                <w:sz w:val="13"/>
                <w:szCs w:val="13"/>
                <w:lang w:val="sr-Cyrl-RS"/>
              </w:rPr>
              <w:br/>
              <w:t xml:space="preserve">- Кредит се отплаћује путем ЦЕБ Развојне банке </w:t>
            </w:r>
            <w:r w:rsidR="00752F04">
              <w:rPr>
                <w:rFonts w:ascii="Arial" w:eastAsia="Times New Roman" w:hAnsi="Arial" w:cs="Arial"/>
                <w:sz w:val="13"/>
                <w:szCs w:val="13"/>
                <w:lang w:val="sr-Cyrl-RS"/>
              </w:rPr>
              <w:t>Савјета</w:t>
            </w:r>
            <w:r w:rsidRPr="00EA0FD7">
              <w:rPr>
                <w:rFonts w:ascii="Arial" w:eastAsia="Times New Roman" w:hAnsi="Arial" w:cs="Arial"/>
                <w:sz w:val="13"/>
                <w:szCs w:val="13"/>
                <w:lang w:val="sr-Cyrl-RS"/>
              </w:rPr>
              <w:t xml:space="preserve"> Европе</w:t>
            </w:r>
          </w:p>
        </w:tc>
        <w:tc>
          <w:tcPr>
            <w:tcW w:w="799" w:type="dxa"/>
            <w:tcBorders>
              <w:top w:val="nil"/>
              <w:left w:val="nil"/>
              <w:bottom w:val="single" w:sz="4" w:space="0" w:color="auto"/>
              <w:right w:val="nil"/>
            </w:tcBorders>
            <w:hideMark/>
          </w:tcPr>
          <w:p w14:paraId="213E83FA" w14:textId="6EEB5B86"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EUR</w:t>
            </w:r>
          </w:p>
        </w:tc>
        <w:tc>
          <w:tcPr>
            <w:tcW w:w="1080" w:type="dxa"/>
            <w:tcBorders>
              <w:top w:val="nil"/>
              <w:left w:val="single" w:sz="8" w:space="0" w:color="auto"/>
              <w:bottom w:val="single" w:sz="4" w:space="0" w:color="auto"/>
              <w:right w:val="single" w:sz="4" w:space="0" w:color="auto"/>
            </w:tcBorders>
            <w:vAlign w:val="bottom"/>
            <w:hideMark/>
          </w:tcPr>
          <w:p w14:paraId="7659E436"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2,400.00</w:t>
            </w:r>
          </w:p>
        </w:tc>
        <w:tc>
          <w:tcPr>
            <w:tcW w:w="1080" w:type="dxa"/>
            <w:tcBorders>
              <w:top w:val="nil"/>
              <w:left w:val="nil"/>
              <w:bottom w:val="single" w:sz="4" w:space="0" w:color="auto"/>
              <w:right w:val="single" w:sz="4" w:space="0" w:color="auto"/>
            </w:tcBorders>
            <w:vAlign w:val="bottom"/>
            <w:hideMark/>
          </w:tcPr>
          <w:p w14:paraId="7194D60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90.36</w:t>
            </w:r>
          </w:p>
        </w:tc>
        <w:tc>
          <w:tcPr>
            <w:tcW w:w="1080" w:type="dxa"/>
            <w:tcBorders>
              <w:top w:val="nil"/>
              <w:left w:val="nil"/>
              <w:bottom w:val="single" w:sz="4" w:space="0" w:color="auto"/>
              <w:right w:val="single" w:sz="8" w:space="0" w:color="auto"/>
            </w:tcBorders>
            <w:vAlign w:val="bottom"/>
            <w:hideMark/>
          </w:tcPr>
          <w:p w14:paraId="75E32E9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2,490.36</w:t>
            </w:r>
          </w:p>
        </w:tc>
        <w:tc>
          <w:tcPr>
            <w:tcW w:w="1214" w:type="dxa"/>
            <w:tcBorders>
              <w:top w:val="nil"/>
              <w:left w:val="nil"/>
              <w:bottom w:val="single" w:sz="4" w:space="0" w:color="auto"/>
              <w:right w:val="single" w:sz="4" w:space="0" w:color="auto"/>
            </w:tcBorders>
            <w:vAlign w:val="bottom"/>
            <w:hideMark/>
          </w:tcPr>
          <w:p w14:paraId="277F60A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2,400.00</w:t>
            </w:r>
          </w:p>
        </w:tc>
        <w:tc>
          <w:tcPr>
            <w:tcW w:w="946" w:type="dxa"/>
            <w:tcBorders>
              <w:top w:val="nil"/>
              <w:left w:val="nil"/>
              <w:bottom w:val="single" w:sz="4" w:space="0" w:color="auto"/>
              <w:right w:val="single" w:sz="4" w:space="0" w:color="auto"/>
            </w:tcBorders>
            <w:vAlign w:val="bottom"/>
            <w:hideMark/>
          </w:tcPr>
          <w:p w14:paraId="5CAB9BA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30.12</w:t>
            </w:r>
          </w:p>
        </w:tc>
        <w:tc>
          <w:tcPr>
            <w:tcW w:w="1080" w:type="dxa"/>
            <w:tcBorders>
              <w:top w:val="nil"/>
              <w:left w:val="nil"/>
              <w:bottom w:val="single" w:sz="4" w:space="0" w:color="auto"/>
              <w:right w:val="single" w:sz="8" w:space="0" w:color="auto"/>
            </w:tcBorders>
            <w:vAlign w:val="bottom"/>
            <w:hideMark/>
          </w:tcPr>
          <w:p w14:paraId="3E7ECC8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2,430.12</w:t>
            </w:r>
          </w:p>
        </w:tc>
        <w:tc>
          <w:tcPr>
            <w:tcW w:w="1080" w:type="dxa"/>
            <w:tcBorders>
              <w:top w:val="nil"/>
              <w:left w:val="nil"/>
              <w:bottom w:val="single" w:sz="4" w:space="0" w:color="auto"/>
              <w:right w:val="single" w:sz="4" w:space="0" w:color="auto"/>
            </w:tcBorders>
            <w:vAlign w:val="bottom"/>
            <w:hideMark/>
          </w:tcPr>
          <w:p w14:paraId="21792AB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41" w:type="dxa"/>
            <w:tcBorders>
              <w:top w:val="nil"/>
              <w:left w:val="nil"/>
              <w:bottom w:val="single" w:sz="4" w:space="0" w:color="auto"/>
              <w:right w:val="single" w:sz="4" w:space="0" w:color="auto"/>
            </w:tcBorders>
            <w:vAlign w:val="bottom"/>
            <w:hideMark/>
          </w:tcPr>
          <w:p w14:paraId="40696A61"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119" w:type="dxa"/>
            <w:tcBorders>
              <w:top w:val="nil"/>
              <w:left w:val="nil"/>
              <w:bottom w:val="single" w:sz="4" w:space="0" w:color="auto"/>
              <w:right w:val="single" w:sz="8" w:space="0" w:color="auto"/>
            </w:tcBorders>
            <w:vAlign w:val="bottom"/>
            <w:hideMark/>
          </w:tcPr>
          <w:p w14:paraId="2722DD4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260" w:type="dxa"/>
            <w:tcBorders>
              <w:top w:val="nil"/>
              <w:left w:val="nil"/>
              <w:bottom w:val="single" w:sz="4" w:space="0" w:color="auto"/>
              <w:right w:val="single" w:sz="4" w:space="0" w:color="auto"/>
            </w:tcBorders>
            <w:vAlign w:val="bottom"/>
            <w:hideMark/>
          </w:tcPr>
          <w:p w14:paraId="7F900F6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4,800.00</w:t>
            </w:r>
          </w:p>
        </w:tc>
        <w:tc>
          <w:tcPr>
            <w:tcW w:w="1080" w:type="dxa"/>
            <w:tcBorders>
              <w:top w:val="nil"/>
              <w:left w:val="nil"/>
              <w:bottom w:val="single" w:sz="4" w:space="0" w:color="auto"/>
              <w:right w:val="single" w:sz="4" w:space="0" w:color="auto"/>
            </w:tcBorders>
            <w:vAlign w:val="bottom"/>
            <w:hideMark/>
          </w:tcPr>
          <w:p w14:paraId="54AB28F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120.48</w:t>
            </w:r>
          </w:p>
        </w:tc>
        <w:tc>
          <w:tcPr>
            <w:tcW w:w="1289" w:type="dxa"/>
            <w:tcBorders>
              <w:top w:val="nil"/>
              <w:left w:val="nil"/>
              <w:bottom w:val="single" w:sz="4" w:space="0" w:color="auto"/>
              <w:right w:val="single" w:sz="8" w:space="0" w:color="auto"/>
            </w:tcBorders>
            <w:vAlign w:val="bottom"/>
            <w:hideMark/>
          </w:tcPr>
          <w:p w14:paraId="454EBFFA"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4,920.48</w:t>
            </w:r>
          </w:p>
        </w:tc>
      </w:tr>
      <w:tr w:rsidR="00EA0FD7" w:rsidRPr="00AE5455" w14:paraId="5606CA7D" w14:textId="77777777" w:rsidTr="00EA0FD7">
        <w:trPr>
          <w:trHeight w:val="892"/>
        </w:trPr>
        <w:tc>
          <w:tcPr>
            <w:tcW w:w="300" w:type="dxa"/>
            <w:vMerge/>
            <w:tcBorders>
              <w:top w:val="nil"/>
              <w:left w:val="single" w:sz="8" w:space="0" w:color="auto"/>
              <w:bottom w:val="single" w:sz="4" w:space="0" w:color="000000"/>
              <w:right w:val="nil"/>
            </w:tcBorders>
            <w:vAlign w:val="center"/>
            <w:hideMark/>
          </w:tcPr>
          <w:p w14:paraId="0537F425"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300" w:type="dxa"/>
            <w:vMerge/>
            <w:tcBorders>
              <w:top w:val="nil"/>
              <w:left w:val="single" w:sz="8" w:space="0" w:color="auto"/>
              <w:bottom w:val="single" w:sz="4" w:space="0" w:color="000000"/>
              <w:right w:val="single" w:sz="8" w:space="0" w:color="auto"/>
            </w:tcBorders>
            <w:vAlign w:val="center"/>
            <w:hideMark/>
          </w:tcPr>
          <w:p w14:paraId="4E9DE76A"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799" w:type="dxa"/>
            <w:tcBorders>
              <w:top w:val="nil"/>
              <w:left w:val="nil"/>
              <w:bottom w:val="single" w:sz="4" w:space="0" w:color="auto"/>
              <w:right w:val="nil"/>
            </w:tcBorders>
            <w:shd w:val="clear" w:color="auto" w:fill="FFFF99"/>
            <w:hideMark/>
          </w:tcPr>
          <w:p w14:paraId="1AC39B49" w14:textId="731C3FDF"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BAM</w:t>
            </w:r>
          </w:p>
        </w:tc>
        <w:tc>
          <w:tcPr>
            <w:tcW w:w="1080" w:type="dxa"/>
            <w:tcBorders>
              <w:top w:val="nil"/>
              <w:left w:val="single" w:sz="8" w:space="0" w:color="auto"/>
              <w:bottom w:val="single" w:sz="4" w:space="0" w:color="auto"/>
              <w:right w:val="single" w:sz="4" w:space="0" w:color="auto"/>
            </w:tcBorders>
            <w:shd w:val="clear" w:color="auto" w:fill="FFFF99"/>
            <w:vAlign w:val="bottom"/>
            <w:hideMark/>
          </w:tcPr>
          <w:p w14:paraId="5D2907D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4,693.99</w:t>
            </w:r>
          </w:p>
        </w:tc>
        <w:tc>
          <w:tcPr>
            <w:tcW w:w="1080" w:type="dxa"/>
            <w:tcBorders>
              <w:top w:val="nil"/>
              <w:left w:val="nil"/>
              <w:bottom w:val="single" w:sz="4" w:space="0" w:color="auto"/>
              <w:right w:val="single" w:sz="4" w:space="0" w:color="auto"/>
            </w:tcBorders>
            <w:shd w:val="clear" w:color="auto" w:fill="FFFF99"/>
            <w:vAlign w:val="bottom"/>
            <w:hideMark/>
          </w:tcPr>
          <w:p w14:paraId="0A1E0E5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176.73</w:t>
            </w:r>
          </w:p>
        </w:tc>
        <w:tc>
          <w:tcPr>
            <w:tcW w:w="1080" w:type="dxa"/>
            <w:tcBorders>
              <w:top w:val="nil"/>
              <w:left w:val="nil"/>
              <w:bottom w:val="single" w:sz="4" w:space="0" w:color="auto"/>
              <w:right w:val="single" w:sz="8" w:space="0" w:color="auto"/>
            </w:tcBorders>
            <w:shd w:val="clear" w:color="auto" w:fill="FFFF99"/>
            <w:vAlign w:val="bottom"/>
            <w:hideMark/>
          </w:tcPr>
          <w:p w14:paraId="3E1997B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4,870.72</w:t>
            </w:r>
          </w:p>
        </w:tc>
        <w:tc>
          <w:tcPr>
            <w:tcW w:w="1214" w:type="dxa"/>
            <w:tcBorders>
              <w:top w:val="nil"/>
              <w:left w:val="nil"/>
              <w:bottom w:val="single" w:sz="4" w:space="0" w:color="auto"/>
              <w:right w:val="single" w:sz="4" w:space="0" w:color="auto"/>
            </w:tcBorders>
            <w:shd w:val="clear" w:color="auto" w:fill="FFFF99"/>
            <w:vAlign w:val="bottom"/>
            <w:hideMark/>
          </w:tcPr>
          <w:p w14:paraId="76DD4AF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4,693.99</w:t>
            </w:r>
          </w:p>
        </w:tc>
        <w:tc>
          <w:tcPr>
            <w:tcW w:w="946" w:type="dxa"/>
            <w:tcBorders>
              <w:top w:val="nil"/>
              <w:left w:val="nil"/>
              <w:bottom w:val="single" w:sz="4" w:space="0" w:color="auto"/>
              <w:right w:val="single" w:sz="4" w:space="0" w:color="auto"/>
            </w:tcBorders>
            <w:shd w:val="clear" w:color="auto" w:fill="FFFF99"/>
            <w:vAlign w:val="bottom"/>
            <w:hideMark/>
          </w:tcPr>
          <w:p w14:paraId="22912A7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58.91</w:t>
            </w:r>
          </w:p>
        </w:tc>
        <w:tc>
          <w:tcPr>
            <w:tcW w:w="1080" w:type="dxa"/>
            <w:tcBorders>
              <w:top w:val="nil"/>
              <w:left w:val="nil"/>
              <w:bottom w:val="single" w:sz="4" w:space="0" w:color="auto"/>
              <w:right w:val="single" w:sz="8" w:space="0" w:color="auto"/>
            </w:tcBorders>
            <w:shd w:val="clear" w:color="auto" w:fill="FFFF99"/>
            <w:vAlign w:val="bottom"/>
            <w:hideMark/>
          </w:tcPr>
          <w:p w14:paraId="3616D725"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4,752.90</w:t>
            </w:r>
          </w:p>
        </w:tc>
        <w:tc>
          <w:tcPr>
            <w:tcW w:w="1080" w:type="dxa"/>
            <w:tcBorders>
              <w:top w:val="nil"/>
              <w:left w:val="nil"/>
              <w:bottom w:val="single" w:sz="4" w:space="0" w:color="auto"/>
              <w:right w:val="single" w:sz="4" w:space="0" w:color="auto"/>
            </w:tcBorders>
            <w:shd w:val="clear" w:color="auto" w:fill="FFFF99"/>
            <w:vAlign w:val="bottom"/>
            <w:hideMark/>
          </w:tcPr>
          <w:p w14:paraId="25487DF6"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41" w:type="dxa"/>
            <w:tcBorders>
              <w:top w:val="nil"/>
              <w:left w:val="nil"/>
              <w:bottom w:val="single" w:sz="4" w:space="0" w:color="auto"/>
              <w:right w:val="single" w:sz="4" w:space="0" w:color="auto"/>
            </w:tcBorders>
            <w:shd w:val="clear" w:color="auto" w:fill="FFFF99"/>
            <w:vAlign w:val="bottom"/>
            <w:hideMark/>
          </w:tcPr>
          <w:p w14:paraId="6914FFD6"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119" w:type="dxa"/>
            <w:tcBorders>
              <w:top w:val="nil"/>
              <w:left w:val="nil"/>
              <w:bottom w:val="single" w:sz="4" w:space="0" w:color="auto"/>
              <w:right w:val="single" w:sz="8" w:space="0" w:color="auto"/>
            </w:tcBorders>
            <w:shd w:val="clear" w:color="auto" w:fill="FFFF99"/>
            <w:vAlign w:val="bottom"/>
            <w:hideMark/>
          </w:tcPr>
          <w:p w14:paraId="65A79AC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260" w:type="dxa"/>
            <w:tcBorders>
              <w:top w:val="nil"/>
              <w:left w:val="nil"/>
              <w:bottom w:val="single" w:sz="4" w:space="0" w:color="auto"/>
              <w:right w:val="single" w:sz="4" w:space="0" w:color="auto"/>
            </w:tcBorders>
            <w:shd w:val="clear" w:color="auto" w:fill="FFFF99"/>
            <w:vAlign w:val="bottom"/>
            <w:hideMark/>
          </w:tcPr>
          <w:p w14:paraId="69EA46B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9,387.98</w:t>
            </w:r>
          </w:p>
        </w:tc>
        <w:tc>
          <w:tcPr>
            <w:tcW w:w="1080" w:type="dxa"/>
            <w:tcBorders>
              <w:top w:val="nil"/>
              <w:left w:val="nil"/>
              <w:bottom w:val="single" w:sz="4" w:space="0" w:color="auto"/>
              <w:right w:val="single" w:sz="4" w:space="0" w:color="auto"/>
            </w:tcBorders>
            <w:shd w:val="clear" w:color="auto" w:fill="FFFF99"/>
            <w:vAlign w:val="bottom"/>
            <w:hideMark/>
          </w:tcPr>
          <w:p w14:paraId="5BA7ED0A"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235.64</w:t>
            </w:r>
          </w:p>
        </w:tc>
        <w:tc>
          <w:tcPr>
            <w:tcW w:w="1289" w:type="dxa"/>
            <w:tcBorders>
              <w:top w:val="nil"/>
              <w:left w:val="nil"/>
              <w:bottom w:val="single" w:sz="4" w:space="0" w:color="auto"/>
              <w:right w:val="single" w:sz="8" w:space="0" w:color="auto"/>
            </w:tcBorders>
            <w:shd w:val="clear" w:color="auto" w:fill="FFFF99"/>
            <w:vAlign w:val="bottom"/>
            <w:hideMark/>
          </w:tcPr>
          <w:p w14:paraId="543D7D8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9,623.62</w:t>
            </w:r>
          </w:p>
        </w:tc>
      </w:tr>
      <w:tr w:rsidR="00EA0FD7" w:rsidRPr="00EA0FD7" w14:paraId="61ECFFEA" w14:textId="77777777" w:rsidTr="00EA0FD7">
        <w:trPr>
          <w:trHeight w:val="1072"/>
        </w:trPr>
        <w:tc>
          <w:tcPr>
            <w:tcW w:w="445" w:type="dxa"/>
            <w:vMerge w:val="restart"/>
            <w:tcBorders>
              <w:top w:val="nil"/>
              <w:left w:val="single" w:sz="8" w:space="0" w:color="auto"/>
              <w:bottom w:val="single" w:sz="4" w:space="0" w:color="000000"/>
              <w:right w:val="nil"/>
            </w:tcBorders>
            <w:noWrap/>
            <w:vAlign w:val="center"/>
            <w:hideMark/>
          </w:tcPr>
          <w:p w14:paraId="5D92FAB2" w14:textId="04B9B120" w:rsidR="00EA0FD7" w:rsidRPr="00752F04" w:rsidRDefault="00EA0FD7" w:rsidP="00EA0FD7">
            <w:pPr>
              <w:spacing w:after="0" w:line="240" w:lineRule="auto"/>
              <w:jc w:val="center"/>
              <w:rPr>
                <w:rFonts w:ascii="Arial" w:eastAsia="Times New Roman" w:hAnsi="Arial" w:cs="Arial"/>
                <w:sz w:val="13"/>
                <w:szCs w:val="13"/>
              </w:rPr>
            </w:pPr>
            <w:r w:rsidRPr="00EA0FD7">
              <w:rPr>
                <w:rFonts w:ascii="Arial" w:eastAsia="Times New Roman" w:hAnsi="Arial" w:cs="Arial"/>
                <w:sz w:val="13"/>
                <w:szCs w:val="13"/>
                <w:lang w:val="sr-Cyrl-RS"/>
              </w:rPr>
              <w:lastRenderedPageBreak/>
              <w:t>10</w:t>
            </w:r>
            <w:r w:rsidR="00752F04">
              <w:rPr>
                <w:rFonts w:ascii="Arial" w:eastAsia="Times New Roman" w:hAnsi="Arial" w:cs="Arial"/>
                <w:sz w:val="13"/>
                <w:szCs w:val="13"/>
              </w:rPr>
              <w:t>.</w:t>
            </w:r>
          </w:p>
        </w:tc>
        <w:tc>
          <w:tcPr>
            <w:tcW w:w="1550" w:type="dxa"/>
            <w:vMerge w:val="restart"/>
            <w:tcBorders>
              <w:top w:val="nil"/>
              <w:left w:val="single" w:sz="8" w:space="0" w:color="auto"/>
              <w:bottom w:val="single" w:sz="4" w:space="0" w:color="000000"/>
              <w:right w:val="single" w:sz="8" w:space="0" w:color="auto"/>
            </w:tcBorders>
            <w:shd w:val="clear" w:color="auto" w:fill="FFFF99"/>
            <w:vAlign w:val="center"/>
            <w:hideMark/>
          </w:tcPr>
          <w:p w14:paraId="6AA85DF8" w14:textId="057DCD75"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 xml:space="preserve">ОБНОВА СТАМБЕНОГ </w:t>
            </w:r>
            <w:r w:rsidRPr="00EA0FD7">
              <w:rPr>
                <w:rFonts w:ascii="Arial" w:eastAsia="Times New Roman" w:hAnsi="Arial" w:cs="Arial"/>
                <w:sz w:val="13"/>
                <w:szCs w:val="13"/>
                <w:lang w:val="sr-Cyrl-RS"/>
              </w:rPr>
              <w:br/>
              <w:t>ФОНДА ИЗБЈЕГЛИХ И РАСЕЉЕНИХ ЛИЦА У Б</w:t>
            </w:r>
            <w:r w:rsidR="00752F04">
              <w:rPr>
                <w:rFonts w:ascii="Arial" w:eastAsia="Times New Roman" w:hAnsi="Arial" w:cs="Arial"/>
                <w:sz w:val="13"/>
                <w:szCs w:val="13"/>
                <w:lang w:val="sr-Cyrl-RS"/>
              </w:rPr>
              <w:t>и</w:t>
            </w:r>
            <w:r w:rsidRPr="00EA0FD7">
              <w:rPr>
                <w:rFonts w:ascii="Arial" w:eastAsia="Times New Roman" w:hAnsi="Arial" w:cs="Arial"/>
                <w:sz w:val="13"/>
                <w:szCs w:val="13"/>
                <w:lang w:val="sr-Cyrl-RS"/>
              </w:rPr>
              <w:t xml:space="preserve">Х </w:t>
            </w:r>
            <w:r w:rsidRPr="00EA0FD7">
              <w:rPr>
                <w:rFonts w:ascii="Arial" w:eastAsia="Times New Roman" w:hAnsi="Arial" w:cs="Arial"/>
                <w:sz w:val="13"/>
                <w:szCs w:val="13"/>
                <w:lang w:val="sr-Cyrl-RS"/>
              </w:rPr>
              <w:br/>
              <w:t xml:space="preserve">(ЦЕБ </w:t>
            </w:r>
            <w:r w:rsidR="00752F04">
              <w:rPr>
                <w:rFonts w:ascii="Arial" w:eastAsia="Times New Roman" w:hAnsi="Arial" w:cs="Arial"/>
                <w:sz w:val="13"/>
                <w:szCs w:val="13"/>
                <w:lang w:val="sr-Cyrl-RS"/>
              </w:rPr>
              <w:t>–</w:t>
            </w:r>
            <w:r w:rsidRPr="00EA0FD7">
              <w:rPr>
                <w:rFonts w:ascii="Arial" w:eastAsia="Times New Roman" w:hAnsi="Arial" w:cs="Arial"/>
                <w:sz w:val="13"/>
                <w:szCs w:val="13"/>
                <w:lang w:val="sr-Cyrl-RS"/>
              </w:rPr>
              <w:t xml:space="preserve"> </w:t>
            </w:r>
            <w:r w:rsidR="00752F04">
              <w:rPr>
                <w:rFonts w:ascii="Arial" w:eastAsia="Times New Roman" w:hAnsi="Arial" w:cs="Arial"/>
                <w:sz w:val="13"/>
                <w:szCs w:val="13"/>
              </w:rPr>
              <w:t>V</w:t>
            </w:r>
            <w:r w:rsidRPr="00EA0FD7">
              <w:rPr>
                <w:rFonts w:ascii="Arial" w:eastAsia="Times New Roman" w:hAnsi="Arial" w:cs="Arial"/>
                <w:sz w:val="13"/>
                <w:szCs w:val="13"/>
                <w:lang w:val="sr-Cyrl-RS"/>
              </w:rPr>
              <w:t xml:space="preserve"> транша)</w:t>
            </w:r>
            <w:r w:rsidRPr="00EA0FD7">
              <w:rPr>
                <w:rFonts w:ascii="Arial" w:eastAsia="Times New Roman" w:hAnsi="Arial" w:cs="Arial"/>
                <w:sz w:val="13"/>
                <w:szCs w:val="13"/>
                <w:lang w:val="sr-Cyrl-RS"/>
              </w:rPr>
              <w:br/>
              <w:t xml:space="preserve">- Кредит се отплаћује путем ЦЕБ Развојне банке </w:t>
            </w:r>
            <w:r w:rsidR="00752F04">
              <w:rPr>
                <w:rFonts w:ascii="Arial" w:eastAsia="Times New Roman" w:hAnsi="Arial" w:cs="Arial"/>
                <w:sz w:val="13"/>
                <w:szCs w:val="13"/>
                <w:lang w:val="sr-Cyrl-RS"/>
              </w:rPr>
              <w:t>Савјета</w:t>
            </w:r>
            <w:r w:rsidRPr="00EA0FD7">
              <w:rPr>
                <w:rFonts w:ascii="Arial" w:eastAsia="Times New Roman" w:hAnsi="Arial" w:cs="Arial"/>
                <w:sz w:val="13"/>
                <w:szCs w:val="13"/>
                <w:lang w:val="sr-Cyrl-RS"/>
              </w:rPr>
              <w:t xml:space="preserve"> Европе</w:t>
            </w:r>
          </w:p>
        </w:tc>
        <w:tc>
          <w:tcPr>
            <w:tcW w:w="799" w:type="dxa"/>
            <w:tcBorders>
              <w:top w:val="nil"/>
              <w:left w:val="nil"/>
              <w:bottom w:val="single" w:sz="4" w:space="0" w:color="auto"/>
              <w:right w:val="nil"/>
            </w:tcBorders>
            <w:hideMark/>
          </w:tcPr>
          <w:p w14:paraId="5829F518" w14:textId="32C4F2BD"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EUR</w:t>
            </w:r>
          </w:p>
        </w:tc>
        <w:tc>
          <w:tcPr>
            <w:tcW w:w="1080" w:type="dxa"/>
            <w:tcBorders>
              <w:top w:val="nil"/>
              <w:left w:val="single" w:sz="8" w:space="0" w:color="auto"/>
              <w:bottom w:val="single" w:sz="4" w:space="0" w:color="auto"/>
              <w:right w:val="single" w:sz="4" w:space="0" w:color="auto"/>
            </w:tcBorders>
            <w:vAlign w:val="bottom"/>
            <w:hideMark/>
          </w:tcPr>
          <w:p w14:paraId="5CAC792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12,975.00</w:t>
            </w:r>
          </w:p>
        </w:tc>
        <w:tc>
          <w:tcPr>
            <w:tcW w:w="1080" w:type="dxa"/>
            <w:tcBorders>
              <w:top w:val="nil"/>
              <w:left w:val="nil"/>
              <w:bottom w:val="single" w:sz="4" w:space="0" w:color="auto"/>
              <w:right w:val="single" w:sz="4" w:space="0" w:color="auto"/>
            </w:tcBorders>
            <w:vAlign w:val="bottom"/>
            <w:hideMark/>
          </w:tcPr>
          <w:p w14:paraId="5FB19CE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687.68</w:t>
            </w:r>
          </w:p>
        </w:tc>
        <w:tc>
          <w:tcPr>
            <w:tcW w:w="1080" w:type="dxa"/>
            <w:tcBorders>
              <w:top w:val="nil"/>
              <w:left w:val="nil"/>
              <w:bottom w:val="single" w:sz="4" w:space="0" w:color="auto"/>
              <w:right w:val="single" w:sz="8" w:space="0" w:color="auto"/>
            </w:tcBorders>
            <w:vAlign w:val="bottom"/>
            <w:hideMark/>
          </w:tcPr>
          <w:p w14:paraId="3BDDE0F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13,662.68</w:t>
            </w:r>
          </w:p>
        </w:tc>
        <w:tc>
          <w:tcPr>
            <w:tcW w:w="1214" w:type="dxa"/>
            <w:tcBorders>
              <w:top w:val="nil"/>
              <w:left w:val="nil"/>
              <w:bottom w:val="single" w:sz="4" w:space="0" w:color="auto"/>
              <w:right w:val="single" w:sz="4" w:space="0" w:color="auto"/>
            </w:tcBorders>
            <w:vAlign w:val="bottom"/>
            <w:hideMark/>
          </w:tcPr>
          <w:p w14:paraId="4A0BB49A"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12,975.00</w:t>
            </w:r>
          </w:p>
        </w:tc>
        <w:tc>
          <w:tcPr>
            <w:tcW w:w="946" w:type="dxa"/>
            <w:tcBorders>
              <w:top w:val="nil"/>
              <w:left w:val="nil"/>
              <w:bottom w:val="single" w:sz="4" w:space="0" w:color="auto"/>
              <w:right w:val="single" w:sz="4" w:space="0" w:color="auto"/>
            </w:tcBorders>
            <w:vAlign w:val="bottom"/>
            <w:hideMark/>
          </w:tcPr>
          <w:p w14:paraId="3E1C481E"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343.84</w:t>
            </w:r>
          </w:p>
        </w:tc>
        <w:tc>
          <w:tcPr>
            <w:tcW w:w="1080" w:type="dxa"/>
            <w:tcBorders>
              <w:top w:val="nil"/>
              <w:left w:val="nil"/>
              <w:bottom w:val="single" w:sz="4" w:space="0" w:color="auto"/>
              <w:right w:val="single" w:sz="8" w:space="0" w:color="auto"/>
            </w:tcBorders>
            <w:vAlign w:val="bottom"/>
            <w:hideMark/>
          </w:tcPr>
          <w:p w14:paraId="5E078E5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13,318.84</w:t>
            </w:r>
          </w:p>
        </w:tc>
        <w:tc>
          <w:tcPr>
            <w:tcW w:w="1080" w:type="dxa"/>
            <w:tcBorders>
              <w:top w:val="nil"/>
              <w:left w:val="nil"/>
              <w:bottom w:val="single" w:sz="4" w:space="0" w:color="auto"/>
              <w:right w:val="single" w:sz="4" w:space="0" w:color="auto"/>
            </w:tcBorders>
            <w:vAlign w:val="bottom"/>
            <w:hideMark/>
          </w:tcPr>
          <w:p w14:paraId="62EDCCC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41" w:type="dxa"/>
            <w:tcBorders>
              <w:top w:val="nil"/>
              <w:left w:val="nil"/>
              <w:bottom w:val="single" w:sz="4" w:space="0" w:color="auto"/>
              <w:right w:val="single" w:sz="4" w:space="0" w:color="auto"/>
            </w:tcBorders>
            <w:vAlign w:val="bottom"/>
            <w:hideMark/>
          </w:tcPr>
          <w:p w14:paraId="57D6725E"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119" w:type="dxa"/>
            <w:tcBorders>
              <w:top w:val="nil"/>
              <w:left w:val="nil"/>
              <w:bottom w:val="single" w:sz="4" w:space="0" w:color="auto"/>
              <w:right w:val="single" w:sz="8" w:space="0" w:color="auto"/>
            </w:tcBorders>
            <w:vAlign w:val="bottom"/>
            <w:hideMark/>
          </w:tcPr>
          <w:p w14:paraId="58EE6C3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260" w:type="dxa"/>
            <w:tcBorders>
              <w:top w:val="nil"/>
              <w:left w:val="nil"/>
              <w:bottom w:val="single" w:sz="4" w:space="0" w:color="auto"/>
              <w:right w:val="single" w:sz="4" w:space="0" w:color="auto"/>
            </w:tcBorders>
            <w:vAlign w:val="bottom"/>
            <w:hideMark/>
          </w:tcPr>
          <w:p w14:paraId="4DB9912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25,950.00</w:t>
            </w:r>
          </w:p>
        </w:tc>
        <w:tc>
          <w:tcPr>
            <w:tcW w:w="1080" w:type="dxa"/>
            <w:tcBorders>
              <w:top w:val="nil"/>
              <w:left w:val="nil"/>
              <w:bottom w:val="single" w:sz="4" w:space="0" w:color="auto"/>
              <w:right w:val="single" w:sz="4" w:space="0" w:color="auto"/>
            </w:tcBorders>
            <w:vAlign w:val="bottom"/>
            <w:hideMark/>
          </w:tcPr>
          <w:p w14:paraId="630280F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1,031.52</w:t>
            </w:r>
          </w:p>
        </w:tc>
        <w:tc>
          <w:tcPr>
            <w:tcW w:w="1289" w:type="dxa"/>
            <w:tcBorders>
              <w:top w:val="nil"/>
              <w:left w:val="nil"/>
              <w:bottom w:val="single" w:sz="4" w:space="0" w:color="auto"/>
              <w:right w:val="single" w:sz="8" w:space="0" w:color="auto"/>
            </w:tcBorders>
            <w:vAlign w:val="bottom"/>
            <w:hideMark/>
          </w:tcPr>
          <w:p w14:paraId="7219C6D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26,981.52</w:t>
            </w:r>
          </w:p>
        </w:tc>
      </w:tr>
      <w:tr w:rsidR="00EA0FD7" w:rsidRPr="00AE5455" w14:paraId="4D7CABB5" w14:textId="77777777" w:rsidTr="00EA0FD7">
        <w:trPr>
          <w:trHeight w:val="892"/>
        </w:trPr>
        <w:tc>
          <w:tcPr>
            <w:tcW w:w="300" w:type="dxa"/>
            <w:vMerge/>
            <w:tcBorders>
              <w:top w:val="nil"/>
              <w:left w:val="single" w:sz="8" w:space="0" w:color="auto"/>
              <w:bottom w:val="single" w:sz="4" w:space="0" w:color="000000"/>
              <w:right w:val="nil"/>
            </w:tcBorders>
            <w:vAlign w:val="center"/>
            <w:hideMark/>
          </w:tcPr>
          <w:p w14:paraId="5C2292A4"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300" w:type="dxa"/>
            <w:vMerge/>
            <w:tcBorders>
              <w:top w:val="nil"/>
              <w:left w:val="single" w:sz="8" w:space="0" w:color="auto"/>
              <w:bottom w:val="single" w:sz="4" w:space="0" w:color="000000"/>
              <w:right w:val="single" w:sz="8" w:space="0" w:color="auto"/>
            </w:tcBorders>
            <w:vAlign w:val="center"/>
            <w:hideMark/>
          </w:tcPr>
          <w:p w14:paraId="3560873A"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799" w:type="dxa"/>
            <w:tcBorders>
              <w:top w:val="nil"/>
              <w:left w:val="nil"/>
              <w:bottom w:val="single" w:sz="4" w:space="0" w:color="auto"/>
              <w:right w:val="nil"/>
            </w:tcBorders>
            <w:shd w:val="clear" w:color="auto" w:fill="FFFF99"/>
            <w:hideMark/>
          </w:tcPr>
          <w:p w14:paraId="53309A41" w14:textId="17629552"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BAM</w:t>
            </w:r>
          </w:p>
        </w:tc>
        <w:tc>
          <w:tcPr>
            <w:tcW w:w="1080" w:type="dxa"/>
            <w:tcBorders>
              <w:top w:val="nil"/>
              <w:left w:val="single" w:sz="8" w:space="0" w:color="auto"/>
              <w:bottom w:val="single" w:sz="4" w:space="0" w:color="auto"/>
              <w:right w:val="single" w:sz="4" w:space="0" w:color="auto"/>
            </w:tcBorders>
            <w:shd w:val="clear" w:color="auto" w:fill="FFFF99"/>
            <w:vAlign w:val="bottom"/>
            <w:hideMark/>
          </w:tcPr>
          <w:p w14:paraId="0A9A95D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25,376.89</w:t>
            </w:r>
          </w:p>
        </w:tc>
        <w:tc>
          <w:tcPr>
            <w:tcW w:w="1080" w:type="dxa"/>
            <w:tcBorders>
              <w:top w:val="nil"/>
              <w:left w:val="nil"/>
              <w:bottom w:val="single" w:sz="4" w:space="0" w:color="auto"/>
              <w:right w:val="single" w:sz="4" w:space="0" w:color="auto"/>
            </w:tcBorders>
            <w:shd w:val="clear" w:color="auto" w:fill="FFFF99"/>
            <w:vAlign w:val="bottom"/>
            <w:hideMark/>
          </w:tcPr>
          <w:p w14:paraId="6772437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1,344.99</w:t>
            </w:r>
          </w:p>
        </w:tc>
        <w:tc>
          <w:tcPr>
            <w:tcW w:w="1080" w:type="dxa"/>
            <w:tcBorders>
              <w:top w:val="nil"/>
              <w:left w:val="nil"/>
              <w:bottom w:val="single" w:sz="4" w:space="0" w:color="auto"/>
              <w:right w:val="single" w:sz="8" w:space="0" w:color="auto"/>
            </w:tcBorders>
            <w:shd w:val="clear" w:color="auto" w:fill="FFFF99"/>
            <w:vAlign w:val="bottom"/>
            <w:hideMark/>
          </w:tcPr>
          <w:p w14:paraId="25935CEA"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26,721.88</w:t>
            </w:r>
          </w:p>
        </w:tc>
        <w:tc>
          <w:tcPr>
            <w:tcW w:w="1214" w:type="dxa"/>
            <w:tcBorders>
              <w:top w:val="nil"/>
              <w:left w:val="nil"/>
              <w:bottom w:val="single" w:sz="4" w:space="0" w:color="auto"/>
              <w:right w:val="single" w:sz="4" w:space="0" w:color="auto"/>
            </w:tcBorders>
            <w:shd w:val="clear" w:color="auto" w:fill="FFFF99"/>
            <w:vAlign w:val="bottom"/>
            <w:hideMark/>
          </w:tcPr>
          <w:p w14:paraId="21603C5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25,376.89</w:t>
            </w:r>
          </w:p>
        </w:tc>
        <w:tc>
          <w:tcPr>
            <w:tcW w:w="946" w:type="dxa"/>
            <w:tcBorders>
              <w:top w:val="nil"/>
              <w:left w:val="nil"/>
              <w:bottom w:val="single" w:sz="4" w:space="0" w:color="auto"/>
              <w:right w:val="single" w:sz="4" w:space="0" w:color="auto"/>
            </w:tcBorders>
            <w:shd w:val="clear" w:color="auto" w:fill="FFFF99"/>
            <w:vAlign w:val="bottom"/>
            <w:hideMark/>
          </w:tcPr>
          <w:p w14:paraId="03F7024A"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672.49</w:t>
            </w:r>
          </w:p>
        </w:tc>
        <w:tc>
          <w:tcPr>
            <w:tcW w:w="1080" w:type="dxa"/>
            <w:tcBorders>
              <w:top w:val="nil"/>
              <w:left w:val="nil"/>
              <w:bottom w:val="single" w:sz="4" w:space="0" w:color="auto"/>
              <w:right w:val="single" w:sz="8" w:space="0" w:color="auto"/>
            </w:tcBorders>
            <w:shd w:val="clear" w:color="auto" w:fill="FFFF99"/>
            <w:vAlign w:val="bottom"/>
            <w:hideMark/>
          </w:tcPr>
          <w:p w14:paraId="361F84F5"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26,049.38</w:t>
            </w:r>
          </w:p>
        </w:tc>
        <w:tc>
          <w:tcPr>
            <w:tcW w:w="1080" w:type="dxa"/>
            <w:tcBorders>
              <w:top w:val="nil"/>
              <w:left w:val="nil"/>
              <w:bottom w:val="single" w:sz="4" w:space="0" w:color="auto"/>
              <w:right w:val="single" w:sz="4" w:space="0" w:color="auto"/>
            </w:tcBorders>
            <w:shd w:val="clear" w:color="auto" w:fill="FFFF99"/>
            <w:vAlign w:val="bottom"/>
            <w:hideMark/>
          </w:tcPr>
          <w:p w14:paraId="723C8E0E"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41" w:type="dxa"/>
            <w:tcBorders>
              <w:top w:val="nil"/>
              <w:left w:val="nil"/>
              <w:bottom w:val="single" w:sz="4" w:space="0" w:color="auto"/>
              <w:right w:val="single" w:sz="4" w:space="0" w:color="auto"/>
            </w:tcBorders>
            <w:shd w:val="clear" w:color="auto" w:fill="FFFF99"/>
            <w:vAlign w:val="bottom"/>
            <w:hideMark/>
          </w:tcPr>
          <w:p w14:paraId="1822B43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119" w:type="dxa"/>
            <w:tcBorders>
              <w:top w:val="nil"/>
              <w:left w:val="nil"/>
              <w:bottom w:val="single" w:sz="4" w:space="0" w:color="auto"/>
              <w:right w:val="single" w:sz="8" w:space="0" w:color="auto"/>
            </w:tcBorders>
            <w:shd w:val="clear" w:color="auto" w:fill="FFFF99"/>
            <w:vAlign w:val="bottom"/>
            <w:hideMark/>
          </w:tcPr>
          <w:p w14:paraId="0669331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260" w:type="dxa"/>
            <w:tcBorders>
              <w:top w:val="nil"/>
              <w:left w:val="nil"/>
              <w:bottom w:val="single" w:sz="4" w:space="0" w:color="auto"/>
              <w:right w:val="single" w:sz="4" w:space="0" w:color="auto"/>
            </w:tcBorders>
            <w:shd w:val="clear" w:color="auto" w:fill="FFFF99"/>
            <w:vAlign w:val="bottom"/>
            <w:hideMark/>
          </w:tcPr>
          <w:p w14:paraId="0CD9FCA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50,753.78</w:t>
            </w:r>
          </w:p>
        </w:tc>
        <w:tc>
          <w:tcPr>
            <w:tcW w:w="1080" w:type="dxa"/>
            <w:tcBorders>
              <w:top w:val="nil"/>
              <w:left w:val="nil"/>
              <w:bottom w:val="single" w:sz="4" w:space="0" w:color="auto"/>
              <w:right w:val="single" w:sz="4" w:space="0" w:color="auto"/>
            </w:tcBorders>
            <w:shd w:val="clear" w:color="auto" w:fill="FFFF99"/>
            <w:vAlign w:val="bottom"/>
            <w:hideMark/>
          </w:tcPr>
          <w:p w14:paraId="21BD8F5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2,017.48</w:t>
            </w:r>
          </w:p>
        </w:tc>
        <w:tc>
          <w:tcPr>
            <w:tcW w:w="1289" w:type="dxa"/>
            <w:tcBorders>
              <w:top w:val="nil"/>
              <w:left w:val="nil"/>
              <w:bottom w:val="single" w:sz="4" w:space="0" w:color="auto"/>
              <w:right w:val="single" w:sz="8" w:space="0" w:color="auto"/>
            </w:tcBorders>
            <w:shd w:val="clear" w:color="auto" w:fill="FFFF99"/>
            <w:vAlign w:val="bottom"/>
            <w:hideMark/>
          </w:tcPr>
          <w:p w14:paraId="003006A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52,771.26</w:t>
            </w:r>
          </w:p>
        </w:tc>
      </w:tr>
      <w:tr w:rsidR="00EA0FD7" w:rsidRPr="00EA0FD7" w14:paraId="512C9BB4" w14:textId="77777777" w:rsidTr="00EA0FD7">
        <w:trPr>
          <w:trHeight w:val="901"/>
        </w:trPr>
        <w:tc>
          <w:tcPr>
            <w:tcW w:w="445" w:type="dxa"/>
            <w:vMerge w:val="restart"/>
            <w:tcBorders>
              <w:top w:val="nil"/>
              <w:left w:val="single" w:sz="8" w:space="0" w:color="auto"/>
              <w:bottom w:val="single" w:sz="4" w:space="0" w:color="000000"/>
              <w:right w:val="nil"/>
            </w:tcBorders>
            <w:noWrap/>
            <w:vAlign w:val="center"/>
            <w:hideMark/>
          </w:tcPr>
          <w:p w14:paraId="42D41393" w14:textId="62CCD1A5" w:rsidR="00EA0FD7" w:rsidRPr="00752F04" w:rsidRDefault="00EA0FD7" w:rsidP="00EA0FD7">
            <w:pPr>
              <w:spacing w:after="0" w:line="240" w:lineRule="auto"/>
              <w:jc w:val="center"/>
              <w:rPr>
                <w:rFonts w:ascii="Arial" w:eastAsia="Times New Roman" w:hAnsi="Arial" w:cs="Arial"/>
                <w:sz w:val="13"/>
                <w:szCs w:val="13"/>
              </w:rPr>
            </w:pPr>
            <w:r w:rsidRPr="00EA0FD7">
              <w:rPr>
                <w:rFonts w:ascii="Arial" w:eastAsia="Times New Roman" w:hAnsi="Arial" w:cs="Arial"/>
                <w:sz w:val="13"/>
                <w:szCs w:val="13"/>
                <w:lang w:val="sr-Cyrl-RS"/>
              </w:rPr>
              <w:t>11</w:t>
            </w:r>
            <w:r w:rsidR="00752F04">
              <w:rPr>
                <w:rFonts w:ascii="Arial" w:eastAsia="Times New Roman" w:hAnsi="Arial" w:cs="Arial"/>
                <w:sz w:val="13"/>
                <w:szCs w:val="13"/>
              </w:rPr>
              <w:t>.</w:t>
            </w:r>
          </w:p>
        </w:tc>
        <w:tc>
          <w:tcPr>
            <w:tcW w:w="1550" w:type="dxa"/>
            <w:vMerge w:val="restart"/>
            <w:tcBorders>
              <w:top w:val="nil"/>
              <w:left w:val="single" w:sz="8" w:space="0" w:color="auto"/>
              <w:bottom w:val="nil"/>
              <w:right w:val="single" w:sz="8" w:space="0" w:color="auto"/>
            </w:tcBorders>
            <w:shd w:val="clear" w:color="auto" w:fill="FFFF99"/>
            <w:vAlign w:val="center"/>
            <w:hideMark/>
          </w:tcPr>
          <w:p w14:paraId="5CFFC7F1" w14:textId="1A9279A9"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t>УГОВОР О ЗАЈМУ - Пројек</w:t>
            </w:r>
            <w:r w:rsidR="00752F04">
              <w:rPr>
                <w:rFonts w:ascii="Arial" w:eastAsia="Times New Roman" w:hAnsi="Arial" w:cs="Arial"/>
                <w:sz w:val="13"/>
                <w:szCs w:val="13"/>
                <w:lang w:val="sr-Cyrl-RS"/>
              </w:rPr>
              <w:t>а</w:t>
            </w:r>
            <w:r w:rsidRPr="00EA0FD7">
              <w:rPr>
                <w:rFonts w:ascii="Arial" w:eastAsia="Times New Roman" w:hAnsi="Arial" w:cs="Arial"/>
                <w:sz w:val="13"/>
                <w:szCs w:val="13"/>
                <w:lang w:val="sr-Cyrl-RS"/>
              </w:rPr>
              <w:t>т Обилазнице Брчко</w:t>
            </w:r>
            <w:r w:rsidRPr="00EA0FD7">
              <w:rPr>
                <w:rFonts w:ascii="Arial" w:eastAsia="Times New Roman" w:hAnsi="Arial" w:cs="Arial"/>
                <w:sz w:val="13"/>
                <w:szCs w:val="13"/>
                <w:lang w:val="sr-Cyrl-RS"/>
              </w:rPr>
              <w:br/>
              <w:t>Кредит Европске банке за обнову и развој</w:t>
            </w:r>
          </w:p>
        </w:tc>
        <w:tc>
          <w:tcPr>
            <w:tcW w:w="799" w:type="dxa"/>
            <w:tcBorders>
              <w:top w:val="nil"/>
              <w:left w:val="nil"/>
              <w:bottom w:val="single" w:sz="4" w:space="0" w:color="auto"/>
              <w:right w:val="nil"/>
            </w:tcBorders>
            <w:hideMark/>
          </w:tcPr>
          <w:p w14:paraId="5BA644B6" w14:textId="1A63A73C" w:rsidR="00EA0FD7" w:rsidRPr="00752F04" w:rsidRDefault="00EA0FD7" w:rsidP="00EA0FD7">
            <w:pPr>
              <w:spacing w:after="0" w:line="240" w:lineRule="auto"/>
              <w:jc w:val="center"/>
              <w:rPr>
                <w:rFonts w:ascii="Arial" w:eastAsia="Times New Roman" w:hAnsi="Arial" w:cs="Arial"/>
                <w:sz w:val="13"/>
                <w:szCs w:val="13"/>
                <w:lang w:val="bs-Cyrl-BA"/>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EUR</w:t>
            </w:r>
          </w:p>
        </w:tc>
        <w:tc>
          <w:tcPr>
            <w:tcW w:w="1080" w:type="dxa"/>
            <w:tcBorders>
              <w:top w:val="nil"/>
              <w:left w:val="single" w:sz="8" w:space="0" w:color="auto"/>
              <w:bottom w:val="single" w:sz="4" w:space="0" w:color="auto"/>
              <w:right w:val="single" w:sz="4" w:space="0" w:color="auto"/>
            </w:tcBorders>
            <w:vAlign w:val="bottom"/>
            <w:hideMark/>
          </w:tcPr>
          <w:p w14:paraId="14A6E3FE"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3,158,979.46</w:t>
            </w:r>
          </w:p>
        </w:tc>
        <w:tc>
          <w:tcPr>
            <w:tcW w:w="1080" w:type="dxa"/>
            <w:tcBorders>
              <w:top w:val="nil"/>
              <w:left w:val="nil"/>
              <w:bottom w:val="single" w:sz="4" w:space="0" w:color="auto"/>
              <w:right w:val="single" w:sz="4" w:space="0" w:color="auto"/>
            </w:tcBorders>
            <w:vAlign w:val="bottom"/>
            <w:hideMark/>
          </w:tcPr>
          <w:p w14:paraId="6185540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120,041.22</w:t>
            </w:r>
          </w:p>
        </w:tc>
        <w:tc>
          <w:tcPr>
            <w:tcW w:w="1080" w:type="dxa"/>
            <w:tcBorders>
              <w:top w:val="nil"/>
              <w:left w:val="nil"/>
              <w:bottom w:val="single" w:sz="4" w:space="0" w:color="auto"/>
              <w:right w:val="single" w:sz="8" w:space="0" w:color="auto"/>
            </w:tcBorders>
            <w:vAlign w:val="bottom"/>
            <w:hideMark/>
          </w:tcPr>
          <w:p w14:paraId="52F45DD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3,279,020.68</w:t>
            </w:r>
          </w:p>
        </w:tc>
        <w:tc>
          <w:tcPr>
            <w:tcW w:w="1214" w:type="dxa"/>
            <w:tcBorders>
              <w:top w:val="nil"/>
              <w:left w:val="nil"/>
              <w:bottom w:val="single" w:sz="4" w:space="0" w:color="auto"/>
              <w:right w:val="single" w:sz="4" w:space="0" w:color="auto"/>
            </w:tcBorders>
            <w:vAlign w:val="bottom"/>
            <w:hideMark/>
          </w:tcPr>
          <w:p w14:paraId="03C0D2C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3,158,979.46</w:t>
            </w:r>
          </w:p>
        </w:tc>
        <w:tc>
          <w:tcPr>
            <w:tcW w:w="946" w:type="dxa"/>
            <w:tcBorders>
              <w:top w:val="nil"/>
              <w:left w:val="nil"/>
              <w:bottom w:val="single" w:sz="4" w:space="0" w:color="auto"/>
              <w:right w:val="single" w:sz="4" w:space="0" w:color="auto"/>
            </w:tcBorders>
            <w:vAlign w:val="bottom"/>
            <w:hideMark/>
          </w:tcPr>
          <w:p w14:paraId="1762F5A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88,275.93</w:t>
            </w:r>
          </w:p>
        </w:tc>
        <w:tc>
          <w:tcPr>
            <w:tcW w:w="1080" w:type="dxa"/>
            <w:tcBorders>
              <w:top w:val="nil"/>
              <w:left w:val="nil"/>
              <w:bottom w:val="single" w:sz="4" w:space="0" w:color="auto"/>
              <w:right w:val="single" w:sz="8" w:space="0" w:color="auto"/>
            </w:tcBorders>
            <w:vAlign w:val="bottom"/>
            <w:hideMark/>
          </w:tcPr>
          <w:p w14:paraId="4A7808C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3,247,255.39</w:t>
            </w:r>
          </w:p>
        </w:tc>
        <w:tc>
          <w:tcPr>
            <w:tcW w:w="1080" w:type="dxa"/>
            <w:tcBorders>
              <w:top w:val="nil"/>
              <w:left w:val="nil"/>
              <w:bottom w:val="single" w:sz="4" w:space="0" w:color="auto"/>
              <w:right w:val="single" w:sz="4" w:space="0" w:color="auto"/>
            </w:tcBorders>
            <w:vAlign w:val="bottom"/>
            <w:hideMark/>
          </w:tcPr>
          <w:p w14:paraId="79F66C3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3,158,979.46</w:t>
            </w:r>
          </w:p>
        </w:tc>
        <w:tc>
          <w:tcPr>
            <w:tcW w:w="1041" w:type="dxa"/>
            <w:tcBorders>
              <w:top w:val="nil"/>
              <w:left w:val="nil"/>
              <w:bottom w:val="single" w:sz="4" w:space="0" w:color="auto"/>
              <w:right w:val="single" w:sz="4" w:space="0" w:color="auto"/>
            </w:tcBorders>
            <w:vAlign w:val="bottom"/>
            <w:hideMark/>
          </w:tcPr>
          <w:p w14:paraId="7DA2B90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55,984.13</w:t>
            </w:r>
          </w:p>
        </w:tc>
        <w:tc>
          <w:tcPr>
            <w:tcW w:w="1119" w:type="dxa"/>
            <w:tcBorders>
              <w:top w:val="nil"/>
              <w:left w:val="nil"/>
              <w:bottom w:val="single" w:sz="4" w:space="0" w:color="auto"/>
              <w:right w:val="single" w:sz="8" w:space="0" w:color="auto"/>
            </w:tcBorders>
            <w:vAlign w:val="bottom"/>
            <w:hideMark/>
          </w:tcPr>
          <w:p w14:paraId="66A1E26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3,214,963.59</w:t>
            </w:r>
          </w:p>
        </w:tc>
        <w:tc>
          <w:tcPr>
            <w:tcW w:w="1260" w:type="dxa"/>
            <w:tcBorders>
              <w:top w:val="nil"/>
              <w:left w:val="nil"/>
              <w:bottom w:val="single" w:sz="4" w:space="0" w:color="auto"/>
              <w:right w:val="single" w:sz="4" w:space="0" w:color="auto"/>
            </w:tcBorders>
            <w:vAlign w:val="bottom"/>
            <w:hideMark/>
          </w:tcPr>
          <w:p w14:paraId="6B76F8D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9,476,938.38</w:t>
            </w:r>
          </w:p>
        </w:tc>
        <w:tc>
          <w:tcPr>
            <w:tcW w:w="1080" w:type="dxa"/>
            <w:tcBorders>
              <w:top w:val="nil"/>
              <w:left w:val="nil"/>
              <w:bottom w:val="single" w:sz="4" w:space="0" w:color="auto"/>
              <w:right w:val="single" w:sz="4" w:space="0" w:color="auto"/>
            </w:tcBorders>
            <w:vAlign w:val="bottom"/>
            <w:hideMark/>
          </w:tcPr>
          <w:p w14:paraId="4E35E44A"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264,301.28</w:t>
            </w:r>
          </w:p>
        </w:tc>
        <w:tc>
          <w:tcPr>
            <w:tcW w:w="1289" w:type="dxa"/>
            <w:tcBorders>
              <w:top w:val="nil"/>
              <w:left w:val="nil"/>
              <w:bottom w:val="single" w:sz="4" w:space="0" w:color="auto"/>
              <w:right w:val="single" w:sz="8" w:space="0" w:color="auto"/>
            </w:tcBorders>
            <w:vAlign w:val="bottom"/>
            <w:hideMark/>
          </w:tcPr>
          <w:p w14:paraId="0483D91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9,741,239.66</w:t>
            </w:r>
          </w:p>
        </w:tc>
      </w:tr>
      <w:tr w:rsidR="00EA0FD7" w:rsidRPr="00AE5455" w14:paraId="2FE38789" w14:textId="77777777" w:rsidTr="00EA0FD7">
        <w:trPr>
          <w:trHeight w:val="883"/>
        </w:trPr>
        <w:tc>
          <w:tcPr>
            <w:tcW w:w="300" w:type="dxa"/>
            <w:vMerge/>
            <w:tcBorders>
              <w:top w:val="nil"/>
              <w:left w:val="single" w:sz="8" w:space="0" w:color="auto"/>
              <w:bottom w:val="single" w:sz="4" w:space="0" w:color="000000"/>
              <w:right w:val="nil"/>
            </w:tcBorders>
            <w:vAlign w:val="center"/>
            <w:hideMark/>
          </w:tcPr>
          <w:p w14:paraId="375E1964"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300" w:type="dxa"/>
            <w:vMerge/>
            <w:tcBorders>
              <w:top w:val="nil"/>
              <w:left w:val="single" w:sz="8" w:space="0" w:color="auto"/>
              <w:bottom w:val="nil"/>
              <w:right w:val="single" w:sz="8" w:space="0" w:color="auto"/>
            </w:tcBorders>
            <w:vAlign w:val="center"/>
            <w:hideMark/>
          </w:tcPr>
          <w:p w14:paraId="3000D25E"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799" w:type="dxa"/>
            <w:tcBorders>
              <w:top w:val="nil"/>
              <w:left w:val="nil"/>
              <w:bottom w:val="single" w:sz="4" w:space="0" w:color="auto"/>
              <w:right w:val="nil"/>
            </w:tcBorders>
            <w:shd w:val="clear" w:color="auto" w:fill="FFFF99"/>
            <w:hideMark/>
          </w:tcPr>
          <w:p w14:paraId="2A932D1A" w14:textId="7C28D9F2"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BAM</w:t>
            </w:r>
          </w:p>
        </w:tc>
        <w:tc>
          <w:tcPr>
            <w:tcW w:w="1080" w:type="dxa"/>
            <w:tcBorders>
              <w:top w:val="nil"/>
              <w:left w:val="single" w:sz="8" w:space="0" w:color="auto"/>
              <w:bottom w:val="single" w:sz="4" w:space="0" w:color="auto"/>
              <w:right w:val="single" w:sz="4" w:space="0" w:color="auto"/>
            </w:tcBorders>
            <w:shd w:val="clear" w:color="auto" w:fill="FFFF99"/>
            <w:vAlign w:val="bottom"/>
            <w:hideMark/>
          </w:tcPr>
          <w:p w14:paraId="6B3606D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6,178,426.80</w:t>
            </w:r>
          </w:p>
        </w:tc>
        <w:tc>
          <w:tcPr>
            <w:tcW w:w="1080" w:type="dxa"/>
            <w:tcBorders>
              <w:top w:val="nil"/>
              <w:left w:val="nil"/>
              <w:bottom w:val="single" w:sz="4" w:space="0" w:color="auto"/>
              <w:right w:val="single" w:sz="4" w:space="0" w:color="auto"/>
            </w:tcBorders>
            <w:shd w:val="clear" w:color="auto" w:fill="FFFF99"/>
            <w:vAlign w:val="bottom"/>
            <w:hideMark/>
          </w:tcPr>
          <w:p w14:paraId="12B0B85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234,780.22</w:t>
            </w:r>
          </w:p>
        </w:tc>
        <w:tc>
          <w:tcPr>
            <w:tcW w:w="1080" w:type="dxa"/>
            <w:tcBorders>
              <w:top w:val="nil"/>
              <w:left w:val="nil"/>
              <w:bottom w:val="single" w:sz="4" w:space="0" w:color="auto"/>
              <w:right w:val="single" w:sz="8" w:space="0" w:color="auto"/>
            </w:tcBorders>
            <w:shd w:val="clear" w:color="auto" w:fill="FFFF99"/>
            <w:vAlign w:val="bottom"/>
            <w:hideMark/>
          </w:tcPr>
          <w:p w14:paraId="209C22BE"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6,413,207.02</w:t>
            </w:r>
          </w:p>
        </w:tc>
        <w:tc>
          <w:tcPr>
            <w:tcW w:w="1214" w:type="dxa"/>
            <w:tcBorders>
              <w:top w:val="nil"/>
              <w:left w:val="nil"/>
              <w:bottom w:val="single" w:sz="4" w:space="0" w:color="auto"/>
              <w:right w:val="single" w:sz="4" w:space="0" w:color="auto"/>
            </w:tcBorders>
            <w:shd w:val="clear" w:color="auto" w:fill="FFFF99"/>
            <w:vAlign w:val="bottom"/>
            <w:hideMark/>
          </w:tcPr>
          <w:p w14:paraId="20ED9DA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6,178,426.80</w:t>
            </w:r>
          </w:p>
        </w:tc>
        <w:tc>
          <w:tcPr>
            <w:tcW w:w="946" w:type="dxa"/>
            <w:tcBorders>
              <w:top w:val="nil"/>
              <w:left w:val="nil"/>
              <w:bottom w:val="single" w:sz="4" w:space="0" w:color="auto"/>
              <w:right w:val="single" w:sz="4" w:space="0" w:color="auto"/>
            </w:tcBorders>
            <w:shd w:val="clear" w:color="auto" w:fill="FFFF99"/>
            <w:vAlign w:val="bottom"/>
            <w:hideMark/>
          </w:tcPr>
          <w:p w14:paraId="56C5E636"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172,652.71</w:t>
            </w:r>
          </w:p>
        </w:tc>
        <w:tc>
          <w:tcPr>
            <w:tcW w:w="1080" w:type="dxa"/>
            <w:tcBorders>
              <w:top w:val="nil"/>
              <w:left w:val="nil"/>
              <w:bottom w:val="single" w:sz="4" w:space="0" w:color="auto"/>
              <w:right w:val="single" w:sz="8" w:space="0" w:color="auto"/>
            </w:tcBorders>
            <w:shd w:val="clear" w:color="auto" w:fill="FFFF99"/>
            <w:vAlign w:val="bottom"/>
            <w:hideMark/>
          </w:tcPr>
          <w:p w14:paraId="011D779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6,351,079.51</w:t>
            </w:r>
          </w:p>
        </w:tc>
        <w:tc>
          <w:tcPr>
            <w:tcW w:w="1080" w:type="dxa"/>
            <w:tcBorders>
              <w:top w:val="nil"/>
              <w:left w:val="nil"/>
              <w:bottom w:val="single" w:sz="4" w:space="0" w:color="auto"/>
              <w:right w:val="single" w:sz="4" w:space="0" w:color="auto"/>
            </w:tcBorders>
            <w:shd w:val="clear" w:color="auto" w:fill="FFFF99"/>
            <w:vAlign w:val="bottom"/>
            <w:hideMark/>
          </w:tcPr>
          <w:p w14:paraId="6281AAC1"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6,178,426.80</w:t>
            </w:r>
          </w:p>
        </w:tc>
        <w:tc>
          <w:tcPr>
            <w:tcW w:w="1041" w:type="dxa"/>
            <w:tcBorders>
              <w:top w:val="nil"/>
              <w:left w:val="nil"/>
              <w:bottom w:val="single" w:sz="4" w:space="0" w:color="auto"/>
              <w:right w:val="single" w:sz="4" w:space="0" w:color="auto"/>
            </w:tcBorders>
            <w:shd w:val="clear" w:color="auto" w:fill="FFFF99"/>
            <w:vAlign w:val="bottom"/>
            <w:hideMark/>
          </w:tcPr>
          <w:p w14:paraId="2380923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109,495.44</w:t>
            </w:r>
          </w:p>
        </w:tc>
        <w:tc>
          <w:tcPr>
            <w:tcW w:w="1119" w:type="dxa"/>
            <w:tcBorders>
              <w:top w:val="nil"/>
              <w:left w:val="nil"/>
              <w:bottom w:val="single" w:sz="4" w:space="0" w:color="auto"/>
              <w:right w:val="single" w:sz="8" w:space="0" w:color="auto"/>
            </w:tcBorders>
            <w:shd w:val="clear" w:color="auto" w:fill="FFFF99"/>
            <w:vAlign w:val="bottom"/>
            <w:hideMark/>
          </w:tcPr>
          <w:p w14:paraId="1676471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6,287,922.24</w:t>
            </w:r>
          </w:p>
        </w:tc>
        <w:tc>
          <w:tcPr>
            <w:tcW w:w="1260" w:type="dxa"/>
            <w:tcBorders>
              <w:top w:val="nil"/>
              <w:left w:val="nil"/>
              <w:bottom w:val="single" w:sz="4" w:space="0" w:color="auto"/>
              <w:right w:val="single" w:sz="4" w:space="0" w:color="auto"/>
            </w:tcBorders>
            <w:shd w:val="clear" w:color="auto" w:fill="FFFF99"/>
            <w:vAlign w:val="bottom"/>
            <w:hideMark/>
          </w:tcPr>
          <w:p w14:paraId="5290E6A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18,535,280.40</w:t>
            </w:r>
          </w:p>
        </w:tc>
        <w:tc>
          <w:tcPr>
            <w:tcW w:w="1080" w:type="dxa"/>
            <w:tcBorders>
              <w:top w:val="nil"/>
              <w:left w:val="nil"/>
              <w:bottom w:val="single" w:sz="4" w:space="0" w:color="auto"/>
              <w:right w:val="single" w:sz="4" w:space="0" w:color="auto"/>
            </w:tcBorders>
            <w:shd w:val="clear" w:color="auto" w:fill="FFFF99"/>
            <w:vAlign w:val="bottom"/>
            <w:hideMark/>
          </w:tcPr>
          <w:p w14:paraId="1BEEB86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516,928.37</w:t>
            </w:r>
          </w:p>
        </w:tc>
        <w:tc>
          <w:tcPr>
            <w:tcW w:w="1289" w:type="dxa"/>
            <w:tcBorders>
              <w:top w:val="nil"/>
              <w:left w:val="nil"/>
              <w:bottom w:val="single" w:sz="4" w:space="0" w:color="auto"/>
              <w:right w:val="single" w:sz="8" w:space="0" w:color="auto"/>
            </w:tcBorders>
            <w:shd w:val="clear" w:color="auto" w:fill="FFFF99"/>
            <w:vAlign w:val="bottom"/>
            <w:hideMark/>
          </w:tcPr>
          <w:p w14:paraId="3025A97A"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19,052,208.77</w:t>
            </w:r>
          </w:p>
        </w:tc>
      </w:tr>
      <w:tr w:rsidR="00EA0FD7" w:rsidRPr="00EA0FD7" w14:paraId="2F203FEC" w14:textId="77777777" w:rsidTr="00EA0FD7">
        <w:trPr>
          <w:trHeight w:val="1081"/>
        </w:trPr>
        <w:tc>
          <w:tcPr>
            <w:tcW w:w="445" w:type="dxa"/>
            <w:vMerge w:val="restart"/>
            <w:tcBorders>
              <w:top w:val="nil"/>
              <w:left w:val="single" w:sz="8" w:space="0" w:color="auto"/>
              <w:bottom w:val="single" w:sz="8" w:space="0" w:color="000000"/>
              <w:right w:val="single" w:sz="8" w:space="0" w:color="auto"/>
            </w:tcBorders>
            <w:noWrap/>
            <w:vAlign w:val="center"/>
            <w:hideMark/>
          </w:tcPr>
          <w:p w14:paraId="46D360EB" w14:textId="6693898C" w:rsidR="00EA0FD7" w:rsidRPr="00752F04" w:rsidRDefault="00EA0FD7" w:rsidP="00EA0FD7">
            <w:pPr>
              <w:spacing w:after="0" w:line="240" w:lineRule="auto"/>
              <w:jc w:val="center"/>
              <w:rPr>
                <w:rFonts w:ascii="Arial" w:eastAsia="Times New Roman" w:hAnsi="Arial" w:cs="Arial"/>
                <w:sz w:val="13"/>
                <w:szCs w:val="13"/>
              </w:rPr>
            </w:pPr>
            <w:r w:rsidRPr="00EA0FD7">
              <w:rPr>
                <w:rFonts w:ascii="Arial" w:eastAsia="Times New Roman" w:hAnsi="Arial" w:cs="Arial"/>
                <w:sz w:val="13"/>
                <w:szCs w:val="13"/>
                <w:lang w:val="sr-Cyrl-RS"/>
              </w:rPr>
              <w:t>12</w:t>
            </w:r>
            <w:r w:rsidR="00752F04">
              <w:rPr>
                <w:rFonts w:ascii="Arial" w:eastAsia="Times New Roman" w:hAnsi="Arial" w:cs="Arial"/>
                <w:sz w:val="13"/>
                <w:szCs w:val="13"/>
              </w:rPr>
              <w:t>.</w:t>
            </w:r>
          </w:p>
        </w:tc>
        <w:tc>
          <w:tcPr>
            <w:tcW w:w="1550" w:type="dxa"/>
            <w:vMerge w:val="restart"/>
            <w:tcBorders>
              <w:top w:val="single" w:sz="4" w:space="0" w:color="auto"/>
              <w:left w:val="single" w:sz="8" w:space="0" w:color="auto"/>
              <w:bottom w:val="single" w:sz="4" w:space="0" w:color="000000"/>
              <w:right w:val="single" w:sz="8" w:space="0" w:color="auto"/>
            </w:tcBorders>
            <w:shd w:val="clear" w:color="auto" w:fill="FFFF99"/>
          </w:tcPr>
          <w:p w14:paraId="363A0285" w14:textId="095BD706" w:rsidR="00EA0FD7" w:rsidRPr="00EA0FD7" w:rsidRDefault="00EA0FD7" w:rsidP="00EA0FD7">
            <w:pPr>
              <w:spacing w:after="0" w:line="240" w:lineRule="auto"/>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t xml:space="preserve">УГОВОР О ЗАЈМУ </w:t>
            </w:r>
            <w:r w:rsidR="00752F04">
              <w:rPr>
                <w:rFonts w:ascii="Arial" w:eastAsia="Times New Roman" w:hAnsi="Arial" w:cs="Arial"/>
                <w:sz w:val="13"/>
                <w:szCs w:val="13"/>
                <w:lang w:val="sr-Cyrl-RS"/>
              </w:rPr>
              <w:t>–</w:t>
            </w:r>
            <w:r w:rsidRPr="00EA0FD7">
              <w:rPr>
                <w:rFonts w:ascii="Arial" w:eastAsia="Times New Roman" w:hAnsi="Arial" w:cs="Arial"/>
                <w:sz w:val="13"/>
                <w:szCs w:val="13"/>
                <w:lang w:val="sr-Cyrl-RS"/>
              </w:rPr>
              <w:t xml:space="preserve"> Пројек</w:t>
            </w:r>
            <w:r w:rsidR="00752F04">
              <w:rPr>
                <w:rFonts w:ascii="Arial" w:eastAsia="Times New Roman" w:hAnsi="Arial" w:cs="Arial"/>
                <w:sz w:val="13"/>
                <w:szCs w:val="13"/>
                <w:lang w:val="sr-Cyrl-RS"/>
              </w:rPr>
              <w:t>а</w:t>
            </w:r>
            <w:r w:rsidRPr="00EA0FD7">
              <w:rPr>
                <w:rFonts w:ascii="Arial" w:eastAsia="Times New Roman" w:hAnsi="Arial" w:cs="Arial"/>
                <w:sz w:val="13"/>
                <w:szCs w:val="13"/>
                <w:lang w:val="sr-Cyrl-RS"/>
              </w:rPr>
              <w:t>т Лука Брчко</w:t>
            </w:r>
            <w:r w:rsidRPr="00EA0FD7">
              <w:rPr>
                <w:rFonts w:ascii="Arial" w:eastAsia="Times New Roman" w:hAnsi="Arial" w:cs="Arial"/>
                <w:sz w:val="13"/>
                <w:szCs w:val="13"/>
                <w:lang w:val="sr-Cyrl-RS"/>
              </w:rPr>
              <w:br/>
              <w:t>Кредит Европске банке за обнову и развој</w:t>
            </w: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p>
          <w:p w14:paraId="6A7F786A" w14:textId="77777777" w:rsidR="00EA0FD7" w:rsidRPr="00EA0FD7" w:rsidRDefault="00EA0FD7" w:rsidP="00EA0FD7">
            <w:pPr>
              <w:spacing w:after="0" w:line="240" w:lineRule="auto"/>
              <w:rPr>
                <w:rFonts w:ascii="Arial" w:eastAsia="Times New Roman" w:hAnsi="Arial" w:cs="Arial"/>
                <w:sz w:val="13"/>
                <w:szCs w:val="13"/>
                <w:lang w:val="sr-Cyrl-RS"/>
              </w:rPr>
            </w:pPr>
          </w:p>
          <w:p w14:paraId="373B5B04" w14:textId="77777777" w:rsidR="00EA0FD7" w:rsidRPr="00EA0FD7" w:rsidRDefault="00EA0FD7" w:rsidP="00EA0FD7">
            <w:pPr>
              <w:spacing w:after="0" w:line="240" w:lineRule="auto"/>
              <w:rPr>
                <w:rFonts w:ascii="Arial" w:eastAsia="Times New Roman" w:hAnsi="Arial" w:cs="Arial"/>
                <w:sz w:val="13"/>
                <w:szCs w:val="13"/>
                <w:lang w:val="sr-Cyrl-RS"/>
              </w:rPr>
            </w:pPr>
          </w:p>
          <w:p w14:paraId="7B1F807E" w14:textId="77777777" w:rsidR="00EA0FD7" w:rsidRPr="00EA0FD7" w:rsidRDefault="00EA0FD7" w:rsidP="00EA0FD7">
            <w:pPr>
              <w:spacing w:after="0" w:line="240" w:lineRule="auto"/>
              <w:rPr>
                <w:rFonts w:ascii="Arial" w:eastAsia="Times New Roman" w:hAnsi="Arial" w:cs="Arial"/>
                <w:sz w:val="13"/>
                <w:szCs w:val="13"/>
                <w:lang w:val="sr-Cyrl-RS"/>
              </w:rPr>
            </w:pPr>
          </w:p>
          <w:p w14:paraId="02914C07" w14:textId="77777777" w:rsidR="00EA0FD7" w:rsidRPr="00EA0FD7" w:rsidRDefault="00EA0FD7" w:rsidP="00EA0FD7">
            <w:pPr>
              <w:spacing w:after="0" w:line="240" w:lineRule="auto"/>
              <w:rPr>
                <w:rFonts w:ascii="Arial" w:eastAsia="Times New Roman" w:hAnsi="Arial" w:cs="Arial"/>
                <w:sz w:val="13"/>
                <w:szCs w:val="13"/>
                <w:lang w:val="sr-Cyrl-RS"/>
              </w:rPr>
            </w:pPr>
          </w:p>
          <w:p w14:paraId="1B1E4B89" w14:textId="77777777" w:rsidR="00EA0FD7" w:rsidRPr="00EA0FD7" w:rsidRDefault="00EA0FD7" w:rsidP="00EA0FD7">
            <w:pPr>
              <w:spacing w:after="0" w:line="240" w:lineRule="auto"/>
              <w:rPr>
                <w:rFonts w:ascii="Arial" w:eastAsia="Times New Roman" w:hAnsi="Arial" w:cs="Arial"/>
                <w:sz w:val="13"/>
                <w:szCs w:val="13"/>
                <w:lang w:val="sr-Cyrl-RS"/>
              </w:rPr>
            </w:pPr>
          </w:p>
          <w:p w14:paraId="744499F0" w14:textId="77777777" w:rsidR="00EA0FD7" w:rsidRPr="00EA0FD7" w:rsidRDefault="00EA0FD7" w:rsidP="00EA0FD7">
            <w:pPr>
              <w:spacing w:after="0" w:line="240" w:lineRule="auto"/>
              <w:rPr>
                <w:rFonts w:ascii="Arial" w:eastAsia="Times New Roman" w:hAnsi="Arial" w:cs="Arial"/>
                <w:sz w:val="13"/>
                <w:szCs w:val="13"/>
                <w:lang w:val="sr-Cyrl-RS"/>
              </w:rPr>
            </w:pPr>
          </w:p>
          <w:p w14:paraId="06D294DC" w14:textId="77777777" w:rsidR="00EA0FD7" w:rsidRPr="00EA0FD7" w:rsidRDefault="00EA0FD7" w:rsidP="00EA0FD7">
            <w:pPr>
              <w:spacing w:after="0" w:line="240" w:lineRule="auto"/>
              <w:rPr>
                <w:rFonts w:ascii="Arial" w:eastAsia="Times New Roman" w:hAnsi="Arial" w:cs="Arial"/>
                <w:sz w:val="13"/>
                <w:szCs w:val="13"/>
                <w:lang w:val="sr-Cyrl-RS"/>
              </w:rPr>
            </w:pPr>
          </w:p>
          <w:p w14:paraId="57A57B63" w14:textId="03F0FF37" w:rsidR="00EA0FD7" w:rsidRPr="00EA0FD7" w:rsidRDefault="00EA0FD7" w:rsidP="00EA0FD7">
            <w:pPr>
              <w:spacing w:after="0" w:line="240" w:lineRule="auto"/>
              <w:rPr>
                <w:rFonts w:ascii="Arial" w:eastAsia="Times New Roman" w:hAnsi="Arial" w:cs="Arial"/>
                <w:sz w:val="13"/>
                <w:szCs w:val="13"/>
                <w:lang w:val="sr-Cyrl-RS"/>
              </w:rPr>
            </w:pPr>
            <w:r w:rsidRPr="00EA0FD7">
              <w:rPr>
                <w:rFonts w:ascii="Arial" w:eastAsia="Times New Roman" w:hAnsi="Arial" w:cs="Arial"/>
                <w:sz w:val="13"/>
                <w:szCs w:val="13"/>
                <w:lang w:val="sr-Cyrl-RS"/>
              </w:rPr>
              <w:t xml:space="preserve">Макрофинансијска помоћ РФА </w:t>
            </w:r>
            <w:r w:rsidR="00752F04">
              <w:rPr>
                <w:rFonts w:ascii="Arial" w:eastAsia="Times New Roman" w:hAnsi="Arial" w:cs="Arial"/>
                <w:sz w:val="13"/>
                <w:szCs w:val="13"/>
              </w:rPr>
              <w:t>I</w:t>
            </w:r>
            <w:r w:rsidRPr="00EA0FD7">
              <w:rPr>
                <w:rFonts w:ascii="Arial" w:eastAsia="Times New Roman" w:hAnsi="Arial" w:cs="Arial"/>
                <w:sz w:val="13"/>
                <w:szCs w:val="13"/>
                <w:lang w:val="sr-Cyrl-RS"/>
              </w:rPr>
              <w:t xml:space="preserve"> транша</w:t>
            </w:r>
          </w:p>
        </w:tc>
        <w:tc>
          <w:tcPr>
            <w:tcW w:w="799" w:type="dxa"/>
            <w:tcBorders>
              <w:top w:val="nil"/>
              <w:left w:val="nil"/>
              <w:bottom w:val="single" w:sz="4" w:space="0" w:color="auto"/>
              <w:right w:val="nil"/>
            </w:tcBorders>
            <w:hideMark/>
          </w:tcPr>
          <w:p w14:paraId="027B590A" w14:textId="6709EB39"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EUR</w:t>
            </w:r>
          </w:p>
        </w:tc>
        <w:tc>
          <w:tcPr>
            <w:tcW w:w="1080" w:type="dxa"/>
            <w:tcBorders>
              <w:top w:val="nil"/>
              <w:left w:val="single" w:sz="8" w:space="0" w:color="auto"/>
              <w:bottom w:val="single" w:sz="4" w:space="0" w:color="auto"/>
              <w:right w:val="single" w:sz="4" w:space="0" w:color="auto"/>
            </w:tcBorders>
            <w:vAlign w:val="bottom"/>
            <w:hideMark/>
          </w:tcPr>
          <w:p w14:paraId="5113807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642,305.74</w:t>
            </w:r>
          </w:p>
        </w:tc>
        <w:tc>
          <w:tcPr>
            <w:tcW w:w="1080" w:type="dxa"/>
            <w:tcBorders>
              <w:top w:val="nil"/>
              <w:left w:val="nil"/>
              <w:bottom w:val="single" w:sz="4" w:space="0" w:color="auto"/>
              <w:right w:val="single" w:sz="4" w:space="0" w:color="auto"/>
            </w:tcBorders>
            <w:vAlign w:val="bottom"/>
            <w:hideMark/>
          </w:tcPr>
          <w:p w14:paraId="7434390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76,735.37</w:t>
            </w:r>
          </w:p>
        </w:tc>
        <w:tc>
          <w:tcPr>
            <w:tcW w:w="1080" w:type="dxa"/>
            <w:tcBorders>
              <w:top w:val="nil"/>
              <w:left w:val="nil"/>
              <w:bottom w:val="single" w:sz="4" w:space="0" w:color="auto"/>
              <w:right w:val="single" w:sz="8" w:space="0" w:color="auto"/>
            </w:tcBorders>
            <w:vAlign w:val="bottom"/>
            <w:hideMark/>
          </w:tcPr>
          <w:p w14:paraId="127CFD0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719,041.11</w:t>
            </w:r>
          </w:p>
        </w:tc>
        <w:tc>
          <w:tcPr>
            <w:tcW w:w="1214" w:type="dxa"/>
            <w:tcBorders>
              <w:top w:val="nil"/>
              <w:left w:val="nil"/>
              <w:bottom w:val="single" w:sz="4" w:space="0" w:color="auto"/>
              <w:right w:val="single" w:sz="4" w:space="0" w:color="auto"/>
            </w:tcBorders>
            <w:vAlign w:val="bottom"/>
            <w:hideMark/>
          </w:tcPr>
          <w:p w14:paraId="600347E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958,852.08</w:t>
            </w:r>
          </w:p>
        </w:tc>
        <w:tc>
          <w:tcPr>
            <w:tcW w:w="946" w:type="dxa"/>
            <w:tcBorders>
              <w:top w:val="nil"/>
              <w:left w:val="nil"/>
              <w:bottom w:val="single" w:sz="4" w:space="0" w:color="auto"/>
              <w:right w:val="single" w:sz="4" w:space="0" w:color="auto"/>
            </w:tcBorders>
            <w:vAlign w:val="bottom"/>
            <w:hideMark/>
          </w:tcPr>
          <w:p w14:paraId="78EA9E1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82,459.87</w:t>
            </w:r>
          </w:p>
        </w:tc>
        <w:tc>
          <w:tcPr>
            <w:tcW w:w="1080" w:type="dxa"/>
            <w:tcBorders>
              <w:top w:val="nil"/>
              <w:left w:val="nil"/>
              <w:bottom w:val="single" w:sz="4" w:space="0" w:color="auto"/>
              <w:right w:val="single" w:sz="8" w:space="0" w:color="auto"/>
            </w:tcBorders>
            <w:vAlign w:val="bottom"/>
            <w:hideMark/>
          </w:tcPr>
          <w:p w14:paraId="5BBFE08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1,041,311.95</w:t>
            </w:r>
          </w:p>
        </w:tc>
        <w:tc>
          <w:tcPr>
            <w:tcW w:w="1080" w:type="dxa"/>
            <w:tcBorders>
              <w:top w:val="nil"/>
              <w:left w:val="nil"/>
              <w:bottom w:val="single" w:sz="4" w:space="0" w:color="auto"/>
              <w:right w:val="single" w:sz="4" w:space="0" w:color="auto"/>
            </w:tcBorders>
            <w:vAlign w:val="bottom"/>
            <w:hideMark/>
          </w:tcPr>
          <w:p w14:paraId="6B1469F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1,152,926.28</w:t>
            </w:r>
          </w:p>
        </w:tc>
        <w:tc>
          <w:tcPr>
            <w:tcW w:w="1041" w:type="dxa"/>
            <w:tcBorders>
              <w:top w:val="nil"/>
              <w:left w:val="nil"/>
              <w:bottom w:val="single" w:sz="4" w:space="0" w:color="auto"/>
              <w:right w:val="single" w:sz="4" w:space="0" w:color="auto"/>
            </w:tcBorders>
            <w:vAlign w:val="bottom"/>
            <w:hideMark/>
          </w:tcPr>
          <w:p w14:paraId="0932E07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78,879.38</w:t>
            </w:r>
          </w:p>
        </w:tc>
        <w:tc>
          <w:tcPr>
            <w:tcW w:w="1119" w:type="dxa"/>
            <w:tcBorders>
              <w:top w:val="nil"/>
              <w:left w:val="nil"/>
              <w:bottom w:val="single" w:sz="4" w:space="0" w:color="auto"/>
              <w:right w:val="single" w:sz="8" w:space="0" w:color="auto"/>
            </w:tcBorders>
            <w:vAlign w:val="bottom"/>
            <w:hideMark/>
          </w:tcPr>
          <w:p w14:paraId="7FD8CDC6"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1,231,805.66</w:t>
            </w:r>
          </w:p>
        </w:tc>
        <w:tc>
          <w:tcPr>
            <w:tcW w:w="1260" w:type="dxa"/>
            <w:tcBorders>
              <w:top w:val="nil"/>
              <w:left w:val="nil"/>
              <w:bottom w:val="single" w:sz="4" w:space="0" w:color="auto"/>
              <w:right w:val="single" w:sz="4" w:space="0" w:color="auto"/>
            </w:tcBorders>
            <w:vAlign w:val="bottom"/>
            <w:hideMark/>
          </w:tcPr>
          <w:p w14:paraId="3B5B21C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2,754,084.10</w:t>
            </w:r>
          </w:p>
        </w:tc>
        <w:tc>
          <w:tcPr>
            <w:tcW w:w="1080" w:type="dxa"/>
            <w:tcBorders>
              <w:top w:val="nil"/>
              <w:left w:val="nil"/>
              <w:bottom w:val="single" w:sz="4" w:space="0" w:color="auto"/>
              <w:right w:val="single" w:sz="4" w:space="0" w:color="auto"/>
            </w:tcBorders>
            <w:vAlign w:val="bottom"/>
            <w:hideMark/>
          </w:tcPr>
          <w:p w14:paraId="322B00FE"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238,074.62</w:t>
            </w:r>
          </w:p>
        </w:tc>
        <w:tc>
          <w:tcPr>
            <w:tcW w:w="1289" w:type="dxa"/>
            <w:tcBorders>
              <w:top w:val="nil"/>
              <w:left w:val="nil"/>
              <w:bottom w:val="single" w:sz="4" w:space="0" w:color="auto"/>
              <w:right w:val="single" w:sz="8" w:space="0" w:color="auto"/>
            </w:tcBorders>
            <w:vAlign w:val="bottom"/>
            <w:hideMark/>
          </w:tcPr>
          <w:p w14:paraId="36D1F13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2,992,158.72</w:t>
            </w:r>
          </w:p>
        </w:tc>
      </w:tr>
      <w:tr w:rsidR="00EA0FD7" w:rsidRPr="00AE5455" w14:paraId="7A77F4B7" w14:textId="77777777" w:rsidTr="00EA0FD7">
        <w:trPr>
          <w:trHeight w:val="1233"/>
        </w:trPr>
        <w:tc>
          <w:tcPr>
            <w:tcW w:w="300" w:type="dxa"/>
            <w:vMerge/>
            <w:tcBorders>
              <w:top w:val="nil"/>
              <w:left w:val="single" w:sz="8" w:space="0" w:color="auto"/>
              <w:bottom w:val="single" w:sz="8" w:space="0" w:color="000000"/>
              <w:right w:val="single" w:sz="8" w:space="0" w:color="auto"/>
            </w:tcBorders>
            <w:vAlign w:val="center"/>
            <w:hideMark/>
          </w:tcPr>
          <w:p w14:paraId="03411243"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300" w:type="dxa"/>
            <w:vMerge/>
            <w:tcBorders>
              <w:top w:val="single" w:sz="4" w:space="0" w:color="auto"/>
              <w:left w:val="single" w:sz="8" w:space="0" w:color="auto"/>
              <w:bottom w:val="single" w:sz="4" w:space="0" w:color="000000"/>
              <w:right w:val="single" w:sz="8" w:space="0" w:color="auto"/>
            </w:tcBorders>
            <w:vAlign w:val="center"/>
            <w:hideMark/>
          </w:tcPr>
          <w:p w14:paraId="7266396D"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799" w:type="dxa"/>
            <w:shd w:val="clear" w:color="auto" w:fill="FFFF99"/>
            <w:hideMark/>
          </w:tcPr>
          <w:p w14:paraId="56B6076E" w14:textId="54066BB8"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BAM</w:t>
            </w:r>
          </w:p>
        </w:tc>
        <w:tc>
          <w:tcPr>
            <w:tcW w:w="1080" w:type="dxa"/>
            <w:tcBorders>
              <w:top w:val="nil"/>
              <w:left w:val="single" w:sz="8" w:space="0" w:color="auto"/>
              <w:bottom w:val="nil"/>
              <w:right w:val="single" w:sz="4" w:space="0" w:color="auto"/>
            </w:tcBorders>
            <w:shd w:val="clear" w:color="auto" w:fill="FFFF99"/>
            <w:vAlign w:val="bottom"/>
            <w:hideMark/>
          </w:tcPr>
          <w:p w14:paraId="2047E90B"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1,256,240.84</w:t>
            </w:r>
          </w:p>
        </w:tc>
        <w:tc>
          <w:tcPr>
            <w:tcW w:w="1080" w:type="dxa"/>
            <w:tcBorders>
              <w:top w:val="nil"/>
              <w:left w:val="nil"/>
              <w:bottom w:val="nil"/>
              <w:right w:val="single" w:sz="4" w:space="0" w:color="auto"/>
            </w:tcBorders>
            <w:shd w:val="clear" w:color="auto" w:fill="FFFF99"/>
            <w:vAlign w:val="bottom"/>
            <w:hideMark/>
          </w:tcPr>
          <w:p w14:paraId="01C41BE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150,081.32</w:t>
            </w:r>
          </w:p>
        </w:tc>
        <w:tc>
          <w:tcPr>
            <w:tcW w:w="1080" w:type="dxa"/>
            <w:tcBorders>
              <w:top w:val="nil"/>
              <w:left w:val="nil"/>
              <w:bottom w:val="nil"/>
              <w:right w:val="single" w:sz="8" w:space="0" w:color="auto"/>
            </w:tcBorders>
            <w:shd w:val="clear" w:color="auto" w:fill="FFFF99"/>
            <w:vAlign w:val="bottom"/>
            <w:hideMark/>
          </w:tcPr>
          <w:p w14:paraId="5B6FE6C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1,406,322.16</w:t>
            </w:r>
          </w:p>
        </w:tc>
        <w:tc>
          <w:tcPr>
            <w:tcW w:w="1214" w:type="dxa"/>
            <w:tcBorders>
              <w:top w:val="nil"/>
              <w:left w:val="nil"/>
              <w:bottom w:val="nil"/>
              <w:right w:val="single" w:sz="4" w:space="0" w:color="auto"/>
            </w:tcBorders>
            <w:shd w:val="clear" w:color="auto" w:fill="FFFF99"/>
            <w:vAlign w:val="bottom"/>
            <w:hideMark/>
          </w:tcPr>
          <w:p w14:paraId="6EF63DE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1,875,351.66</w:t>
            </w:r>
          </w:p>
        </w:tc>
        <w:tc>
          <w:tcPr>
            <w:tcW w:w="946" w:type="dxa"/>
            <w:tcBorders>
              <w:top w:val="nil"/>
              <w:left w:val="nil"/>
              <w:bottom w:val="nil"/>
              <w:right w:val="single" w:sz="4" w:space="0" w:color="auto"/>
            </w:tcBorders>
            <w:shd w:val="clear" w:color="auto" w:fill="FFFF99"/>
            <w:vAlign w:val="bottom"/>
            <w:hideMark/>
          </w:tcPr>
          <w:p w14:paraId="77B1F2A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161,277.49</w:t>
            </w:r>
          </w:p>
        </w:tc>
        <w:tc>
          <w:tcPr>
            <w:tcW w:w="1080" w:type="dxa"/>
            <w:tcBorders>
              <w:top w:val="nil"/>
              <w:left w:val="nil"/>
              <w:bottom w:val="single" w:sz="4" w:space="0" w:color="auto"/>
              <w:right w:val="single" w:sz="8" w:space="0" w:color="auto"/>
            </w:tcBorders>
            <w:shd w:val="clear" w:color="auto" w:fill="FFFF99"/>
            <w:vAlign w:val="bottom"/>
            <w:hideMark/>
          </w:tcPr>
          <w:p w14:paraId="00B6D6C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2,036,629.15</w:t>
            </w:r>
          </w:p>
        </w:tc>
        <w:tc>
          <w:tcPr>
            <w:tcW w:w="1080" w:type="dxa"/>
            <w:tcBorders>
              <w:top w:val="nil"/>
              <w:left w:val="nil"/>
              <w:bottom w:val="nil"/>
              <w:right w:val="single" w:sz="4" w:space="0" w:color="auto"/>
            </w:tcBorders>
            <w:shd w:val="clear" w:color="auto" w:fill="FFFF99"/>
            <w:vAlign w:val="bottom"/>
            <w:hideMark/>
          </w:tcPr>
          <w:p w14:paraId="015B19C5"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2,254,927.81</w:t>
            </w:r>
          </w:p>
        </w:tc>
        <w:tc>
          <w:tcPr>
            <w:tcW w:w="1041" w:type="dxa"/>
            <w:tcBorders>
              <w:top w:val="nil"/>
              <w:left w:val="nil"/>
              <w:bottom w:val="nil"/>
              <w:right w:val="single" w:sz="4" w:space="0" w:color="auto"/>
            </w:tcBorders>
            <w:shd w:val="clear" w:color="auto" w:fill="FFFF99"/>
            <w:vAlign w:val="bottom"/>
            <w:hideMark/>
          </w:tcPr>
          <w:p w14:paraId="1EF83CE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154,274.64</w:t>
            </w:r>
          </w:p>
        </w:tc>
        <w:tc>
          <w:tcPr>
            <w:tcW w:w="1119" w:type="dxa"/>
            <w:tcBorders>
              <w:top w:val="nil"/>
              <w:left w:val="nil"/>
              <w:bottom w:val="single" w:sz="4" w:space="0" w:color="auto"/>
              <w:right w:val="single" w:sz="8" w:space="0" w:color="auto"/>
            </w:tcBorders>
            <w:shd w:val="clear" w:color="auto" w:fill="FFFF99"/>
            <w:vAlign w:val="bottom"/>
            <w:hideMark/>
          </w:tcPr>
          <w:p w14:paraId="344496C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2,409,202.45</w:t>
            </w:r>
          </w:p>
        </w:tc>
        <w:tc>
          <w:tcPr>
            <w:tcW w:w="1260" w:type="dxa"/>
            <w:tcBorders>
              <w:top w:val="nil"/>
              <w:left w:val="nil"/>
              <w:bottom w:val="single" w:sz="4" w:space="0" w:color="auto"/>
              <w:right w:val="single" w:sz="4" w:space="0" w:color="auto"/>
            </w:tcBorders>
            <w:shd w:val="clear" w:color="auto" w:fill="FFFF99"/>
            <w:vAlign w:val="bottom"/>
            <w:hideMark/>
          </w:tcPr>
          <w:p w14:paraId="46595EB2"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5,386,520.31</w:t>
            </w:r>
          </w:p>
        </w:tc>
        <w:tc>
          <w:tcPr>
            <w:tcW w:w="1080" w:type="dxa"/>
            <w:tcBorders>
              <w:top w:val="nil"/>
              <w:left w:val="nil"/>
              <w:bottom w:val="single" w:sz="4" w:space="0" w:color="auto"/>
              <w:right w:val="single" w:sz="4" w:space="0" w:color="auto"/>
            </w:tcBorders>
            <w:shd w:val="clear" w:color="auto" w:fill="FFFF99"/>
            <w:vAlign w:val="bottom"/>
            <w:hideMark/>
          </w:tcPr>
          <w:p w14:paraId="6D92A14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465,633.45</w:t>
            </w:r>
          </w:p>
        </w:tc>
        <w:tc>
          <w:tcPr>
            <w:tcW w:w="1289" w:type="dxa"/>
            <w:tcBorders>
              <w:top w:val="nil"/>
              <w:left w:val="nil"/>
              <w:bottom w:val="single" w:sz="4" w:space="0" w:color="auto"/>
              <w:right w:val="single" w:sz="8" w:space="0" w:color="auto"/>
            </w:tcBorders>
            <w:shd w:val="clear" w:color="auto" w:fill="FFFF99"/>
            <w:vAlign w:val="bottom"/>
            <w:hideMark/>
          </w:tcPr>
          <w:p w14:paraId="2D42E5D5"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5,852,153.76</w:t>
            </w:r>
          </w:p>
        </w:tc>
      </w:tr>
      <w:tr w:rsidR="00EA0FD7" w:rsidRPr="00EA0FD7" w14:paraId="41BA0AB8" w14:textId="77777777" w:rsidTr="00EA0FD7">
        <w:trPr>
          <w:trHeight w:val="873"/>
        </w:trPr>
        <w:tc>
          <w:tcPr>
            <w:tcW w:w="300" w:type="dxa"/>
            <w:vMerge/>
            <w:tcBorders>
              <w:top w:val="nil"/>
              <w:left w:val="single" w:sz="8" w:space="0" w:color="auto"/>
              <w:bottom w:val="single" w:sz="8" w:space="0" w:color="000000"/>
              <w:right w:val="single" w:sz="8" w:space="0" w:color="auto"/>
            </w:tcBorders>
            <w:vAlign w:val="center"/>
            <w:hideMark/>
          </w:tcPr>
          <w:p w14:paraId="66F4169A"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300" w:type="dxa"/>
            <w:vMerge/>
            <w:tcBorders>
              <w:top w:val="single" w:sz="4" w:space="0" w:color="auto"/>
              <w:left w:val="single" w:sz="8" w:space="0" w:color="auto"/>
              <w:bottom w:val="single" w:sz="4" w:space="0" w:color="000000"/>
              <w:right w:val="single" w:sz="8" w:space="0" w:color="auto"/>
            </w:tcBorders>
            <w:vAlign w:val="center"/>
            <w:hideMark/>
          </w:tcPr>
          <w:p w14:paraId="3D13F12E"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799" w:type="dxa"/>
            <w:tcBorders>
              <w:top w:val="single" w:sz="4" w:space="0" w:color="auto"/>
              <w:left w:val="nil"/>
              <w:bottom w:val="single" w:sz="4" w:space="0" w:color="auto"/>
              <w:right w:val="nil"/>
            </w:tcBorders>
            <w:hideMark/>
          </w:tcPr>
          <w:p w14:paraId="41184661" w14:textId="537C785B"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EUR</w:t>
            </w:r>
          </w:p>
        </w:tc>
        <w:tc>
          <w:tcPr>
            <w:tcW w:w="1080" w:type="dxa"/>
            <w:tcBorders>
              <w:top w:val="single" w:sz="4" w:space="0" w:color="auto"/>
              <w:left w:val="single" w:sz="8" w:space="0" w:color="auto"/>
              <w:bottom w:val="single" w:sz="4" w:space="0" w:color="auto"/>
              <w:right w:val="single" w:sz="4" w:space="0" w:color="auto"/>
            </w:tcBorders>
            <w:vAlign w:val="bottom"/>
            <w:hideMark/>
          </w:tcPr>
          <w:p w14:paraId="5B50DAD1"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single" w:sz="4" w:space="0" w:color="auto"/>
              <w:left w:val="nil"/>
              <w:bottom w:val="single" w:sz="4" w:space="0" w:color="auto"/>
              <w:right w:val="single" w:sz="4" w:space="0" w:color="auto"/>
            </w:tcBorders>
            <w:vAlign w:val="bottom"/>
            <w:hideMark/>
          </w:tcPr>
          <w:p w14:paraId="47E76D2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3,170.00</w:t>
            </w:r>
          </w:p>
        </w:tc>
        <w:tc>
          <w:tcPr>
            <w:tcW w:w="1080" w:type="dxa"/>
            <w:tcBorders>
              <w:top w:val="single" w:sz="4" w:space="0" w:color="auto"/>
              <w:left w:val="nil"/>
              <w:bottom w:val="single" w:sz="4" w:space="0" w:color="auto"/>
              <w:right w:val="single" w:sz="8" w:space="0" w:color="auto"/>
            </w:tcBorders>
            <w:vAlign w:val="bottom"/>
            <w:hideMark/>
          </w:tcPr>
          <w:p w14:paraId="14523F5E"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3,170.00</w:t>
            </w:r>
          </w:p>
        </w:tc>
        <w:tc>
          <w:tcPr>
            <w:tcW w:w="1214" w:type="dxa"/>
            <w:tcBorders>
              <w:top w:val="single" w:sz="4" w:space="0" w:color="auto"/>
              <w:left w:val="nil"/>
              <w:bottom w:val="single" w:sz="4" w:space="0" w:color="auto"/>
              <w:right w:val="single" w:sz="4" w:space="0" w:color="auto"/>
            </w:tcBorders>
            <w:vAlign w:val="bottom"/>
            <w:hideMark/>
          </w:tcPr>
          <w:p w14:paraId="3255AB5A"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946" w:type="dxa"/>
            <w:tcBorders>
              <w:top w:val="single" w:sz="4" w:space="0" w:color="auto"/>
              <w:left w:val="nil"/>
              <w:bottom w:val="single" w:sz="4" w:space="0" w:color="auto"/>
              <w:right w:val="single" w:sz="4" w:space="0" w:color="auto"/>
            </w:tcBorders>
            <w:vAlign w:val="bottom"/>
            <w:hideMark/>
          </w:tcPr>
          <w:p w14:paraId="1B9B69F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3,170.00</w:t>
            </w:r>
          </w:p>
        </w:tc>
        <w:tc>
          <w:tcPr>
            <w:tcW w:w="1080" w:type="dxa"/>
            <w:tcBorders>
              <w:top w:val="nil"/>
              <w:left w:val="nil"/>
              <w:bottom w:val="single" w:sz="4" w:space="0" w:color="auto"/>
              <w:right w:val="single" w:sz="8" w:space="0" w:color="auto"/>
            </w:tcBorders>
            <w:vAlign w:val="bottom"/>
            <w:hideMark/>
          </w:tcPr>
          <w:p w14:paraId="343E2E5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3,170.00</w:t>
            </w:r>
          </w:p>
        </w:tc>
        <w:tc>
          <w:tcPr>
            <w:tcW w:w="1080" w:type="dxa"/>
            <w:tcBorders>
              <w:top w:val="single" w:sz="4" w:space="0" w:color="auto"/>
              <w:left w:val="nil"/>
              <w:bottom w:val="single" w:sz="4" w:space="0" w:color="auto"/>
              <w:right w:val="single" w:sz="4" w:space="0" w:color="auto"/>
            </w:tcBorders>
            <w:vAlign w:val="bottom"/>
            <w:hideMark/>
          </w:tcPr>
          <w:p w14:paraId="5085474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41" w:type="dxa"/>
            <w:tcBorders>
              <w:top w:val="single" w:sz="4" w:space="0" w:color="auto"/>
              <w:left w:val="nil"/>
              <w:bottom w:val="single" w:sz="4" w:space="0" w:color="auto"/>
              <w:right w:val="single" w:sz="4" w:space="0" w:color="auto"/>
            </w:tcBorders>
            <w:vAlign w:val="bottom"/>
            <w:hideMark/>
          </w:tcPr>
          <w:p w14:paraId="240C500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3,170.00</w:t>
            </w:r>
          </w:p>
        </w:tc>
        <w:tc>
          <w:tcPr>
            <w:tcW w:w="1119" w:type="dxa"/>
            <w:tcBorders>
              <w:top w:val="nil"/>
              <w:left w:val="nil"/>
              <w:bottom w:val="single" w:sz="4" w:space="0" w:color="auto"/>
              <w:right w:val="single" w:sz="8" w:space="0" w:color="auto"/>
            </w:tcBorders>
            <w:vAlign w:val="bottom"/>
            <w:hideMark/>
          </w:tcPr>
          <w:p w14:paraId="0767D3B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3,170.00</w:t>
            </w:r>
          </w:p>
        </w:tc>
        <w:tc>
          <w:tcPr>
            <w:tcW w:w="1260" w:type="dxa"/>
            <w:tcBorders>
              <w:top w:val="nil"/>
              <w:left w:val="nil"/>
              <w:bottom w:val="single" w:sz="4" w:space="0" w:color="auto"/>
              <w:right w:val="single" w:sz="4" w:space="0" w:color="auto"/>
            </w:tcBorders>
            <w:vAlign w:val="bottom"/>
            <w:hideMark/>
          </w:tcPr>
          <w:p w14:paraId="3532213F"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single" w:sz="4" w:space="0" w:color="auto"/>
              <w:right w:val="single" w:sz="4" w:space="0" w:color="auto"/>
            </w:tcBorders>
            <w:vAlign w:val="bottom"/>
            <w:hideMark/>
          </w:tcPr>
          <w:p w14:paraId="5F323AD6"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9,510.00</w:t>
            </w:r>
          </w:p>
        </w:tc>
        <w:tc>
          <w:tcPr>
            <w:tcW w:w="1289" w:type="dxa"/>
            <w:tcBorders>
              <w:top w:val="nil"/>
              <w:left w:val="nil"/>
              <w:bottom w:val="single" w:sz="4" w:space="0" w:color="auto"/>
              <w:right w:val="single" w:sz="8" w:space="0" w:color="auto"/>
            </w:tcBorders>
            <w:vAlign w:val="bottom"/>
            <w:hideMark/>
          </w:tcPr>
          <w:p w14:paraId="2508127D"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9,510.00</w:t>
            </w:r>
          </w:p>
        </w:tc>
      </w:tr>
      <w:tr w:rsidR="00EA0FD7" w:rsidRPr="00AE5455" w14:paraId="2C4F3D83" w14:textId="77777777" w:rsidTr="00EA0FD7">
        <w:trPr>
          <w:trHeight w:val="891"/>
        </w:trPr>
        <w:tc>
          <w:tcPr>
            <w:tcW w:w="300" w:type="dxa"/>
            <w:vMerge/>
            <w:tcBorders>
              <w:top w:val="nil"/>
              <w:left w:val="single" w:sz="8" w:space="0" w:color="auto"/>
              <w:bottom w:val="single" w:sz="8" w:space="0" w:color="000000"/>
              <w:right w:val="single" w:sz="8" w:space="0" w:color="auto"/>
            </w:tcBorders>
            <w:vAlign w:val="center"/>
            <w:hideMark/>
          </w:tcPr>
          <w:p w14:paraId="193A0F5C"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300" w:type="dxa"/>
            <w:vMerge/>
            <w:tcBorders>
              <w:top w:val="single" w:sz="4" w:space="0" w:color="auto"/>
              <w:left w:val="single" w:sz="8" w:space="0" w:color="auto"/>
              <w:bottom w:val="single" w:sz="4" w:space="0" w:color="000000"/>
              <w:right w:val="single" w:sz="8" w:space="0" w:color="auto"/>
            </w:tcBorders>
            <w:vAlign w:val="center"/>
            <w:hideMark/>
          </w:tcPr>
          <w:p w14:paraId="636C0015" w14:textId="77777777" w:rsidR="00EA0FD7" w:rsidRPr="00EA0FD7" w:rsidRDefault="00EA0FD7" w:rsidP="00EA0FD7">
            <w:pPr>
              <w:spacing w:after="0" w:line="240" w:lineRule="auto"/>
              <w:rPr>
                <w:rFonts w:ascii="Arial" w:eastAsia="Times New Roman" w:hAnsi="Arial" w:cs="Arial"/>
                <w:sz w:val="13"/>
                <w:szCs w:val="13"/>
                <w:lang w:val="sr-Cyrl-RS"/>
              </w:rPr>
            </w:pPr>
          </w:p>
        </w:tc>
        <w:tc>
          <w:tcPr>
            <w:tcW w:w="799" w:type="dxa"/>
            <w:shd w:val="clear" w:color="auto" w:fill="FFFF99"/>
            <w:hideMark/>
          </w:tcPr>
          <w:p w14:paraId="414C004B" w14:textId="07CCBD60"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BAM</w:t>
            </w:r>
          </w:p>
        </w:tc>
        <w:tc>
          <w:tcPr>
            <w:tcW w:w="1080" w:type="dxa"/>
            <w:tcBorders>
              <w:top w:val="nil"/>
              <w:left w:val="single" w:sz="8" w:space="0" w:color="auto"/>
              <w:bottom w:val="nil"/>
              <w:right w:val="single" w:sz="4" w:space="0" w:color="auto"/>
            </w:tcBorders>
            <w:shd w:val="clear" w:color="auto" w:fill="FFFF99"/>
            <w:vAlign w:val="bottom"/>
            <w:hideMark/>
          </w:tcPr>
          <w:p w14:paraId="1BB40ED8"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nil"/>
              <w:right w:val="single" w:sz="4" w:space="0" w:color="auto"/>
            </w:tcBorders>
            <w:shd w:val="clear" w:color="auto" w:fill="FFFF99"/>
            <w:vAlign w:val="bottom"/>
            <w:hideMark/>
          </w:tcPr>
          <w:p w14:paraId="65AA46E3"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6,200.00</w:t>
            </w:r>
          </w:p>
        </w:tc>
        <w:tc>
          <w:tcPr>
            <w:tcW w:w="1080" w:type="dxa"/>
            <w:tcBorders>
              <w:top w:val="nil"/>
              <w:left w:val="nil"/>
              <w:bottom w:val="nil"/>
              <w:right w:val="single" w:sz="8" w:space="0" w:color="auto"/>
            </w:tcBorders>
            <w:shd w:val="clear" w:color="auto" w:fill="FFFF99"/>
            <w:vAlign w:val="bottom"/>
            <w:hideMark/>
          </w:tcPr>
          <w:p w14:paraId="506E6B2C"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6,200.00</w:t>
            </w:r>
          </w:p>
        </w:tc>
        <w:tc>
          <w:tcPr>
            <w:tcW w:w="1214" w:type="dxa"/>
            <w:tcBorders>
              <w:top w:val="nil"/>
              <w:left w:val="nil"/>
              <w:bottom w:val="nil"/>
              <w:right w:val="single" w:sz="4" w:space="0" w:color="auto"/>
            </w:tcBorders>
            <w:shd w:val="clear" w:color="auto" w:fill="FFFF99"/>
            <w:vAlign w:val="bottom"/>
            <w:hideMark/>
          </w:tcPr>
          <w:p w14:paraId="371268BA"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946" w:type="dxa"/>
            <w:tcBorders>
              <w:top w:val="nil"/>
              <w:left w:val="nil"/>
              <w:bottom w:val="nil"/>
              <w:right w:val="single" w:sz="4" w:space="0" w:color="auto"/>
            </w:tcBorders>
            <w:shd w:val="clear" w:color="auto" w:fill="FFFF99"/>
            <w:vAlign w:val="bottom"/>
            <w:hideMark/>
          </w:tcPr>
          <w:p w14:paraId="58487711"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6,200.00</w:t>
            </w:r>
          </w:p>
        </w:tc>
        <w:tc>
          <w:tcPr>
            <w:tcW w:w="1080" w:type="dxa"/>
            <w:tcBorders>
              <w:top w:val="nil"/>
              <w:left w:val="nil"/>
              <w:bottom w:val="nil"/>
              <w:right w:val="single" w:sz="8" w:space="0" w:color="auto"/>
            </w:tcBorders>
            <w:shd w:val="clear" w:color="auto" w:fill="FFFF99"/>
            <w:vAlign w:val="bottom"/>
            <w:hideMark/>
          </w:tcPr>
          <w:p w14:paraId="6F0CBCA9"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6,200.00</w:t>
            </w:r>
          </w:p>
        </w:tc>
        <w:tc>
          <w:tcPr>
            <w:tcW w:w="1080" w:type="dxa"/>
            <w:tcBorders>
              <w:top w:val="nil"/>
              <w:left w:val="nil"/>
              <w:bottom w:val="nil"/>
              <w:right w:val="single" w:sz="4" w:space="0" w:color="auto"/>
            </w:tcBorders>
            <w:shd w:val="clear" w:color="auto" w:fill="FFFF99"/>
            <w:vAlign w:val="bottom"/>
            <w:hideMark/>
          </w:tcPr>
          <w:p w14:paraId="56AE9867"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41" w:type="dxa"/>
            <w:tcBorders>
              <w:top w:val="nil"/>
              <w:left w:val="nil"/>
              <w:bottom w:val="nil"/>
              <w:right w:val="single" w:sz="4" w:space="0" w:color="auto"/>
            </w:tcBorders>
            <w:shd w:val="clear" w:color="auto" w:fill="FFFF99"/>
            <w:vAlign w:val="bottom"/>
            <w:hideMark/>
          </w:tcPr>
          <w:p w14:paraId="03198EC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6,200.00</w:t>
            </w:r>
          </w:p>
        </w:tc>
        <w:tc>
          <w:tcPr>
            <w:tcW w:w="1119" w:type="dxa"/>
            <w:tcBorders>
              <w:top w:val="nil"/>
              <w:left w:val="nil"/>
              <w:bottom w:val="nil"/>
              <w:right w:val="single" w:sz="8" w:space="0" w:color="auto"/>
            </w:tcBorders>
            <w:shd w:val="clear" w:color="auto" w:fill="FFFF99"/>
            <w:vAlign w:val="bottom"/>
            <w:hideMark/>
          </w:tcPr>
          <w:p w14:paraId="0685FB60"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6,200.00</w:t>
            </w:r>
          </w:p>
        </w:tc>
        <w:tc>
          <w:tcPr>
            <w:tcW w:w="1260" w:type="dxa"/>
            <w:tcBorders>
              <w:top w:val="nil"/>
              <w:left w:val="nil"/>
              <w:bottom w:val="nil"/>
              <w:right w:val="single" w:sz="4" w:space="0" w:color="auto"/>
            </w:tcBorders>
            <w:shd w:val="clear" w:color="auto" w:fill="FFFF99"/>
            <w:vAlign w:val="bottom"/>
            <w:hideMark/>
          </w:tcPr>
          <w:p w14:paraId="5D093804"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0.00</w:t>
            </w:r>
          </w:p>
        </w:tc>
        <w:tc>
          <w:tcPr>
            <w:tcW w:w="1080" w:type="dxa"/>
            <w:tcBorders>
              <w:top w:val="nil"/>
              <w:left w:val="nil"/>
              <w:bottom w:val="nil"/>
              <w:right w:val="single" w:sz="4" w:space="0" w:color="auto"/>
            </w:tcBorders>
            <w:shd w:val="clear" w:color="auto" w:fill="FFFF99"/>
            <w:vAlign w:val="bottom"/>
            <w:hideMark/>
          </w:tcPr>
          <w:p w14:paraId="45B6CD61"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18,600.00</w:t>
            </w:r>
          </w:p>
        </w:tc>
        <w:tc>
          <w:tcPr>
            <w:tcW w:w="1289" w:type="dxa"/>
            <w:tcBorders>
              <w:top w:val="nil"/>
              <w:left w:val="nil"/>
              <w:bottom w:val="nil"/>
              <w:right w:val="single" w:sz="8" w:space="0" w:color="auto"/>
            </w:tcBorders>
            <w:shd w:val="clear" w:color="auto" w:fill="FFFF99"/>
            <w:vAlign w:val="bottom"/>
            <w:hideMark/>
          </w:tcPr>
          <w:p w14:paraId="10F1EE4A"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18,600.00</w:t>
            </w:r>
          </w:p>
        </w:tc>
      </w:tr>
      <w:tr w:rsidR="00EA0FD7" w:rsidRPr="00AE5455" w14:paraId="36717B22" w14:textId="77777777" w:rsidTr="00EA0FD7">
        <w:trPr>
          <w:trHeight w:val="1044"/>
        </w:trPr>
        <w:tc>
          <w:tcPr>
            <w:tcW w:w="445" w:type="dxa"/>
            <w:vMerge w:val="restart"/>
            <w:tcBorders>
              <w:top w:val="nil"/>
              <w:left w:val="single" w:sz="8" w:space="0" w:color="auto"/>
              <w:bottom w:val="nil"/>
              <w:right w:val="nil"/>
            </w:tcBorders>
            <w:shd w:val="clear" w:color="auto" w:fill="C0C0C0"/>
            <w:vAlign w:val="center"/>
            <w:hideMark/>
          </w:tcPr>
          <w:p w14:paraId="76F7A001" w14:textId="77777777" w:rsidR="00EA0FD7" w:rsidRPr="00EA0FD7" w:rsidRDefault="00EA0FD7" w:rsidP="00EA0FD7">
            <w:pPr>
              <w:spacing w:after="0" w:line="240" w:lineRule="auto"/>
              <w:jc w:val="center"/>
              <w:rPr>
                <w:rFonts w:ascii="Arial" w:eastAsia="Times New Roman" w:hAnsi="Arial" w:cs="Arial"/>
                <w:b/>
                <w:bCs/>
                <w:sz w:val="15"/>
                <w:szCs w:val="15"/>
                <w:lang w:val="sr-Cyrl-RS"/>
              </w:rPr>
            </w:pPr>
            <w:r w:rsidRPr="00EA0FD7">
              <w:rPr>
                <w:rFonts w:ascii="Arial" w:eastAsia="Times New Roman" w:hAnsi="Arial" w:cs="Arial"/>
                <w:b/>
                <w:bCs/>
                <w:sz w:val="15"/>
                <w:szCs w:val="15"/>
                <w:lang w:val="sr-Cyrl-RS"/>
              </w:rPr>
              <w:t>А</w:t>
            </w:r>
          </w:p>
        </w:tc>
        <w:tc>
          <w:tcPr>
            <w:tcW w:w="1550" w:type="dxa"/>
            <w:vMerge w:val="restart"/>
            <w:tcBorders>
              <w:top w:val="nil"/>
              <w:left w:val="single" w:sz="8" w:space="0" w:color="auto"/>
              <w:bottom w:val="nil"/>
              <w:right w:val="single" w:sz="8" w:space="0" w:color="auto"/>
            </w:tcBorders>
            <w:shd w:val="clear" w:color="auto" w:fill="C0C0C0"/>
            <w:vAlign w:val="center"/>
            <w:hideMark/>
          </w:tcPr>
          <w:p w14:paraId="14C24944" w14:textId="40E26679" w:rsidR="00EA0FD7" w:rsidRPr="00EA0FD7" w:rsidRDefault="00EA0FD7" w:rsidP="00EA0FD7">
            <w:pPr>
              <w:spacing w:after="0" w:line="240" w:lineRule="auto"/>
              <w:jc w:val="center"/>
              <w:rPr>
                <w:rFonts w:ascii="Arial" w:eastAsia="Times New Roman" w:hAnsi="Arial" w:cs="Arial"/>
                <w:b/>
                <w:bCs/>
                <w:sz w:val="15"/>
                <w:szCs w:val="15"/>
                <w:lang w:val="sr-Cyrl-RS"/>
              </w:rPr>
            </w:pPr>
            <w:r w:rsidRPr="00EA0FD7">
              <w:rPr>
                <w:rFonts w:ascii="Arial" w:eastAsia="Times New Roman" w:hAnsi="Arial" w:cs="Arial"/>
                <w:b/>
                <w:bCs/>
                <w:sz w:val="15"/>
                <w:szCs w:val="15"/>
                <w:lang w:val="sr-Cyrl-RS"/>
              </w:rPr>
              <w:t xml:space="preserve">УКУПАН </w:t>
            </w:r>
            <w:r w:rsidR="00752F04">
              <w:rPr>
                <w:rFonts w:ascii="Arial" w:eastAsia="Times New Roman" w:hAnsi="Arial" w:cs="Arial"/>
                <w:b/>
                <w:bCs/>
                <w:sz w:val="15"/>
                <w:szCs w:val="15"/>
                <w:lang w:val="bs-Cyrl-BA"/>
              </w:rPr>
              <w:t>СПОЉНИ</w:t>
            </w:r>
            <w:r w:rsidRPr="00EA0FD7">
              <w:rPr>
                <w:rFonts w:ascii="Arial" w:eastAsia="Times New Roman" w:hAnsi="Arial" w:cs="Arial"/>
                <w:b/>
                <w:bCs/>
                <w:sz w:val="15"/>
                <w:szCs w:val="15"/>
                <w:lang w:val="sr-Cyrl-RS"/>
              </w:rPr>
              <w:t xml:space="preserve"> ДУГ </w:t>
            </w:r>
            <w:r w:rsidRPr="00EA0FD7">
              <w:rPr>
                <w:rFonts w:ascii="Arial" w:eastAsia="Times New Roman" w:hAnsi="Arial" w:cs="Arial"/>
                <w:b/>
                <w:bCs/>
                <w:sz w:val="15"/>
                <w:szCs w:val="15"/>
                <w:lang w:val="sr-Cyrl-RS"/>
              </w:rPr>
              <w:br/>
              <w:t>(1+2+3+4+5+6+7+8+9+10+11+12)</w:t>
            </w:r>
          </w:p>
        </w:tc>
        <w:tc>
          <w:tcPr>
            <w:tcW w:w="799" w:type="dxa"/>
            <w:tcBorders>
              <w:top w:val="single" w:sz="8" w:space="0" w:color="auto"/>
              <w:left w:val="nil"/>
              <w:bottom w:val="single" w:sz="4" w:space="0" w:color="auto"/>
              <w:right w:val="nil"/>
            </w:tcBorders>
            <w:shd w:val="clear" w:color="auto" w:fill="C0C0C0"/>
            <w:hideMark/>
          </w:tcPr>
          <w:p w14:paraId="7C8175C3" w14:textId="47316BC2"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USD</w:t>
            </w:r>
          </w:p>
        </w:tc>
        <w:tc>
          <w:tcPr>
            <w:tcW w:w="1080" w:type="dxa"/>
            <w:tcBorders>
              <w:top w:val="single" w:sz="8" w:space="0" w:color="auto"/>
              <w:left w:val="single" w:sz="8" w:space="0" w:color="auto"/>
              <w:bottom w:val="single" w:sz="4" w:space="0" w:color="auto"/>
              <w:right w:val="single" w:sz="4" w:space="0" w:color="auto"/>
            </w:tcBorders>
            <w:shd w:val="clear" w:color="auto" w:fill="C0C0C0"/>
            <w:vAlign w:val="bottom"/>
            <w:hideMark/>
          </w:tcPr>
          <w:p w14:paraId="0D8FC5A9"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106,912.00</w:t>
            </w:r>
          </w:p>
        </w:tc>
        <w:tc>
          <w:tcPr>
            <w:tcW w:w="1080" w:type="dxa"/>
            <w:tcBorders>
              <w:top w:val="single" w:sz="8" w:space="0" w:color="auto"/>
              <w:left w:val="single" w:sz="8" w:space="0" w:color="auto"/>
              <w:bottom w:val="single" w:sz="4" w:space="0" w:color="auto"/>
              <w:right w:val="single" w:sz="4" w:space="0" w:color="auto"/>
            </w:tcBorders>
            <w:shd w:val="clear" w:color="auto" w:fill="C0C0C0"/>
            <w:vAlign w:val="bottom"/>
            <w:hideMark/>
          </w:tcPr>
          <w:p w14:paraId="5F9E95C5"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17,471.00</w:t>
            </w:r>
          </w:p>
        </w:tc>
        <w:tc>
          <w:tcPr>
            <w:tcW w:w="1080" w:type="dxa"/>
            <w:tcBorders>
              <w:top w:val="single" w:sz="8" w:space="0" w:color="auto"/>
              <w:left w:val="single" w:sz="8" w:space="0" w:color="auto"/>
              <w:bottom w:val="single" w:sz="4" w:space="0" w:color="auto"/>
              <w:right w:val="single" w:sz="4" w:space="0" w:color="auto"/>
            </w:tcBorders>
            <w:shd w:val="clear" w:color="auto" w:fill="C0C0C0"/>
            <w:vAlign w:val="bottom"/>
            <w:hideMark/>
          </w:tcPr>
          <w:p w14:paraId="61E49B4E"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124,383.00</w:t>
            </w:r>
          </w:p>
        </w:tc>
        <w:tc>
          <w:tcPr>
            <w:tcW w:w="1214" w:type="dxa"/>
            <w:tcBorders>
              <w:top w:val="single" w:sz="8" w:space="0" w:color="auto"/>
              <w:left w:val="single" w:sz="8" w:space="0" w:color="auto"/>
              <w:bottom w:val="single" w:sz="4" w:space="0" w:color="auto"/>
              <w:right w:val="single" w:sz="4" w:space="0" w:color="auto"/>
            </w:tcBorders>
            <w:shd w:val="clear" w:color="auto" w:fill="C0C0C0"/>
            <w:vAlign w:val="bottom"/>
            <w:hideMark/>
          </w:tcPr>
          <w:p w14:paraId="1A26D907"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107,916.00</w:t>
            </w:r>
          </w:p>
        </w:tc>
        <w:tc>
          <w:tcPr>
            <w:tcW w:w="946" w:type="dxa"/>
            <w:tcBorders>
              <w:top w:val="single" w:sz="8" w:space="0" w:color="auto"/>
              <w:left w:val="single" w:sz="8" w:space="0" w:color="auto"/>
              <w:bottom w:val="single" w:sz="4" w:space="0" w:color="auto"/>
              <w:right w:val="single" w:sz="4" w:space="0" w:color="auto"/>
            </w:tcBorders>
            <w:shd w:val="clear" w:color="auto" w:fill="C0C0C0"/>
            <w:vAlign w:val="bottom"/>
            <w:hideMark/>
          </w:tcPr>
          <w:p w14:paraId="5F60A547"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15,267.00</w:t>
            </w:r>
          </w:p>
        </w:tc>
        <w:tc>
          <w:tcPr>
            <w:tcW w:w="1080" w:type="dxa"/>
            <w:tcBorders>
              <w:top w:val="single" w:sz="8" w:space="0" w:color="auto"/>
              <w:left w:val="single" w:sz="8" w:space="0" w:color="auto"/>
              <w:bottom w:val="single" w:sz="4" w:space="0" w:color="auto"/>
              <w:right w:val="single" w:sz="4" w:space="0" w:color="auto"/>
            </w:tcBorders>
            <w:shd w:val="clear" w:color="auto" w:fill="C0C0C0"/>
            <w:vAlign w:val="bottom"/>
            <w:hideMark/>
          </w:tcPr>
          <w:p w14:paraId="19B1766D"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123,183.00</w:t>
            </w:r>
          </w:p>
        </w:tc>
        <w:tc>
          <w:tcPr>
            <w:tcW w:w="1080" w:type="dxa"/>
            <w:tcBorders>
              <w:top w:val="single" w:sz="8" w:space="0" w:color="auto"/>
              <w:left w:val="single" w:sz="8" w:space="0" w:color="auto"/>
              <w:bottom w:val="single" w:sz="4" w:space="0" w:color="auto"/>
              <w:right w:val="single" w:sz="4" w:space="0" w:color="auto"/>
            </w:tcBorders>
            <w:shd w:val="clear" w:color="auto" w:fill="C0C0C0"/>
            <w:vAlign w:val="bottom"/>
            <w:hideMark/>
          </w:tcPr>
          <w:p w14:paraId="48190113"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108,945.00</w:t>
            </w:r>
          </w:p>
        </w:tc>
        <w:tc>
          <w:tcPr>
            <w:tcW w:w="1041" w:type="dxa"/>
            <w:tcBorders>
              <w:top w:val="single" w:sz="8" w:space="0" w:color="auto"/>
              <w:left w:val="single" w:sz="8" w:space="0" w:color="auto"/>
              <w:bottom w:val="single" w:sz="4" w:space="0" w:color="auto"/>
              <w:right w:val="single" w:sz="4" w:space="0" w:color="auto"/>
            </w:tcBorders>
            <w:shd w:val="clear" w:color="auto" w:fill="C0C0C0"/>
            <w:vAlign w:val="bottom"/>
            <w:hideMark/>
          </w:tcPr>
          <w:p w14:paraId="024B08B4"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13,138.00</w:t>
            </w:r>
          </w:p>
        </w:tc>
        <w:tc>
          <w:tcPr>
            <w:tcW w:w="1119" w:type="dxa"/>
            <w:tcBorders>
              <w:top w:val="single" w:sz="8" w:space="0" w:color="auto"/>
              <w:left w:val="single" w:sz="8" w:space="0" w:color="auto"/>
              <w:bottom w:val="single" w:sz="4" w:space="0" w:color="auto"/>
              <w:right w:val="single" w:sz="4" w:space="0" w:color="auto"/>
            </w:tcBorders>
            <w:shd w:val="clear" w:color="auto" w:fill="C0C0C0"/>
            <w:vAlign w:val="bottom"/>
            <w:hideMark/>
          </w:tcPr>
          <w:p w14:paraId="139989DB"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122,083.00</w:t>
            </w:r>
          </w:p>
        </w:tc>
        <w:tc>
          <w:tcPr>
            <w:tcW w:w="1260" w:type="dxa"/>
            <w:tcBorders>
              <w:top w:val="single" w:sz="8" w:space="0" w:color="auto"/>
              <w:left w:val="single" w:sz="8" w:space="0" w:color="auto"/>
              <w:bottom w:val="single" w:sz="4" w:space="0" w:color="auto"/>
              <w:right w:val="single" w:sz="4" w:space="0" w:color="auto"/>
            </w:tcBorders>
            <w:shd w:val="clear" w:color="auto" w:fill="C0C0C0"/>
            <w:vAlign w:val="bottom"/>
            <w:hideMark/>
          </w:tcPr>
          <w:p w14:paraId="044A4D56"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323,773.00</w:t>
            </w:r>
          </w:p>
        </w:tc>
        <w:tc>
          <w:tcPr>
            <w:tcW w:w="1080" w:type="dxa"/>
            <w:tcBorders>
              <w:top w:val="single" w:sz="8" w:space="0" w:color="auto"/>
              <w:left w:val="single" w:sz="8" w:space="0" w:color="auto"/>
              <w:bottom w:val="single" w:sz="4" w:space="0" w:color="auto"/>
              <w:right w:val="single" w:sz="4" w:space="0" w:color="auto"/>
            </w:tcBorders>
            <w:shd w:val="clear" w:color="auto" w:fill="C0C0C0"/>
            <w:vAlign w:val="bottom"/>
            <w:hideMark/>
          </w:tcPr>
          <w:p w14:paraId="31859E41"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45,876.00</w:t>
            </w:r>
          </w:p>
        </w:tc>
        <w:tc>
          <w:tcPr>
            <w:tcW w:w="1289" w:type="dxa"/>
            <w:tcBorders>
              <w:top w:val="single" w:sz="8" w:space="0" w:color="auto"/>
              <w:left w:val="single" w:sz="8" w:space="0" w:color="auto"/>
              <w:bottom w:val="single" w:sz="4" w:space="0" w:color="auto"/>
              <w:right w:val="single" w:sz="8" w:space="0" w:color="auto"/>
            </w:tcBorders>
            <w:shd w:val="clear" w:color="auto" w:fill="C0C0C0"/>
            <w:vAlign w:val="bottom"/>
            <w:hideMark/>
          </w:tcPr>
          <w:p w14:paraId="6E14FE6D"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369,649.00</w:t>
            </w:r>
          </w:p>
        </w:tc>
      </w:tr>
      <w:tr w:rsidR="00EA0FD7" w:rsidRPr="00AE5455" w14:paraId="092CF773" w14:textId="77777777" w:rsidTr="00EA0FD7">
        <w:trPr>
          <w:trHeight w:val="1252"/>
        </w:trPr>
        <w:tc>
          <w:tcPr>
            <w:tcW w:w="300" w:type="dxa"/>
            <w:vMerge/>
            <w:tcBorders>
              <w:top w:val="nil"/>
              <w:left w:val="single" w:sz="8" w:space="0" w:color="auto"/>
              <w:bottom w:val="nil"/>
              <w:right w:val="nil"/>
            </w:tcBorders>
            <w:vAlign w:val="center"/>
            <w:hideMark/>
          </w:tcPr>
          <w:p w14:paraId="3A8D919B" w14:textId="77777777" w:rsidR="00EA0FD7" w:rsidRPr="00EA0FD7" w:rsidRDefault="00EA0FD7" w:rsidP="00EA0FD7">
            <w:pPr>
              <w:spacing w:after="0" w:line="240" w:lineRule="auto"/>
              <w:rPr>
                <w:rFonts w:ascii="Arial" w:eastAsia="Times New Roman" w:hAnsi="Arial" w:cs="Arial"/>
                <w:b/>
                <w:bCs/>
                <w:sz w:val="15"/>
                <w:szCs w:val="15"/>
                <w:lang w:val="sr-Cyrl-RS"/>
              </w:rPr>
            </w:pPr>
          </w:p>
        </w:tc>
        <w:tc>
          <w:tcPr>
            <w:tcW w:w="300" w:type="dxa"/>
            <w:vMerge/>
            <w:tcBorders>
              <w:top w:val="nil"/>
              <w:left w:val="single" w:sz="8" w:space="0" w:color="auto"/>
              <w:bottom w:val="nil"/>
              <w:right w:val="single" w:sz="8" w:space="0" w:color="auto"/>
            </w:tcBorders>
            <w:vAlign w:val="center"/>
            <w:hideMark/>
          </w:tcPr>
          <w:p w14:paraId="6417C15F" w14:textId="77777777" w:rsidR="00EA0FD7" w:rsidRPr="00EA0FD7" w:rsidRDefault="00EA0FD7" w:rsidP="00EA0FD7">
            <w:pPr>
              <w:spacing w:after="0" w:line="240" w:lineRule="auto"/>
              <w:rPr>
                <w:rFonts w:ascii="Arial" w:eastAsia="Times New Roman" w:hAnsi="Arial" w:cs="Arial"/>
                <w:b/>
                <w:bCs/>
                <w:sz w:val="15"/>
                <w:szCs w:val="15"/>
                <w:lang w:val="sr-Cyrl-RS"/>
              </w:rPr>
            </w:pPr>
          </w:p>
        </w:tc>
        <w:tc>
          <w:tcPr>
            <w:tcW w:w="799" w:type="dxa"/>
            <w:tcBorders>
              <w:top w:val="nil"/>
              <w:left w:val="nil"/>
              <w:bottom w:val="single" w:sz="4" w:space="0" w:color="auto"/>
              <w:right w:val="nil"/>
            </w:tcBorders>
            <w:shd w:val="clear" w:color="auto" w:fill="C0C0C0"/>
            <w:vAlign w:val="center"/>
            <w:hideMark/>
          </w:tcPr>
          <w:p w14:paraId="7E624016" w14:textId="419EB32F" w:rsidR="00EA0FD7" w:rsidRPr="00EA0FD7" w:rsidRDefault="00752F04" w:rsidP="00EA0FD7">
            <w:pPr>
              <w:spacing w:after="0" w:line="240" w:lineRule="auto"/>
              <w:jc w:val="center"/>
              <w:rPr>
                <w:rFonts w:ascii="Arial" w:eastAsia="Times New Roman" w:hAnsi="Arial" w:cs="Arial"/>
                <w:sz w:val="13"/>
                <w:szCs w:val="13"/>
                <w:lang w:val="sr-Cyrl-RS"/>
              </w:rPr>
            </w:pPr>
            <w:r>
              <w:rPr>
                <w:rFonts w:ascii="Arial" w:eastAsia="Times New Roman" w:hAnsi="Arial" w:cs="Arial"/>
                <w:sz w:val="13"/>
                <w:szCs w:val="13"/>
                <w:lang w:val="sr-Cyrl-RS"/>
              </w:rPr>
              <w:t>EUR</w:t>
            </w:r>
          </w:p>
        </w:tc>
        <w:tc>
          <w:tcPr>
            <w:tcW w:w="1080" w:type="dxa"/>
            <w:tcBorders>
              <w:top w:val="nil"/>
              <w:left w:val="single" w:sz="8" w:space="0" w:color="auto"/>
              <w:bottom w:val="single" w:sz="4" w:space="0" w:color="auto"/>
              <w:right w:val="single" w:sz="4" w:space="0" w:color="auto"/>
            </w:tcBorders>
            <w:shd w:val="clear" w:color="auto" w:fill="C0C0C0"/>
            <w:vAlign w:val="bottom"/>
            <w:hideMark/>
          </w:tcPr>
          <w:p w14:paraId="1A417F62"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3,844,035.20</w:t>
            </w:r>
          </w:p>
        </w:tc>
        <w:tc>
          <w:tcPr>
            <w:tcW w:w="1080" w:type="dxa"/>
            <w:tcBorders>
              <w:top w:val="nil"/>
              <w:left w:val="single" w:sz="8" w:space="0" w:color="auto"/>
              <w:bottom w:val="single" w:sz="4" w:space="0" w:color="auto"/>
              <w:right w:val="single" w:sz="4" w:space="0" w:color="auto"/>
            </w:tcBorders>
            <w:shd w:val="clear" w:color="auto" w:fill="C0C0C0"/>
            <w:vAlign w:val="bottom"/>
            <w:hideMark/>
          </w:tcPr>
          <w:p w14:paraId="5DC0A1F3"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202,236.41</w:t>
            </w:r>
          </w:p>
        </w:tc>
        <w:tc>
          <w:tcPr>
            <w:tcW w:w="1080" w:type="dxa"/>
            <w:tcBorders>
              <w:top w:val="nil"/>
              <w:left w:val="single" w:sz="8" w:space="0" w:color="auto"/>
              <w:bottom w:val="single" w:sz="4" w:space="0" w:color="auto"/>
              <w:right w:val="single" w:sz="4" w:space="0" w:color="auto"/>
            </w:tcBorders>
            <w:shd w:val="clear" w:color="auto" w:fill="C0C0C0"/>
            <w:vAlign w:val="bottom"/>
            <w:hideMark/>
          </w:tcPr>
          <w:p w14:paraId="4211CED4"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4,046,271.61</w:t>
            </w:r>
          </w:p>
        </w:tc>
        <w:tc>
          <w:tcPr>
            <w:tcW w:w="1214" w:type="dxa"/>
            <w:tcBorders>
              <w:top w:val="nil"/>
              <w:left w:val="single" w:sz="8" w:space="0" w:color="auto"/>
              <w:bottom w:val="single" w:sz="4" w:space="0" w:color="auto"/>
              <w:right w:val="single" w:sz="4" w:space="0" w:color="auto"/>
            </w:tcBorders>
            <w:shd w:val="clear" w:color="auto" w:fill="C0C0C0"/>
            <w:vAlign w:val="bottom"/>
            <w:hideMark/>
          </w:tcPr>
          <w:p w14:paraId="403875E7"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4,145,206.54</w:t>
            </w:r>
          </w:p>
        </w:tc>
        <w:tc>
          <w:tcPr>
            <w:tcW w:w="946" w:type="dxa"/>
            <w:tcBorders>
              <w:top w:val="nil"/>
              <w:left w:val="single" w:sz="8" w:space="0" w:color="auto"/>
              <w:bottom w:val="single" w:sz="4" w:space="0" w:color="auto"/>
              <w:right w:val="single" w:sz="4" w:space="0" w:color="auto"/>
            </w:tcBorders>
            <w:shd w:val="clear" w:color="auto" w:fill="C0C0C0"/>
            <w:vAlign w:val="bottom"/>
            <w:hideMark/>
          </w:tcPr>
          <w:p w14:paraId="5110056B"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175,137.76</w:t>
            </w:r>
          </w:p>
        </w:tc>
        <w:tc>
          <w:tcPr>
            <w:tcW w:w="1080" w:type="dxa"/>
            <w:tcBorders>
              <w:top w:val="nil"/>
              <w:left w:val="single" w:sz="8" w:space="0" w:color="auto"/>
              <w:bottom w:val="single" w:sz="4" w:space="0" w:color="auto"/>
              <w:right w:val="single" w:sz="4" w:space="0" w:color="auto"/>
            </w:tcBorders>
            <w:shd w:val="clear" w:color="auto" w:fill="C0C0C0"/>
            <w:vAlign w:val="bottom"/>
            <w:hideMark/>
          </w:tcPr>
          <w:p w14:paraId="6EACC64A"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4,320,344.30</w:t>
            </w:r>
          </w:p>
        </w:tc>
        <w:tc>
          <w:tcPr>
            <w:tcW w:w="1080" w:type="dxa"/>
            <w:tcBorders>
              <w:top w:val="nil"/>
              <w:left w:val="single" w:sz="8" w:space="0" w:color="auto"/>
              <w:bottom w:val="single" w:sz="4" w:space="0" w:color="auto"/>
              <w:right w:val="single" w:sz="4" w:space="0" w:color="auto"/>
            </w:tcBorders>
            <w:shd w:val="clear" w:color="auto" w:fill="C0C0C0"/>
            <w:vAlign w:val="bottom"/>
            <w:hideMark/>
          </w:tcPr>
          <w:p w14:paraId="753FFEB7"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4,323,905.74</w:t>
            </w:r>
          </w:p>
        </w:tc>
        <w:tc>
          <w:tcPr>
            <w:tcW w:w="1041" w:type="dxa"/>
            <w:tcBorders>
              <w:top w:val="nil"/>
              <w:left w:val="single" w:sz="8" w:space="0" w:color="auto"/>
              <w:bottom w:val="single" w:sz="4" w:space="0" w:color="auto"/>
              <w:right w:val="single" w:sz="4" w:space="0" w:color="auto"/>
            </w:tcBorders>
            <w:shd w:val="clear" w:color="auto" w:fill="C0C0C0"/>
            <w:vAlign w:val="bottom"/>
            <w:hideMark/>
          </w:tcPr>
          <w:p w14:paraId="331B99CF"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138,548.31</w:t>
            </w:r>
          </w:p>
        </w:tc>
        <w:tc>
          <w:tcPr>
            <w:tcW w:w="1119" w:type="dxa"/>
            <w:tcBorders>
              <w:top w:val="nil"/>
              <w:left w:val="single" w:sz="8" w:space="0" w:color="auto"/>
              <w:bottom w:val="single" w:sz="4" w:space="0" w:color="auto"/>
              <w:right w:val="single" w:sz="4" w:space="0" w:color="auto"/>
            </w:tcBorders>
            <w:shd w:val="clear" w:color="auto" w:fill="C0C0C0"/>
            <w:vAlign w:val="bottom"/>
            <w:hideMark/>
          </w:tcPr>
          <w:p w14:paraId="44E86042"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4,462,454.05</w:t>
            </w:r>
          </w:p>
        </w:tc>
        <w:tc>
          <w:tcPr>
            <w:tcW w:w="1260" w:type="dxa"/>
            <w:tcBorders>
              <w:top w:val="nil"/>
              <w:left w:val="single" w:sz="8" w:space="0" w:color="auto"/>
              <w:bottom w:val="single" w:sz="4" w:space="0" w:color="auto"/>
              <w:right w:val="single" w:sz="4" w:space="0" w:color="auto"/>
            </w:tcBorders>
            <w:shd w:val="clear" w:color="auto" w:fill="C0C0C0"/>
            <w:vAlign w:val="bottom"/>
            <w:hideMark/>
          </w:tcPr>
          <w:p w14:paraId="21C19773"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12,313,147.48</w:t>
            </w:r>
          </w:p>
        </w:tc>
        <w:tc>
          <w:tcPr>
            <w:tcW w:w="1080" w:type="dxa"/>
            <w:tcBorders>
              <w:top w:val="nil"/>
              <w:left w:val="single" w:sz="8" w:space="0" w:color="auto"/>
              <w:bottom w:val="single" w:sz="4" w:space="0" w:color="auto"/>
              <w:right w:val="single" w:sz="4" w:space="0" w:color="auto"/>
            </w:tcBorders>
            <w:shd w:val="clear" w:color="auto" w:fill="C0C0C0"/>
            <w:vAlign w:val="bottom"/>
            <w:hideMark/>
          </w:tcPr>
          <w:p w14:paraId="1ADBD798"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515,922.48</w:t>
            </w:r>
          </w:p>
        </w:tc>
        <w:tc>
          <w:tcPr>
            <w:tcW w:w="1289" w:type="dxa"/>
            <w:tcBorders>
              <w:top w:val="nil"/>
              <w:left w:val="single" w:sz="8" w:space="0" w:color="auto"/>
              <w:bottom w:val="single" w:sz="4" w:space="0" w:color="auto"/>
              <w:right w:val="single" w:sz="8" w:space="0" w:color="auto"/>
            </w:tcBorders>
            <w:shd w:val="clear" w:color="auto" w:fill="C0C0C0"/>
            <w:vAlign w:val="bottom"/>
            <w:hideMark/>
          </w:tcPr>
          <w:p w14:paraId="7EEA9A43"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12,829,069.96</w:t>
            </w:r>
          </w:p>
        </w:tc>
      </w:tr>
      <w:tr w:rsidR="00EA0FD7" w:rsidRPr="00AE5455" w14:paraId="01223C42" w14:textId="77777777" w:rsidTr="00EA0FD7">
        <w:trPr>
          <w:trHeight w:val="901"/>
        </w:trPr>
        <w:tc>
          <w:tcPr>
            <w:tcW w:w="300" w:type="dxa"/>
            <w:vMerge/>
            <w:tcBorders>
              <w:top w:val="nil"/>
              <w:left w:val="single" w:sz="8" w:space="0" w:color="auto"/>
              <w:bottom w:val="nil"/>
              <w:right w:val="nil"/>
            </w:tcBorders>
            <w:vAlign w:val="center"/>
            <w:hideMark/>
          </w:tcPr>
          <w:p w14:paraId="1D1DBB0A" w14:textId="77777777" w:rsidR="00EA0FD7" w:rsidRPr="00EA0FD7" w:rsidRDefault="00EA0FD7" w:rsidP="00EA0FD7">
            <w:pPr>
              <w:spacing w:after="0" w:line="240" w:lineRule="auto"/>
              <w:rPr>
                <w:rFonts w:ascii="Arial" w:eastAsia="Times New Roman" w:hAnsi="Arial" w:cs="Arial"/>
                <w:b/>
                <w:bCs/>
                <w:sz w:val="15"/>
                <w:szCs w:val="15"/>
                <w:lang w:val="sr-Cyrl-RS"/>
              </w:rPr>
            </w:pPr>
          </w:p>
        </w:tc>
        <w:tc>
          <w:tcPr>
            <w:tcW w:w="300" w:type="dxa"/>
            <w:vMerge/>
            <w:tcBorders>
              <w:top w:val="nil"/>
              <w:left w:val="single" w:sz="8" w:space="0" w:color="auto"/>
              <w:bottom w:val="nil"/>
              <w:right w:val="single" w:sz="8" w:space="0" w:color="auto"/>
            </w:tcBorders>
            <w:vAlign w:val="center"/>
            <w:hideMark/>
          </w:tcPr>
          <w:p w14:paraId="189D3452" w14:textId="77777777" w:rsidR="00EA0FD7" w:rsidRPr="00EA0FD7" w:rsidRDefault="00EA0FD7" w:rsidP="00EA0FD7">
            <w:pPr>
              <w:spacing w:after="0" w:line="240" w:lineRule="auto"/>
              <w:rPr>
                <w:rFonts w:ascii="Arial" w:eastAsia="Times New Roman" w:hAnsi="Arial" w:cs="Arial"/>
                <w:b/>
                <w:bCs/>
                <w:sz w:val="15"/>
                <w:szCs w:val="15"/>
                <w:lang w:val="sr-Cyrl-RS"/>
              </w:rPr>
            </w:pPr>
          </w:p>
        </w:tc>
        <w:tc>
          <w:tcPr>
            <w:tcW w:w="799" w:type="dxa"/>
            <w:shd w:val="clear" w:color="auto" w:fill="C0C0C0"/>
            <w:hideMark/>
          </w:tcPr>
          <w:p w14:paraId="61ECDE6A" w14:textId="41D82461"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BAM</w:t>
            </w:r>
          </w:p>
        </w:tc>
        <w:tc>
          <w:tcPr>
            <w:tcW w:w="1080" w:type="dxa"/>
            <w:tcBorders>
              <w:top w:val="nil"/>
              <w:left w:val="single" w:sz="8" w:space="0" w:color="auto"/>
              <w:bottom w:val="single" w:sz="4" w:space="0" w:color="auto"/>
              <w:right w:val="single" w:sz="4" w:space="0" w:color="auto"/>
            </w:tcBorders>
            <w:shd w:val="clear" w:color="auto" w:fill="C0C0C0"/>
            <w:vAlign w:val="bottom"/>
            <w:hideMark/>
          </w:tcPr>
          <w:p w14:paraId="571D844A"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9,896,971.27</w:t>
            </w:r>
          </w:p>
        </w:tc>
        <w:tc>
          <w:tcPr>
            <w:tcW w:w="1080" w:type="dxa"/>
            <w:tcBorders>
              <w:top w:val="nil"/>
              <w:left w:val="single" w:sz="8" w:space="0" w:color="auto"/>
              <w:bottom w:val="single" w:sz="4" w:space="0" w:color="auto"/>
              <w:right w:val="single" w:sz="4" w:space="0" w:color="auto"/>
            </w:tcBorders>
            <w:shd w:val="clear" w:color="auto" w:fill="C0C0C0"/>
            <w:vAlign w:val="bottom"/>
            <w:hideMark/>
          </w:tcPr>
          <w:p w14:paraId="2268E76C"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773,189.15</w:t>
            </w:r>
          </w:p>
        </w:tc>
        <w:tc>
          <w:tcPr>
            <w:tcW w:w="1080" w:type="dxa"/>
            <w:tcBorders>
              <w:top w:val="nil"/>
              <w:left w:val="single" w:sz="8" w:space="0" w:color="auto"/>
              <w:bottom w:val="single" w:sz="4" w:space="0" w:color="auto"/>
              <w:right w:val="single" w:sz="4" w:space="0" w:color="auto"/>
            </w:tcBorders>
            <w:shd w:val="clear" w:color="auto" w:fill="C0C0C0"/>
            <w:vAlign w:val="bottom"/>
            <w:hideMark/>
          </w:tcPr>
          <w:p w14:paraId="2D82DA39"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10,670,160.42</w:t>
            </w:r>
          </w:p>
        </w:tc>
        <w:tc>
          <w:tcPr>
            <w:tcW w:w="1214" w:type="dxa"/>
            <w:tcBorders>
              <w:top w:val="nil"/>
              <w:left w:val="single" w:sz="8" w:space="0" w:color="auto"/>
              <w:bottom w:val="single" w:sz="4" w:space="0" w:color="auto"/>
              <w:right w:val="single" w:sz="4" w:space="0" w:color="auto"/>
            </w:tcBorders>
            <w:shd w:val="clear" w:color="auto" w:fill="C0C0C0"/>
            <w:vAlign w:val="bottom"/>
            <w:hideMark/>
          </w:tcPr>
          <w:p w14:paraId="0FFA9B32"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12,145,368.60</w:t>
            </w:r>
          </w:p>
        </w:tc>
        <w:tc>
          <w:tcPr>
            <w:tcW w:w="946" w:type="dxa"/>
            <w:tcBorders>
              <w:top w:val="nil"/>
              <w:left w:val="single" w:sz="8" w:space="0" w:color="auto"/>
              <w:bottom w:val="single" w:sz="4" w:space="0" w:color="auto"/>
              <w:right w:val="single" w:sz="4" w:space="0" w:color="auto"/>
            </w:tcBorders>
            <w:shd w:val="clear" w:color="auto" w:fill="C0C0C0"/>
            <w:vAlign w:val="bottom"/>
            <w:hideMark/>
          </w:tcPr>
          <w:p w14:paraId="1C208284"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700,582.25</w:t>
            </w:r>
          </w:p>
        </w:tc>
        <w:tc>
          <w:tcPr>
            <w:tcW w:w="1080" w:type="dxa"/>
            <w:tcBorders>
              <w:top w:val="nil"/>
              <w:left w:val="single" w:sz="8" w:space="0" w:color="auto"/>
              <w:bottom w:val="single" w:sz="4" w:space="0" w:color="auto"/>
              <w:right w:val="single" w:sz="4" w:space="0" w:color="auto"/>
            </w:tcBorders>
            <w:shd w:val="clear" w:color="auto" w:fill="C0C0C0"/>
            <w:vAlign w:val="bottom"/>
            <w:hideMark/>
          </w:tcPr>
          <w:p w14:paraId="263BC205"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12,845,950.85</w:t>
            </w:r>
          </w:p>
        </w:tc>
        <w:tc>
          <w:tcPr>
            <w:tcW w:w="1080" w:type="dxa"/>
            <w:tcBorders>
              <w:top w:val="nil"/>
              <w:left w:val="single" w:sz="8" w:space="0" w:color="auto"/>
              <w:bottom w:val="single" w:sz="4" w:space="0" w:color="auto"/>
              <w:right w:val="single" w:sz="4" w:space="0" w:color="auto"/>
            </w:tcBorders>
            <w:shd w:val="clear" w:color="auto" w:fill="C0C0C0"/>
            <w:vAlign w:val="bottom"/>
            <w:hideMark/>
          </w:tcPr>
          <w:p w14:paraId="5D8EF8E8"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10,839,277.52</w:t>
            </w:r>
          </w:p>
        </w:tc>
        <w:tc>
          <w:tcPr>
            <w:tcW w:w="1041" w:type="dxa"/>
            <w:tcBorders>
              <w:top w:val="nil"/>
              <w:left w:val="single" w:sz="8" w:space="0" w:color="auto"/>
              <w:bottom w:val="single" w:sz="4" w:space="0" w:color="auto"/>
              <w:right w:val="single" w:sz="4" w:space="0" w:color="auto"/>
            </w:tcBorders>
            <w:shd w:val="clear" w:color="auto" w:fill="C0C0C0"/>
            <w:vAlign w:val="bottom"/>
            <w:hideMark/>
          </w:tcPr>
          <w:p w14:paraId="50EFB3DF"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601,551.69</w:t>
            </w:r>
          </w:p>
        </w:tc>
        <w:tc>
          <w:tcPr>
            <w:tcW w:w="1119" w:type="dxa"/>
            <w:tcBorders>
              <w:top w:val="nil"/>
              <w:left w:val="single" w:sz="8" w:space="0" w:color="auto"/>
              <w:bottom w:val="single" w:sz="4" w:space="0" w:color="auto"/>
              <w:right w:val="single" w:sz="4" w:space="0" w:color="auto"/>
            </w:tcBorders>
            <w:shd w:val="clear" w:color="auto" w:fill="C0C0C0"/>
            <w:vAlign w:val="bottom"/>
            <w:hideMark/>
          </w:tcPr>
          <w:p w14:paraId="16D458D1"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11,440,829.21</w:t>
            </w:r>
          </w:p>
        </w:tc>
        <w:tc>
          <w:tcPr>
            <w:tcW w:w="1260" w:type="dxa"/>
            <w:tcBorders>
              <w:top w:val="nil"/>
              <w:left w:val="single" w:sz="8" w:space="0" w:color="auto"/>
              <w:bottom w:val="single" w:sz="4" w:space="0" w:color="auto"/>
              <w:right w:val="single" w:sz="4" w:space="0" w:color="auto"/>
            </w:tcBorders>
            <w:shd w:val="clear" w:color="auto" w:fill="C0C0C0"/>
            <w:vAlign w:val="bottom"/>
            <w:hideMark/>
          </w:tcPr>
          <w:p w14:paraId="6B60057E"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32,881,617.39</w:t>
            </w:r>
          </w:p>
        </w:tc>
        <w:tc>
          <w:tcPr>
            <w:tcW w:w="1080" w:type="dxa"/>
            <w:tcBorders>
              <w:top w:val="nil"/>
              <w:left w:val="single" w:sz="8" w:space="0" w:color="auto"/>
              <w:bottom w:val="single" w:sz="4" w:space="0" w:color="auto"/>
              <w:right w:val="single" w:sz="4" w:space="0" w:color="auto"/>
            </w:tcBorders>
            <w:shd w:val="clear" w:color="auto" w:fill="C0C0C0"/>
            <w:vAlign w:val="bottom"/>
            <w:hideMark/>
          </w:tcPr>
          <w:p w14:paraId="5DBF9C1F"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2,075,323.09</w:t>
            </w:r>
          </w:p>
        </w:tc>
        <w:tc>
          <w:tcPr>
            <w:tcW w:w="1289" w:type="dxa"/>
            <w:tcBorders>
              <w:top w:val="nil"/>
              <w:left w:val="single" w:sz="8" w:space="0" w:color="auto"/>
              <w:bottom w:val="single" w:sz="4" w:space="0" w:color="auto"/>
              <w:right w:val="single" w:sz="8" w:space="0" w:color="auto"/>
            </w:tcBorders>
            <w:shd w:val="clear" w:color="auto" w:fill="C0C0C0"/>
            <w:vAlign w:val="bottom"/>
            <w:hideMark/>
          </w:tcPr>
          <w:p w14:paraId="1AD53A17"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34,956,940.48</w:t>
            </w:r>
          </w:p>
        </w:tc>
      </w:tr>
      <w:tr w:rsidR="00EA0FD7" w:rsidRPr="00AE5455" w14:paraId="0FBDCC96" w14:textId="77777777" w:rsidTr="00EA0FD7">
        <w:trPr>
          <w:trHeight w:val="1072"/>
        </w:trPr>
        <w:tc>
          <w:tcPr>
            <w:tcW w:w="445" w:type="dxa"/>
            <w:tcBorders>
              <w:top w:val="nil"/>
              <w:left w:val="single" w:sz="8" w:space="0" w:color="auto"/>
              <w:bottom w:val="single" w:sz="8" w:space="0" w:color="auto"/>
              <w:right w:val="nil"/>
            </w:tcBorders>
            <w:shd w:val="clear" w:color="auto" w:fill="C0C0C0"/>
            <w:vAlign w:val="center"/>
            <w:hideMark/>
          </w:tcPr>
          <w:p w14:paraId="196E506C" w14:textId="77777777" w:rsidR="00EA0FD7" w:rsidRPr="00EA0FD7" w:rsidRDefault="00EA0FD7" w:rsidP="00EA0FD7">
            <w:pPr>
              <w:spacing w:after="0" w:line="240" w:lineRule="auto"/>
              <w:jc w:val="center"/>
              <w:rPr>
                <w:rFonts w:ascii="Arial" w:eastAsia="Times New Roman" w:hAnsi="Arial" w:cs="Arial"/>
                <w:b/>
                <w:bCs/>
                <w:sz w:val="15"/>
                <w:szCs w:val="15"/>
                <w:lang w:val="sr-Cyrl-RS"/>
              </w:rPr>
            </w:pPr>
            <w:r w:rsidRPr="00EA0FD7">
              <w:rPr>
                <w:rFonts w:ascii="Arial" w:eastAsia="Times New Roman" w:hAnsi="Arial" w:cs="Arial"/>
                <w:b/>
                <w:bCs/>
                <w:sz w:val="15"/>
                <w:szCs w:val="15"/>
                <w:lang w:val="sr-Cyrl-RS"/>
              </w:rPr>
              <w:t> </w:t>
            </w:r>
          </w:p>
        </w:tc>
        <w:tc>
          <w:tcPr>
            <w:tcW w:w="1550" w:type="dxa"/>
            <w:tcBorders>
              <w:top w:val="nil"/>
              <w:left w:val="single" w:sz="8" w:space="0" w:color="auto"/>
              <w:bottom w:val="single" w:sz="8" w:space="0" w:color="auto"/>
              <w:right w:val="single" w:sz="8" w:space="0" w:color="auto"/>
            </w:tcBorders>
            <w:shd w:val="clear" w:color="auto" w:fill="C0C0C0"/>
            <w:vAlign w:val="center"/>
            <w:hideMark/>
          </w:tcPr>
          <w:p w14:paraId="38100BAA" w14:textId="77777777" w:rsidR="00EA0FD7" w:rsidRPr="00EA0FD7" w:rsidRDefault="00EA0FD7" w:rsidP="00EA0FD7">
            <w:pPr>
              <w:spacing w:after="0" w:line="240" w:lineRule="auto"/>
              <w:jc w:val="center"/>
              <w:rPr>
                <w:rFonts w:ascii="Arial" w:eastAsia="Times New Roman" w:hAnsi="Arial" w:cs="Arial"/>
                <w:b/>
                <w:bCs/>
                <w:sz w:val="15"/>
                <w:szCs w:val="15"/>
                <w:lang w:val="sr-Cyrl-RS"/>
              </w:rPr>
            </w:pPr>
            <w:r w:rsidRPr="00EA0FD7">
              <w:rPr>
                <w:rFonts w:ascii="Arial" w:eastAsia="Times New Roman" w:hAnsi="Arial" w:cs="Arial"/>
                <w:b/>
                <w:bCs/>
                <w:sz w:val="15"/>
                <w:szCs w:val="15"/>
                <w:lang w:val="sr-Cyrl-RS"/>
              </w:rPr>
              <w:t> </w:t>
            </w:r>
          </w:p>
        </w:tc>
        <w:tc>
          <w:tcPr>
            <w:tcW w:w="799" w:type="dxa"/>
            <w:tcBorders>
              <w:top w:val="single" w:sz="4" w:space="0" w:color="auto"/>
              <w:left w:val="nil"/>
              <w:bottom w:val="single" w:sz="8" w:space="0" w:color="auto"/>
              <w:right w:val="nil"/>
            </w:tcBorders>
            <w:shd w:val="clear" w:color="auto" w:fill="C0C0C0"/>
            <w:vAlign w:val="center"/>
            <w:hideMark/>
          </w:tcPr>
          <w:p w14:paraId="5A9C4239" w14:textId="6D0B754C" w:rsidR="00EA0FD7" w:rsidRPr="00EA0FD7" w:rsidRDefault="00752F04" w:rsidP="00EA0FD7">
            <w:pPr>
              <w:spacing w:after="0" w:line="240" w:lineRule="auto"/>
              <w:jc w:val="center"/>
              <w:rPr>
                <w:rFonts w:ascii="Arial" w:eastAsia="Times New Roman" w:hAnsi="Arial" w:cs="Arial"/>
                <w:sz w:val="13"/>
                <w:szCs w:val="13"/>
                <w:lang w:val="sr-Cyrl-RS"/>
              </w:rPr>
            </w:pPr>
            <w:r>
              <w:rPr>
                <w:rFonts w:ascii="Arial" w:eastAsia="Times New Roman" w:hAnsi="Arial" w:cs="Arial"/>
                <w:sz w:val="13"/>
                <w:szCs w:val="13"/>
                <w:lang w:val="sr-Cyrl-RS"/>
              </w:rPr>
              <w:t>SDR</w:t>
            </w:r>
          </w:p>
        </w:tc>
        <w:tc>
          <w:tcPr>
            <w:tcW w:w="1080" w:type="dxa"/>
            <w:tcBorders>
              <w:top w:val="nil"/>
              <w:left w:val="single" w:sz="8" w:space="0" w:color="auto"/>
              <w:bottom w:val="single" w:sz="8" w:space="0" w:color="auto"/>
              <w:right w:val="single" w:sz="4" w:space="0" w:color="auto"/>
            </w:tcBorders>
            <w:shd w:val="clear" w:color="auto" w:fill="C0C0C0"/>
            <w:vAlign w:val="bottom"/>
            <w:hideMark/>
          </w:tcPr>
          <w:p w14:paraId="37A5758D"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872,361.88</w:t>
            </w:r>
          </w:p>
        </w:tc>
        <w:tc>
          <w:tcPr>
            <w:tcW w:w="1080" w:type="dxa"/>
            <w:tcBorders>
              <w:top w:val="nil"/>
              <w:left w:val="single" w:sz="8" w:space="0" w:color="auto"/>
              <w:bottom w:val="single" w:sz="8" w:space="0" w:color="auto"/>
              <w:right w:val="single" w:sz="4" w:space="0" w:color="auto"/>
            </w:tcBorders>
            <w:shd w:val="clear" w:color="auto" w:fill="C0C0C0"/>
            <w:vAlign w:val="bottom"/>
            <w:hideMark/>
          </w:tcPr>
          <w:p w14:paraId="619B6AD4"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138,131.10</w:t>
            </w:r>
          </w:p>
        </w:tc>
        <w:tc>
          <w:tcPr>
            <w:tcW w:w="1080" w:type="dxa"/>
            <w:tcBorders>
              <w:top w:val="nil"/>
              <w:left w:val="single" w:sz="8" w:space="0" w:color="auto"/>
              <w:bottom w:val="single" w:sz="8" w:space="0" w:color="auto"/>
              <w:right w:val="single" w:sz="4" w:space="0" w:color="auto"/>
            </w:tcBorders>
            <w:shd w:val="clear" w:color="auto" w:fill="C0C0C0"/>
            <w:vAlign w:val="bottom"/>
            <w:hideMark/>
          </w:tcPr>
          <w:p w14:paraId="225E213B"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1,010,492.98</w:t>
            </w:r>
          </w:p>
        </w:tc>
        <w:tc>
          <w:tcPr>
            <w:tcW w:w="1214" w:type="dxa"/>
            <w:tcBorders>
              <w:top w:val="nil"/>
              <w:left w:val="single" w:sz="8" w:space="0" w:color="auto"/>
              <w:bottom w:val="single" w:sz="8" w:space="0" w:color="auto"/>
              <w:right w:val="single" w:sz="4" w:space="0" w:color="auto"/>
            </w:tcBorders>
            <w:shd w:val="clear" w:color="auto" w:fill="C0C0C0"/>
            <w:vAlign w:val="bottom"/>
            <w:hideMark/>
          </w:tcPr>
          <w:p w14:paraId="102DA296"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1,535,361.88</w:t>
            </w:r>
          </w:p>
        </w:tc>
        <w:tc>
          <w:tcPr>
            <w:tcW w:w="946" w:type="dxa"/>
            <w:tcBorders>
              <w:top w:val="nil"/>
              <w:left w:val="single" w:sz="8" w:space="0" w:color="auto"/>
              <w:bottom w:val="single" w:sz="8" w:space="0" w:color="auto"/>
              <w:right w:val="single" w:sz="4" w:space="0" w:color="auto"/>
            </w:tcBorders>
            <w:shd w:val="clear" w:color="auto" w:fill="C0C0C0"/>
            <w:vAlign w:val="bottom"/>
            <w:hideMark/>
          </w:tcPr>
          <w:p w14:paraId="41C31947"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131,919.44</w:t>
            </w:r>
          </w:p>
        </w:tc>
        <w:tc>
          <w:tcPr>
            <w:tcW w:w="1080" w:type="dxa"/>
            <w:tcBorders>
              <w:top w:val="nil"/>
              <w:left w:val="single" w:sz="8" w:space="0" w:color="auto"/>
              <w:bottom w:val="single" w:sz="8" w:space="0" w:color="auto"/>
              <w:right w:val="single" w:sz="4" w:space="0" w:color="auto"/>
            </w:tcBorders>
            <w:shd w:val="clear" w:color="auto" w:fill="C0C0C0"/>
            <w:vAlign w:val="bottom"/>
            <w:hideMark/>
          </w:tcPr>
          <w:p w14:paraId="74AD88E3"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1,667,281.32</w:t>
            </w:r>
          </w:p>
        </w:tc>
        <w:tc>
          <w:tcPr>
            <w:tcW w:w="1080" w:type="dxa"/>
            <w:tcBorders>
              <w:top w:val="nil"/>
              <w:left w:val="single" w:sz="8" w:space="0" w:color="auto"/>
              <w:bottom w:val="single" w:sz="8" w:space="0" w:color="auto"/>
              <w:right w:val="single" w:sz="4" w:space="0" w:color="auto"/>
            </w:tcBorders>
            <w:shd w:val="clear" w:color="auto" w:fill="C0C0C0"/>
            <w:vAlign w:val="bottom"/>
            <w:hideMark/>
          </w:tcPr>
          <w:p w14:paraId="40697356"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872,361.88</w:t>
            </w:r>
          </w:p>
        </w:tc>
        <w:tc>
          <w:tcPr>
            <w:tcW w:w="1041" w:type="dxa"/>
            <w:tcBorders>
              <w:top w:val="nil"/>
              <w:left w:val="single" w:sz="8" w:space="0" w:color="auto"/>
              <w:bottom w:val="single" w:sz="8" w:space="0" w:color="auto"/>
              <w:right w:val="single" w:sz="4" w:space="0" w:color="auto"/>
            </w:tcBorders>
            <w:shd w:val="clear" w:color="auto" w:fill="C0C0C0"/>
            <w:vAlign w:val="bottom"/>
            <w:hideMark/>
          </w:tcPr>
          <w:p w14:paraId="287A8249"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122,507.78</w:t>
            </w:r>
          </w:p>
        </w:tc>
        <w:tc>
          <w:tcPr>
            <w:tcW w:w="1119" w:type="dxa"/>
            <w:tcBorders>
              <w:top w:val="nil"/>
              <w:left w:val="single" w:sz="8" w:space="0" w:color="auto"/>
              <w:bottom w:val="single" w:sz="8" w:space="0" w:color="auto"/>
              <w:right w:val="single" w:sz="4" w:space="0" w:color="auto"/>
            </w:tcBorders>
            <w:shd w:val="clear" w:color="auto" w:fill="C0C0C0"/>
            <w:vAlign w:val="bottom"/>
            <w:hideMark/>
          </w:tcPr>
          <w:p w14:paraId="7EE4EE67"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994,869.66</w:t>
            </w:r>
          </w:p>
        </w:tc>
        <w:tc>
          <w:tcPr>
            <w:tcW w:w="1260" w:type="dxa"/>
            <w:tcBorders>
              <w:top w:val="nil"/>
              <w:left w:val="single" w:sz="8" w:space="0" w:color="auto"/>
              <w:bottom w:val="single" w:sz="8" w:space="0" w:color="auto"/>
              <w:right w:val="single" w:sz="4" w:space="0" w:color="auto"/>
            </w:tcBorders>
            <w:shd w:val="clear" w:color="auto" w:fill="C0C0C0"/>
            <w:vAlign w:val="bottom"/>
            <w:hideMark/>
          </w:tcPr>
          <w:p w14:paraId="2F9AD4FD"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3,280,085.64</w:t>
            </w:r>
          </w:p>
        </w:tc>
        <w:tc>
          <w:tcPr>
            <w:tcW w:w="1080" w:type="dxa"/>
            <w:tcBorders>
              <w:top w:val="nil"/>
              <w:left w:val="single" w:sz="8" w:space="0" w:color="auto"/>
              <w:bottom w:val="single" w:sz="8" w:space="0" w:color="auto"/>
              <w:right w:val="single" w:sz="4" w:space="0" w:color="auto"/>
            </w:tcBorders>
            <w:shd w:val="clear" w:color="auto" w:fill="C0C0C0"/>
            <w:vAlign w:val="bottom"/>
            <w:hideMark/>
          </w:tcPr>
          <w:p w14:paraId="61E9B338"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392,558.32</w:t>
            </w:r>
          </w:p>
        </w:tc>
        <w:tc>
          <w:tcPr>
            <w:tcW w:w="1289" w:type="dxa"/>
            <w:tcBorders>
              <w:top w:val="nil"/>
              <w:left w:val="single" w:sz="8" w:space="0" w:color="auto"/>
              <w:bottom w:val="single" w:sz="8" w:space="0" w:color="auto"/>
              <w:right w:val="single" w:sz="8" w:space="0" w:color="auto"/>
            </w:tcBorders>
            <w:shd w:val="clear" w:color="auto" w:fill="C0C0C0"/>
            <w:vAlign w:val="bottom"/>
            <w:hideMark/>
          </w:tcPr>
          <w:p w14:paraId="5D8D45DB"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3,672,643.96</w:t>
            </w:r>
          </w:p>
        </w:tc>
      </w:tr>
      <w:tr w:rsidR="00EA0FD7" w:rsidRPr="00AE5455" w14:paraId="5860328A" w14:textId="77777777" w:rsidTr="00EA0FD7">
        <w:trPr>
          <w:trHeight w:val="1953"/>
        </w:trPr>
        <w:tc>
          <w:tcPr>
            <w:tcW w:w="445" w:type="dxa"/>
            <w:tcBorders>
              <w:top w:val="nil"/>
              <w:left w:val="single" w:sz="8" w:space="0" w:color="auto"/>
              <w:bottom w:val="nil"/>
              <w:right w:val="nil"/>
            </w:tcBorders>
            <w:noWrap/>
            <w:vAlign w:val="center"/>
            <w:hideMark/>
          </w:tcPr>
          <w:p w14:paraId="7F5E4ACA" w14:textId="45109B32" w:rsidR="00EA0FD7" w:rsidRPr="00752F04" w:rsidRDefault="00EA0FD7" w:rsidP="00EA0FD7">
            <w:pPr>
              <w:spacing w:after="0" w:line="240" w:lineRule="auto"/>
              <w:jc w:val="center"/>
              <w:rPr>
                <w:rFonts w:ascii="Arial" w:eastAsia="Times New Roman" w:hAnsi="Arial" w:cs="Arial"/>
                <w:sz w:val="13"/>
                <w:szCs w:val="13"/>
              </w:rPr>
            </w:pPr>
            <w:r w:rsidRPr="00EA0FD7">
              <w:rPr>
                <w:rFonts w:ascii="Arial" w:eastAsia="Times New Roman" w:hAnsi="Arial" w:cs="Arial"/>
                <w:sz w:val="13"/>
                <w:szCs w:val="13"/>
                <w:lang w:val="sr-Cyrl-RS"/>
              </w:rPr>
              <w:t>13</w:t>
            </w:r>
            <w:r w:rsidR="00752F04">
              <w:rPr>
                <w:rFonts w:ascii="Arial" w:eastAsia="Times New Roman" w:hAnsi="Arial" w:cs="Arial"/>
                <w:sz w:val="13"/>
                <w:szCs w:val="13"/>
              </w:rPr>
              <w:t>.</w:t>
            </w:r>
          </w:p>
        </w:tc>
        <w:tc>
          <w:tcPr>
            <w:tcW w:w="1550" w:type="dxa"/>
            <w:tcBorders>
              <w:top w:val="nil"/>
              <w:left w:val="single" w:sz="8" w:space="0" w:color="auto"/>
              <w:bottom w:val="nil"/>
              <w:right w:val="single" w:sz="8" w:space="0" w:color="auto"/>
            </w:tcBorders>
            <w:shd w:val="clear" w:color="auto" w:fill="FFFF99"/>
            <w:vAlign w:val="center"/>
            <w:hideMark/>
          </w:tcPr>
          <w:p w14:paraId="5F681F57" w14:textId="5F2FABB3" w:rsidR="00EA0FD7" w:rsidRPr="00EA0FD7" w:rsidRDefault="00EA0FD7" w:rsidP="00EA0FD7">
            <w:pPr>
              <w:spacing w:after="0" w:line="240" w:lineRule="auto"/>
              <w:rPr>
                <w:rFonts w:ascii="Arial" w:eastAsia="Times New Roman" w:hAnsi="Arial" w:cs="Arial"/>
                <w:sz w:val="13"/>
                <w:szCs w:val="13"/>
                <w:lang w:val="sr-Cyrl-RS"/>
              </w:rPr>
            </w:pPr>
            <w:r w:rsidRPr="00EA0FD7">
              <w:rPr>
                <w:rFonts w:ascii="Arial" w:eastAsia="Times New Roman" w:hAnsi="Arial" w:cs="Arial"/>
                <w:sz w:val="13"/>
                <w:szCs w:val="13"/>
                <w:lang w:val="sr-Cyrl-RS"/>
              </w:rPr>
              <w:t>КОМЕРЦИЈАЛНИ КРЕДИТ ЗА ПРОЈЕКТОВАЊЕ И ИЗГРАДЊУ ФАБРИКЕ ВОДЕ ЗА ПИЋЕ</w:t>
            </w:r>
            <w:r w:rsidRPr="00EA0FD7">
              <w:rPr>
                <w:rFonts w:ascii="Arial" w:eastAsia="Times New Roman" w:hAnsi="Arial" w:cs="Arial"/>
                <w:sz w:val="13"/>
                <w:szCs w:val="13"/>
                <w:lang w:val="sr-Cyrl-RS"/>
              </w:rPr>
              <w:br/>
              <w:t xml:space="preserve">Комерцијални кредит </w:t>
            </w:r>
            <w:r w:rsidR="00752F04" w:rsidRPr="00752F04">
              <w:rPr>
                <w:rFonts w:ascii="Arial" w:eastAsia="Times New Roman" w:hAnsi="Arial" w:cs="Arial"/>
                <w:i/>
                <w:sz w:val="13"/>
                <w:szCs w:val="13"/>
                <w:lang w:val="sr-Cyrl-RS"/>
              </w:rPr>
              <w:t>H</w:t>
            </w:r>
            <w:r w:rsidRPr="00752F04">
              <w:rPr>
                <w:rFonts w:ascii="Arial" w:eastAsia="Times New Roman" w:hAnsi="Arial" w:cs="Arial"/>
                <w:i/>
                <w:sz w:val="13"/>
                <w:szCs w:val="13"/>
                <w:lang w:val="sr-Cyrl-RS"/>
              </w:rPr>
              <w:t>y</w:t>
            </w:r>
            <w:r w:rsidR="00752F04" w:rsidRPr="00752F04">
              <w:rPr>
                <w:rFonts w:ascii="Arial" w:eastAsia="Times New Roman" w:hAnsi="Arial" w:cs="Arial"/>
                <w:i/>
                <w:sz w:val="13"/>
                <w:szCs w:val="13"/>
                <w:lang w:val="sr-Cyrl-RS"/>
              </w:rPr>
              <w:t>po</w:t>
            </w:r>
            <w:r w:rsidRPr="00752F04">
              <w:rPr>
                <w:rFonts w:ascii="Arial" w:eastAsia="Times New Roman" w:hAnsi="Arial" w:cs="Arial"/>
                <w:i/>
                <w:sz w:val="13"/>
                <w:szCs w:val="13"/>
                <w:lang w:val="sr-Cyrl-RS"/>
              </w:rPr>
              <w:t>-</w:t>
            </w:r>
            <w:r w:rsidR="00752F04" w:rsidRPr="00752F04">
              <w:rPr>
                <w:rFonts w:ascii="Arial" w:eastAsia="Times New Roman" w:hAnsi="Arial" w:cs="Arial"/>
                <w:i/>
                <w:sz w:val="13"/>
                <w:szCs w:val="13"/>
                <w:lang w:val="sr-Cyrl-RS"/>
              </w:rPr>
              <w:t>Alpe</w:t>
            </w:r>
            <w:r w:rsidRPr="00752F04">
              <w:rPr>
                <w:rFonts w:ascii="Arial" w:eastAsia="Times New Roman" w:hAnsi="Arial" w:cs="Arial"/>
                <w:i/>
                <w:sz w:val="13"/>
                <w:szCs w:val="13"/>
                <w:lang w:val="sr-Cyrl-RS"/>
              </w:rPr>
              <w:t>-</w:t>
            </w:r>
            <w:r w:rsidR="00752F04" w:rsidRPr="00752F04">
              <w:rPr>
                <w:rFonts w:ascii="Arial" w:eastAsia="Times New Roman" w:hAnsi="Arial" w:cs="Arial"/>
                <w:i/>
                <w:sz w:val="13"/>
                <w:szCs w:val="13"/>
                <w:lang w:val="sr-Cyrl-RS"/>
              </w:rPr>
              <w:t>Adria</w:t>
            </w:r>
            <w:r w:rsidRPr="00752F04">
              <w:rPr>
                <w:rFonts w:ascii="Arial" w:eastAsia="Times New Roman" w:hAnsi="Arial" w:cs="Arial"/>
                <w:i/>
                <w:sz w:val="13"/>
                <w:szCs w:val="13"/>
                <w:lang w:val="sr-Cyrl-RS"/>
              </w:rPr>
              <w:t>-</w:t>
            </w:r>
            <w:r w:rsidR="00752F04" w:rsidRPr="00752F04">
              <w:rPr>
                <w:rFonts w:ascii="Arial" w:eastAsia="Times New Roman" w:hAnsi="Arial" w:cs="Arial"/>
                <w:i/>
                <w:sz w:val="13"/>
                <w:szCs w:val="13"/>
                <w:lang w:val="sr-Cyrl-RS"/>
              </w:rPr>
              <w:t>Bank</w:t>
            </w:r>
            <w:r w:rsidRPr="00EA0FD7">
              <w:rPr>
                <w:rFonts w:ascii="Arial" w:eastAsia="Times New Roman" w:hAnsi="Arial" w:cs="Arial"/>
                <w:sz w:val="13"/>
                <w:szCs w:val="13"/>
                <w:lang w:val="sr-Cyrl-RS"/>
              </w:rPr>
              <w:t xml:space="preserve"> а.</w:t>
            </w:r>
            <w:r w:rsidR="00752F04">
              <w:rPr>
                <w:rFonts w:ascii="Arial" w:eastAsia="Times New Roman" w:hAnsi="Arial" w:cs="Arial"/>
                <w:sz w:val="13"/>
                <w:szCs w:val="13"/>
                <w:lang w:val="sr-Cyrl-RS"/>
              </w:rPr>
              <w:t xml:space="preserve"> </w:t>
            </w:r>
            <w:r w:rsidRPr="00EA0FD7">
              <w:rPr>
                <w:rFonts w:ascii="Arial" w:eastAsia="Times New Roman" w:hAnsi="Arial" w:cs="Arial"/>
                <w:sz w:val="13"/>
                <w:szCs w:val="13"/>
                <w:lang w:val="sr-Cyrl-RS"/>
              </w:rPr>
              <w:t>д. Бања Лука</w:t>
            </w:r>
          </w:p>
        </w:tc>
        <w:tc>
          <w:tcPr>
            <w:tcW w:w="799" w:type="dxa"/>
            <w:tcBorders>
              <w:top w:val="nil"/>
              <w:left w:val="nil"/>
              <w:bottom w:val="single" w:sz="4" w:space="0" w:color="auto"/>
              <w:right w:val="nil"/>
            </w:tcBorders>
            <w:shd w:val="clear" w:color="auto" w:fill="FFFF99"/>
            <w:vAlign w:val="center"/>
            <w:hideMark/>
          </w:tcPr>
          <w:p w14:paraId="38874577" w14:textId="24B83A8E"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BAM</w:t>
            </w:r>
          </w:p>
        </w:tc>
        <w:tc>
          <w:tcPr>
            <w:tcW w:w="1080" w:type="dxa"/>
            <w:tcBorders>
              <w:top w:val="nil"/>
              <w:left w:val="single" w:sz="8" w:space="0" w:color="auto"/>
              <w:bottom w:val="single" w:sz="4" w:space="0" w:color="auto"/>
              <w:right w:val="single" w:sz="4" w:space="0" w:color="auto"/>
            </w:tcBorders>
            <w:shd w:val="clear" w:color="auto" w:fill="FFFF99"/>
            <w:vAlign w:val="bottom"/>
            <w:hideMark/>
          </w:tcPr>
          <w:p w14:paraId="3880BF8C"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457,050.00</w:t>
            </w:r>
          </w:p>
        </w:tc>
        <w:tc>
          <w:tcPr>
            <w:tcW w:w="1080" w:type="dxa"/>
            <w:tcBorders>
              <w:top w:val="nil"/>
              <w:left w:val="nil"/>
              <w:bottom w:val="single" w:sz="4" w:space="0" w:color="auto"/>
              <w:right w:val="single" w:sz="4" w:space="0" w:color="auto"/>
            </w:tcBorders>
            <w:shd w:val="clear" w:color="auto" w:fill="FFFF99"/>
            <w:vAlign w:val="bottom"/>
            <w:hideMark/>
          </w:tcPr>
          <w:p w14:paraId="3E41251E"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5,930.00</w:t>
            </w:r>
          </w:p>
        </w:tc>
        <w:tc>
          <w:tcPr>
            <w:tcW w:w="1080" w:type="dxa"/>
            <w:tcBorders>
              <w:top w:val="nil"/>
              <w:left w:val="nil"/>
              <w:bottom w:val="single" w:sz="4" w:space="0" w:color="auto"/>
              <w:right w:val="single" w:sz="8" w:space="0" w:color="auto"/>
            </w:tcBorders>
            <w:shd w:val="clear" w:color="auto" w:fill="FFFF99"/>
            <w:vAlign w:val="bottom"/>
            <w:hideMark/>
          </w:tcPr>
          <w:p w14:paraId="6439BFC5" w14:textId="77777777" w:rsidR="00EA0FD7" w:rsidRPr="00EA0FD7" w:rsidRDefault="00EA0FD7" w:rsidP="00EA0FD7">
            <w:pPr>
              <w:spacing w:after="0" w:line="240" w:lineRule="auto"/>
              <w:jc w:val="right"/>
              <w:rPr>
                <w:rFonts w:ascii="Arial" w:eastAsia="Times New Roman" w:hAnsi="Arial" w:cs="Arial"/>
                <w:sz w:val="13"/>
                <w:szCs w:val="13"/>
                <w:lang w:val="sr-Cyrl-RS"/>
              </w:rPr>
            </w:pPr>
            <w:r w:rsidRPr="00EA0FD7">
              <w:rPr>
                <w:rFonts w:ascii="Arial" w:eastAsia="Times New Roman" w:hAnsi="Arial" w:cs="Arial"/>
                <w:sz w:val="13"/>
                <w:szCs w:val="13"/>
                <w:lang w:val="sr-Cyrl-RS"/>
              </w:rPr>
              <w:t>462,980.00</w:t>
            </w:r>
          </w:p>
        </w:tc>
        <w:tc>
          <w:tcPr>
            <w:tcW w:w="1214" w:type="dxa"/>
            <w:tcBorders>
              <w:top w:val="nil"/>
              <w:left w:val="nil"/>
              <w:bottom w:val="single" w:sz="4" w:space="0" w:color="auto"/>
              <w:right w:val="single" w:sz="4" w:space="0" w:color="auto"/>
            </w:tcBorders>
            <w:shd w:val="clear" w:color="auto" w:fill="FFFF99"/>
            <w:vAlign w:val="bottom"/>
            <w:hideMark/>
          </w:tcPr>
          <w:p w14:paraId="167EDA89"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0.00</w:t>
            </w:r>
          </w:p>
        </w:tc>
        <w:tc>
          <w:tcPr>
            <w:tcW w:w="946" w:type="dxa"/>
            <w:tcBorders>
              <w:top w:val="nil"/>
              <w:left w:val="nil"/>
              <w:bottom w:val="single" w:sz="4" w:space="0" w:color="auto"/>
              <w:right w:val="single" w:sz="4" w:space="0" w:color="auto"/>
            </w:tcBorders>
            <w:shd w:val="clear" w:color="auto" w:fill="FFFF99"/>
            <w:vAlign w:val="bottom"/>
            <w:hideMark/>
          </w:tcPr>
          <w:p w14:paraId="1B9277D0"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0.00</w:t>
            </w:r>
          </w:p>
        </w:tc>
        <w:tc>
          <w:tcPr>
            <w:tcW w:w="1080" w:type="dxa"/>
            <w:tcBorders>
              <w:top w:val="nil"/>
              <w:left w:val="nil"/>
              <w:bottom w:val="single" w:sz="4" w:space="0" w:color="auto"/>
              <w:right w:val="single" w:sz="8" w:space="0" w:color="auto"/>
            </w:tcBorders>
            <w:shd w:val="clear" w:color="auto" w:fill="FFFF99"/>
            <w:vAlign w:val="bottom"/>
            <w:hideMark/>
          </w:tcPr>
          <w:p w14:paraId="5D0B2952"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0.00</w:t>
            </w:r>
          </w:p>
        </w:tc>
        <w:tc>
          <w:tcPr>
            <w:tcW w:w="1080" w:type="dxa"/>
            <w:tcBorders>
              <w:top w:val="nil"/>
              <w:left w:val="nil"/>
              <w:bottom w:val="single" w:sz="4" w:space="0" w:color="auto"/>
              <w:right w:val="single" w:sz="4" w:space="0" w:color="auto"/>
            </w:tcBorders>
            <w:shd w:val="clear" w:color="auto" w:fill="FFFF99"/>
            <w:vAlign w:val="bottom"/>
            <w:hideMark/>
          </w:tcPr>
          <w:p w14:paraId="103D28ED"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0.00</w:t>
            </w:r>
          </w:p>
        </w:tc>
        <w:tc>
          <w:tcPr>
            <w:tcW w:w="1041" w:type="dxa"/>
            <w:tcBorders>
              <w:top w:val="nil"/>
              <w:left w:val="nil"/>
              <w:bottom w:val="single" w:sz="4" w:space="0" w:color="auto"/>
              <w:right w:val="single" w:sz="4" w:space="0" w:color="auto"/>
            </w:tcBorders>
            <w:shd w:val="clear" w:color="auto" w:fill="FFFF99"/>
            <w:vAlign w:val="bottom"/>
            <w:hideMark/>
          </w:tcPr>
          <w:p w14:paraId="1557C26C"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0.00</w:t>
            </w:r>
          </w:p>
        </w:tc>
        <w:tc>
          <w:tcPr>
            <w:tcW w:w="1119" w:type="dxa"/>
            <w:tcBorders>
              <w:top w:val="nil"/>
              <w:left w:val="nil"/>
              <w:bottom w:val="single" w:sz="4" w:space="0" w:color="auto"/>
              <w:right w:val="single" w:sz="8" w:space="0" w:color="auto"/>
            </w:tcBorders>
            <w:shd w:val="clear" w:color="auto" w:fill="FFFF99"/>
            <w:vAlign w:val="bottom"/>
            <w:hideMark/>
          </w:tcPr>
          <w:p w14:paraId="62CA7728"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0.00</w:t>
            </w:r>
          </w:p>
        </w:tc>
        <w:tc>
          <w:tcPr>
            <w:tcW w:w="1260" w:type="dxa"/>
            <w:tcBorders>
              <w:top w:val="nil"/>
              <w:left w:val="nil"/>
              <w:bottom w:val="single" w:sz="4" w:space="0" w:color="auto"/>
              <w:right w:val="single" w:sz="4" w:space="0" w:color="auto"/>
            </w:tcBorders>
            <w:shd w:val="clear" w:color="auto" w:fill="FFFF99"/>
            <w:vAlign w:val="bottom"/>
            <w:hideMark/>
          </w:tcPr>
          <w:p w14:paraId="0C4A3624"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457,050.00</w:t>
            </w:r>
          </w:p>
        </w:tc>
        <w:tc>
          <w:tcPr>
            <w:tcW w:w="1080" w:type="dxa"/>
            <w:tcBorders>
              <w:top w:val="nil"/>
              <w:left w:val="nil"/>
              <w:bottom w:val="single" w:sz="4" w:space="0" w:color="auto"/>
              <w:right w:val="single" w:sz="4" w:space="0" w:color="auto"/>
            </w:tcBorders>
            <w:shd w:val="clear" w:color="auto" w:fill="FFFF99"/>
            <w:vAlign w:val="bottom"/>
            <w:hideMark/>
          </w:tcPr>
          <w:p w14:paraId="160BB92E"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5,930.00</w:t>
            </w:r>
          </w:p>
        </w:tc>
        <w:tc>
          <w:tcPr>
            <w:tcW w:w="1289" w:type="dxa"/>
            <w:tcBorders>
              <w:top w:val="nil"/>
              <w:left w:val="nil"/>
              <w:bottom w:val="single" w:sz="4" w:space="0" w:color="auto"/>
              <w:right w:val="single" w:sz="8" w:space="0" w:color="auto"/>
            </w:tcBorders>
            <w:shd w:val="clear" w:color="auto" w:fill="FFFF99"/>
            <w:vAlign w:val="bottom"/>
            <w:hideMark/>
          </w:tcPr>
          <w:p w14:paraId="5ACBD2BB"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462,980.00</w:t>
            </w:r>
          </w:p>
        </w:tc>
      </w:tr>
      <w:tr w:rsidR="00EA0FD7" w:rsidRPr="00AE5455" w14:paraId="47AF2F82" w14:textId="77777777" w:rsidTr="00EA0FD7">
        <w:trPr>
          <w:trHeight w:val="1971"/>
        </w:trPr>
        <w:tc>
          <w:tcPr>
            <w:tcW w:w="445" w:type="dxa"/>
            <w:tcBorders>
              <w:top w:val="single" w:sz="8" w:space="0" w:color="auto"/>
              <w:left w:val="single" w:sz="8" w:space="0" w:color="auto"/>
              <w:bottom w:val="nil"/>
              <w:right w:val="nil"/>
            </w:tcBorders>
            <w:shd w:val="clear" w:color="auto" w:fill="C0C0C0"/>
            <w:vAlign w:val="center"/>
            <w:hideMark/>
          </w:tcPr>
          <w:p w14:paraId="7D7FB378" w14:textId="77777777" w:rsidR="00EA0FD7" w:rsidRPr="00EA0FD7" w:rsidRDefault="00EA0FD7" w:rsidP="00EA0FD7">
            <w:pPr>
              <w:spacing w:after="0" w:line="240" w:lineRule="auto"/>
              <w:jc w:val="center"/>
              <w:rPr>
                <w:rFonts w:ascii="Arial" w:eastAsia="Times New Roman" w:hAnsi="Arial" w:cs="Arial"/>
                <w:b/>
                <w:bCs/>
                <w:sz w:val="15"/>
                <w:szCs w:val="15"/>
                <w:lang w:val="sr-Cyrl-RS"/>
              </w:rPr>
            </w:pPr>
            <w:r w:rsidRPr="00EA0FD7">
              <w:rPr>
                <w:rFonts w:ascii="Arial" w:eastAsia="Times New Roman" w:hAnsi="Arial" w:cs="Arial"/>
                <w:b/>
                <w:bCs/>
                <w:sz w:val="15"/>
                <w:szCs w:val="15"/>
                <w:lang w:val="sr-Cyrl-RS"/>
              </w:rPr>
              <w:t>Б</w:t>
            </w:r>
          </w:p>
        </w:tc>
        <w:tc>
          <w:tcPr>
            <w:tcW w:w="1550" w:type="dxa"/>
            <w:tcBorders>
              <w:top w:val="single" w:sz="8" w:space="0" w:color="auto"/>
              <w:left w:val="single" w:sz="8" w:space="0" w:color="auto"/>
              <w:bottom w:val="nil"/>
              <w:right w:val="single" w:sz="8" w:space="0" w:color="auto"/>
            </w:tcBorders>
            <w:shd w:val="clear" w:color="auto" w:fill="C0C0C0"/>
            <w:vAlign w:val="center"/>
            <w:hideMark/>
          </w:tcPr>
          <w:p w14:paraId="2714EC8B" w14:textId="77777777" w:rsidR="00EA0FD7" w:rsidRPr="00EA0FD7" w:rsidRDefault="00EA0FD7" w:rsidP="00EA0FD7">
            <w:pPr>
              <w:spacing w:after="0" w:line="240" w:lineRule="auto"/>
              <w:jc w:val="center"/>
              <w:rPr>
                <w:rFonts w:ascii="Arial" w:eastAsia="Times New Roman" w:hAnsi="Arial" w:cs="Arial"/>
                <w:b/>
                <w:bCs/>
                <w:sz w:val="15"/>
                <w:szCs w:val="15"/>
                <w:lang w:val="sr-Cyrl-RS"/>
              </w:rPr>
            </w:pPr>
            <w:r w:rsidRPr="00EA0FD7">
              <w:rPr>
                <w:rFonts w:ascii="Arial" w:eastAsia="Times New Roman" w:hAnsi="Arial" w:cs="Arial"/>
                <w:b/>
                <w:bCs/>
                <w:sz w:val="15"/>
                <w:szCs w:val="15"/>
                <w:lang w:val="sr-Cyrl-RS"/>
              </w:rPr>
              <w:t>УКУПАН УНУТРАШЊИ ДУГ (13)</w:t>
            </w:r>
          </w:p>
        </w:tc>
        <w:tc>
          <w:tcPr>
            <w:tcW w:w="799" w:type="dxa"/>
            <w:tcBorders>
              <w:top w:val="single" w:sz="8" w:space="0" w:color="auto"/>
              <w:left w:val="nil"/>
              <w:bottom w:val="nil"/>
              <w:right w:val="nil"/>
            </w:tcBorders>
            <w:shd w:val="clear" w:color="auto" w:fill="C0C0C0"/>
            <w:vAlign w:val="center"/>
            <w:hideMark/>
          </w:tcPr>
          <w:p w14:paraId="68C36457" w14:textId="1FDBC815" w:rsidR="00EA0FD7" w:rsidRPr="00EA0FD7" w:rsidRDefault="00EA0FD7" w:rsidP="00EA0FD7">
            <w:pPr>
              <w:spacing w:after="0" w:line="240" w:lineRule="auto"/>
              <w:jc w:val="center"/>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br/>
            </w:r>
            <w:r w:rsidRPr="00EA0FD7">
              <w:rPr>
                <w:rFonts w:ascii="Arial" w:eastAsia="Times New Roman" w:hAnsi="Arial" w:cs="Arial"/>
                <w:b/>
                <w:bCs/>
                <w:sz w:val="13"/>
                <w:szCs w:val="13"/>
                <w:lang w:val="sr-Cyrl-RS"/>
              </w:rPr>
              <w:br/>
            </w:r>
            <w:r w:rsidR="00752F04">
              <w:rPr>
                <w:rFonts w:ascii="Arial" w:eastAsia="Times New Roman" w:hAnsi="Arial" w:cs="Arial"/>
                <w:b/>
                <w:bCs/>
                <w:sz w:val="13"/>
                <w:szCs w:val="13"/>
                <w:lang w:val="sr-Cyrl-RS"/>
              </w:rPr>
              <w:t>BAM</w:t>
            </w:r>
          </w:p>
        </w:tc>
        <w:tc>
          <w:tcPr>
            <w:tcW w:w="1080" w:type="dxa"/>
            <w:tcBorders>
              <w:top w:val="single" w:sz="8" w:space="0" w:color="auto"/>
              <w:left w:val="single" w:sz="8" w:space="0" w:color="auto"/>
              <w:bottom w:val="single" w:sz="8" w:space="0" w:color="auto"/>
              <w:right w:val="nil"/>
            </w:tcBorders>
            <w:shd w:val="clear" w:color="auto" w:fill="C0C0C0"/>
            <w:vAlign w:val="bottom"/>
            <w:hideMark/>
          </w:tcPr>
          <w:p w14:paraId="2AED4143"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457,050.00</w:t>
            </w:r>
          </w:p>
        </w:tc>
        <w:tc>
          <w:tcPr>
            <w:tcW w:w="1080" w:type="dxa"/>
            <w:tcBorders>
              <w:top w:val="single" w:sz="8" w:space="0" w:color="auto"/>
              <w:left w:val="single" w:sz="8" w:space="0" w:color="auto"/>
              <w:bottom w:val="single" w:sz="8" w:space="0" w:color="auto"/>
              <w:right w:val="single" w:sz="8" w:space="0" w:color="auto"/>
            </w:tcBorders>
            <w:shd w:val="clear" w:color="auto" w:fill="C0C0C0"/>
            <w:vAlign w:val="bottom"/>
            <w:hideMark/>
          </w:tcPr>
          <w:p w14:paraId="6AED7124"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5,930.00</w:t>
            </w:r>
          </w:p>
        </w:tc>
        <w:tc>
          <w:tcPr>
            <w:tcW w:w="1080" w:type="dxa"/>
            <w:tcBorders>
              <w:top w:val="single" w:sz="8" w:space="0" w:color="auto"/>
              <w:left w:val="nil"/>
              <w:bottom w:val="nil"/>
              <w:right w:val="single" w:sz="4" w:space="0" w:color="auto"/>
            </w:tcBorders>
            <w:shd w:val="clear" w:color="auto" w:fill="C0C0C0"/>
            <w:vAlign w:val="bottom"/>
            <w:hideMark/>
          </w:tcPr>
          <w:p w14:paraId="321A6F0F"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462,980.00</w:t>
            </w:r>
          </w:p>
        </w:tc>
        <w:tc>
          <w:tcPr>
            <w:tcW w:w="1214" w:type="dxa"/>
            <w:tcBorders>
              <w:top w:val="single" w:sz="8" w:space="0" w:color="auto"/>
              <w:left w:val="single" w:sz="8" w:space="0" w:color="auto"/>
              <w:bottom w:val="single" w:sz="8" w:space="0" w:color="auto"/>
              <w:right w:val="single" w:sz="8" w:space="0" w:color="auto"/>
            </w:tcBorders>
            <w:shd w:val="clear" w:color="auto" w:fill="C0C0C0"/>
            <w:vAlign w:val="bottom"/>
            <w:hideMark/>
          </w:tcPr>
          <w:p w14:paraId="3B236B64"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0.00</w:t>
            </w:r>
          </w:p>
        </w:tc>
        <w:tc>
          <w:tcPr>
            <w:tcW w:w="946" w:type="dxa"/>
            <w:tcBorders>
              <w:top w:val="single" w:sz="8" w:space="0" w:color="auto"/>
              <w:left w:val="nil"/>
              <w:bottom w:val="single" w:sz="8" w:space="0" w:color="auto"/>
              <w:right w:val="nil"/>
            </w:tcBorders>
            <w:shd w:val="clear" w:color="auto" w:fill="C0C0C0"/>
            <w:vAlign w:val="bottom"/>
            <w:hideMark/>
          </w:tcPr>
          <w:p w14:paraId="58DBA61B"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0.00</w:t>
            </w:r>
          </w:p>
        </w:tc>
        <w:tc>
          <w:tcPr>
            <w:tcW w:w="1080" w:type="dxa"/>
            <w:tcBorders>
              <w:top w:val="single" w:sz="8" w:space="0" w:color="auto"/>
              <w:left w:val="single" w:sz="8" w:space="0" w:color="auto"/>
              <w:bottom w:val="single" w:sz="8" w:space="0" w:color="auto"/>
              <w:right w:val="single" w:sz="8" w:space="0" w:color="auto"/>
            </w:tcBorders>
            <w:shd w:val="clear" w:color="auto" w:fill="C0C0C0"/>
            <w:vAlign w:val="bottom"/>
            <w:hideMark/>
          </w:tcPr>
          <w:p w14:paraId="7D803E49"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0.00</w:t>
            </w:r>
          </w:p>
        </w:tc>
        <w:tc>
          <w:tcPr>
            <w:tcW w:w="1080" w:type="dxa"/>
            <w:tcBorders>
              <w:top w:val="single" w:sz="8" w:space="0" w:color="auto"/>
              <w:left w:val="nil"/>
              <w:bottom w:val="single" w:sz="8" w:space="0" w:color="auto"/>
              <w:right w:val="nil"/>
            </w:tcBorders>
            <w:shd w:val="clear" w:color="auto" w:fill="C0C0C0"/>
            <w:vAlign w:val="bottom"/>
            <w:hideMark/>
          </w:tcPr>
          <w:p w14:paraId="3BE2669D"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0.00</w:t>
            </w:r>
          </w:p>
        </w:tc>
        <w:tc>
          <w:tcPr>
            <w:tcW w:w="1041" w:type="dxa"/>
            <w:tcBorders>
              <w:top w:val="single" w:sz="8" w:space="0" w:color="auto"/>
              <w:left w:val="single" w:sz="8" w:space="0" w:color="auto"/>
              <w:bottom w:val="single" w:sz="8" w:space="0" w:color="auto"/>
              <w:right w:val="single" w:sz="8" w:space="0" w:color="auto"/>
            </w:tcBorders>
            <w:shd w:val="clear" w:color="auto" w:fill="C0C0C0"/>
            <w:vAlign w:val="bottom"/>
            <w:hideMark/>
          </w:tcPr>
          <w:p w14:paraId="778764AE"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0.00</w:t>
            </w:r>
          </w:p>
        </w:tc>
        <w:tc>
          <w:tcPr>
            <w:tcW w:w="1119" w:type="dxa"/>
            <w:tcBorders>
              <w:top w:val="single" w:sz="8" w:space="0" w:color="auto"/>
              <w:left w:val="nil"/>
              <w:bottom w:val="nil"/>
              <w:right w:val="single" w:sz="4" w:space="0" w:color="auto"/>
            </w:tcBorders>
            <w:shd w:val="clear" w:color="auto" w:fill="C0C0C0"/>
            <w:vAlign w:val="bottom"/>
            <w:hideMark/>
          </w:tcPr>
          <w:p w14:paraId="202E6AA3"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0.00</w:t>
            </w:r>
          </w:p>
        </w:tc>
        <w:tc>
          <w:tcPr>
            <w:tcW w:w="1260" w:type="dxa"/>
            <w:tcBorders>
              <w:top w:val="single" w:sz="8" w:space="0" w:color="auto"/>
              <w:left w:val="single" w:sz="8" w:space="0" w:color="auto"/>
              <w:bottom w:val="nil"/>
              <w:right w:val="nil"/>
            </w:tcBorders>
            <w:shd w:val="clear" w:color="auto" w:fill="C0C0C0"/>
            <w:vAlign w:val="bottom"/>
            <w:hideMark/>
          </w:tcPr>
          <w:p w14:paraId="2FBDB9C5"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457,050.00</w:t>
            </w:r>
          </w:p>
        </w:tc>
        <w:tc>
          <w:tcPr>
            <w:tcW w:w="1080" w:type="dxa"/>
            <w:tcBorders>
              <w:top w:val="single" w:sz="8" w:space="0" w:color="auto"/>
              <w:left w:val="single" w:sz="8" w:space="0" w:color="auto"/>
              <w:bottom w:val="single" w:sz="8" w:space="0" w:color="auto"/>
              <w:right w:val="single" w:sz="8" w:space="0" w:color="auto"/>
            </w:tcBorders>
            <w:shd w:val="clear" w:color="auto" w:fill="C0C0C0"/>
            <w:vAlign w:val="bottom"/>
            <w:hideMark/>
          </w:tcPr>
          <w:p w14:paraId="1C8C8A25"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5,930.00</w:t>
            </w:r>
          </w:p>
        </w:tc>
        <w:tc>
          <w:tcPr>
            <w:tcW w:w="1289" w:type="dxa"/>
            <w:tcBorders>
              <w:top w:val="single" w:sz="8" w:space="0" w:color="auto"/>
              <w:left w:val="nil"/>
              <w:bottom w:val="nil"/>
              <w:right w:val="single" w:sz="8" w:space="0" w:color="auto"/>
            </w:tcBorders>
            <w:shd w:val="clear" w:color="auto" w:fill="C0C0C0"/>
            <w:vAlign w:val="bottom"/>
            <w:hideMark/>
          </w:tcPr>
          <w:p w14:paraId="569C5D2B"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462,980.00</w:t>
            </w:r>
          </w:p>
        </w:tc>
      </w:tr>
      <w:tr w:rsidR="00EA0FD7" w:rsidRPr="00AE5455" w14:paraId="303E14DC" w14:textId="77777777" w:rsidTr="00EA0FD7">
        <w:trPr>
          <w:trHeight w:val="1413"/>
        </w:trPr>
        <w:tc>
          <w:tcPr>
            <w:tcW w:w="1995" w:type="dxa"/>
            <w:gridSpan w:val="2"/>
            <w:vMerge w:val="restart"/>
            <w:tcBorders>
              <w:top w:val="single" w:sz="8" w:space="0" w:color="auto"/>
              <w:left w:val="single" w:sz="8" w:space="0" w:color="auto"/>
              <w:bottom w:val="single" w:sz="8" w:space="0" w:color="000000"/>
              <w:right w:val="single" w:sz="8" w:space="0" w:color="000000"/>
            </w:tcBorders>
            <w:shd w:val="clear" w:color="auto" w:fill="C0C0C0"/>
            <w:vAlign w:val="center"/>
            <w:hideMark/>
          </w:tcPr>
          <w:p w14:paraId="26BE75DB" w14:textId="77777777" w:rsidR="00EA0FD7" w:rsidRPr="00EA0FD7" w:rsidRDefault="00EA0FD7" w:rsidP="00EA0FD7">
            <w:pPr>
              <w:spacing w:after="0" w:line="240" w:lineRule="auto"/>
              <w:jc w:val="center"/>
              <w:rPr>
                <w:rFonts w:ascii="Arial" w:eastAsia="Times New Roman" w:hAnsi="Arial" w:cs="Arial"/>
                <w:b/>
                <w:bCs/>
                <w:sz w:val="15"/>
                <w:szCs w:val="15"/>
                <w:lang w:val="sr-Cyrl-RS"/>
              </w:rPr>
            </w:pPr>
            <w:r w:rsidRPr="00EA0FD7">
              <w:rPr>
                <w:rFonts w:ascii="Arial" w:eastAsia="Times New Roman" w:hAnsi="Arial" w:cs="Arial"/>
                <w:b/>
                <w:bCs/>
                <w:sz w:val="15"/>
                <w:szCs w:val="15"/>
                <w:lang w:val="sr-Cyrl-RS"/>
              </w:rPr>
              <w:t>СВЕУКУПНИ ДУГ БРЧКО ДИСТРИКТА БиХ ПО ВАЛУТАМА ЗАДУЖЕЊА</w:t>
            </w:r>
            <w:r w:rsidRPr="00EA0FD7">
              <w:rPr>
                <w:rFonts w:ascii="Arial" w:eastAsia="Times New Roman" w:hAnsi="Arial" w:cs="Arial"/>
                <w:b/>
                <w:bCs/>
                <w:sz w:val="15"/>
                <w:szCs w:val="15"/>
                <w:lang w:val="sr-Cyrl-RS"/>
              </w:rPr>
              <w:br/>
              <w:t>(од 1 до 13)</w:t>
            </w:r>
          </w:p>
        </w:tc>
        <w:tc>
          <w:tcPr>
            <w:tcW w:w="799" w:type="dxa"/>
            <w:tcBorders>
              <w:top w:val="single" w:sz="8" w:space="0" w:color="auto"/>
              <w:left w:val="nil"/>
              <w:bottom w:val="single" w:sz="4" w:space="0" w:color="auto"/>
              <w:right w:val="nil"/>
            </w:tcBorders>
            <w:shd w:val="clear" w:color="auto" w:fill="C0C0C0"/>
            <w:hideMark/>
          </w:tcPr>
          <w:p w14:paraId="73BC0E0D" w14:textId="6B74F995"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USD</w:t>
            </w:r>
          </w:p>
        </w:tc>
        <w:tc>
          <w:tcPr>
            <w:tcW w:w="1080" w:type="dxa"/>
            <w:tcBorders>
              <w:top w:val="nil"/>
              <w:left w:val="single" w:sz="8" w:space="0" w:color="auto"/>
              <w:bottom w:val="single" w:sz="4" w:space="0" w:color="auto"/>
              <w:right w:val="single" w:sz="4" w:space="0" w:color="auto"/>
            </w:tcBorders>
            <w:shd w:val="clear" w:color="auto" w:fill="C0C0C0"/>
            <w:noWrap/>
            <w:vAlign w:val="bottom"/>
            <w:hideMark/>
          </w:tcPr>
          <w:p w14:paraId="1073EB1B"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106,912.00</w:t>
            </w:r>
          </w:p>
        </w:tc>
        <w:tc>
          <w:tcPr>
            <w:tcW w:w="1080" w:type="dxa"/>
            <w:tcBorders>
              <w:top w:val="nil"/>
              <w:left w:val="single" w:sz="8" w:space="0" w:color="auto"/>
              <w:bottom w:val="single" w:sz="4" w:space="0" w:color="auto"/>
              <w:right w:val="single" w:sz="4" w:space="0" w:color="auto"/>
            </w:tcBorders>
            <w:shd w:val="clear" w:color="auto" w:fill="C0C0C0"/>
            <w:noWrap/>
            <w:vAlign w:val="bottom"/>
            <w:hideMark/>
          </w:tcPr>
          <w:p w14:paraId="4A0F3151"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17,471.00</w:t>
            </w:r>
          </w:p>
        </w:tc>
        <w:tc>
          <w:tcPr>
            <w:tcW w:w="1080" w:type="dxa"/>
            <w:tcBorders>
              <w:top w:val="single" w:sz="8" w:space="0" w:color="auto"/>
              <w:left w:val="single" w:sz="8" w:space="0" w:color="auto"/>
              <w:bottom w:val="single" w:sz="4" w:space="0" w:color="auto"/>
              <w:right w:val="single" w:sz="4" w:space="0" w:color="auto"/>
            </w:tcBorders>
            <w:shd w:val="clear" w:color="auto" w:fill="C0C0C0"/>
            <w:noWrap/>
            <w:vAlign w:val="bottom"/>
            <w:hideMark/>
          </w:tcPr>
          <w:p w14:paraId="43E3C758"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124,383.00</w:t>
            </w:r>
          </w:p>
        </w:tc>
        <w:tc>
          <w:tcPr>
            <w:tcW w:w="1214" w:type="dxa"/>
            <w:tcBorders>
              <w:top w:val="nil"/>
              <w:left w:val="single" w:sz="8" w:space="0" w:color="auto"/>
              <w:bottom w:val="single" w:sz="4" w:space="0" w:color="auto"/>
              <w:right w:val="single" w:sz="4" w:space="0" w:color="auto"/>
            </w:tcBorders>
            <w:shd w:val="clear" w:color="auto" w:fill="C0C0C0"/>
            <w:noWrap/>
            <w:vAlign w:val="bottom"/>
            <w:hideMark/>
          </w:tcPr>
          <w:p w14:paraId="1463496C"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107,916.00</w:t>
            </w:r>
          </w:p>
        </w:tc>
        <w:tc>
          <w:tcPr>
            <w:tcW w:w="946" w:type="dxa"/>
            <w:tcBorders>
              <w:top w:val="nil"/>
              <w:left w:val="single" w:sz="8" w:space="0" w:color="auto"/>
              <w:bottom w:val="single" w:sz="4" w:space="0" w:color="auto"/>
              <w:right w:val="single" w:sz="4" w:space="0" w:color="auto"/>
            </w:tcBorders>
            <w:shd w:val="clear" w:color="auto" w:fill="C0C0C0"/>
            <w:noWrap/>
            <w:vAlign w:val="bottom"/>
            <w:hideMark/>
          </w:tcPr>
          <w:p w14:paraId="40046E87"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15,267.00</w:t>
            </w:r>
          </w:p>
        </w:tc>
        <w:tc>
          <w:tcPr>
            <w:tcW w:w="1080" w:type="dxa"/>
            <w:tcBorders>
              <w:top w:val="nil"/>
              <w:left w:val="single" w:sz="8" w:space="0" w:color="auto"/>
              <w:bottom w:val="single" w:sz="4" w:space="0" w:color="auto"/>
              <w:right w:val="single" w:sz="4" w:space="0" w:color="auto"/>
            </w:tcBorders>
            <w:shd w:val="clear" w:color="auto" w:fill="C0C0C0"/>
            <w:noWrap/>
            <w:vAlign w:val="bottom"/>
            <w:hideMark/>
          </w:tcPr>
          <w:p w14:paraId="05111706"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123,183.00</w:t>
            </w:r>
          </w:p>
        </w:tc>
        <w:tc>
          <w:tcPr>
            <w:tcW w:w="1080" w:type="dxa"/>
            <w:tcBorders>
              <w:top w:val="nil"/>
              <w:left w:val="single" w:sz="8" w:space="0" w:color="auto"/>
              <w:bottom w:val="single" w:sz="4" w:space="0" w:color="auto"/>
              <w:right w:val="single" w:sz="4" w:space="0" w:color="auto"/>
            </w:tcBorders>
            <w:shd w:val="clear" w:color="auto" w:fill="C0C0C0"/>
            <w:noWrap/>
            <w:vAlign w:val="bottom"/>
            <w:hideMark/>
          </w:tcPr>
          <w:p w14:paraId="7BACFCD2"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108,945.00</w:t>
            </w:r>
          </w:p>
        </w:tc>
        <w:tc>
          <w:tcPr>
            <w:tcW w:w="1041" w:type="dxa"/>
            <w:tcBorders>
              <w:top w:val="nil"/>
              <w:left w:val="single" w:sz="8" w:space="0" w:color="auto"/>
              <w:bottom w:val="single" w:sz="4" w:space="0" w:color="auto"/>
              <w:right w:val="single" w:sz="4" w:space="0" w:color="auto"/>
            </w:tcBorders>
            <w:shd w:val="clear" w:color="auto" w:fill="C0C0C0"/>
            <w:noWrap/>
            <w:vAlign w:val="bottom"/>
            <w:hideMark/>
          </w:tcPr>
          <w:p w14:paraId="366BF49C"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13,138.00</w:t>
            </w:r>
          </w:p>
        </w:tc>
        <w:tc>
          <w:tcPr>
            <w:tcW w:w="1119" w:type="dxa"/>
            <w:tcBorders>
              <w:top w:val="single" w:sz="8" w:space="0" w:color="auto"/>
              <w:left w:val="single" w:sz="8" w:space="0" w:color="auto"/>
              <w:bottom w:val="single" w:sz="4" w:space="0" w:color="auto"/>
              <w:right w:val="single" w:sz="4" w:space="0" w:color="auto"/>
            </w:tcBorders>
            <w:shd w:val="clear" w:color="auto" w:fill="C0C0C0"/>
            <w:noWrap/>
            <w:vAlign w:val="bottom"/>
            <w:hideMark/>
          </w:tcPr>
          <w:p w14:paraId="6693C2EF"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122,083.00</w:t>
            </w:r>
          </w:p>
        </w:tc>
        <w:tc>
          <w:tcPr>
            <w:tcW w:w="1260" w:type="dxa"/>
            <w:tcBorders>
              <w:top w:val="single" w:sz="8" w:space="0" w:color="auto"/>
              <w:left w:val="single" w:sz="8" w:space="0" w:color="auto"/>
              <w:bottom w:val="single" w:sz="4" w:space="0" w:color="auto"/>
              <w:right w:val="single" w:sz="4" w:space="0" w:color="auto"/>
            </w:tcBorders>
            <w:shd w:val="clear" w:color="auto" w:fill="C0C0C0"/>
            <w:noWrap/>
            <w:vAlign w:val="bottom"/>
            <w:hideMark/>
          </w:tcPr>
          <w:p w14:paraId="4DAA48DA"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323,773.00</w:t>
            </w:r>
          </w:p>
        </w:tc>
        <w:tc>
          <w:tcPr>
            <w:tcW w:w="1080" w:type="dxa"/>
            <w:tcBorders>
              <w:top w:val="nil"/>
              <w:left w:val="single" w:sz="8" w:space="0" w:color="auto"/>
              <w:bottom w:val="single" w:sz="4" w:space="0" w:color="auto"/>
              <w:right w:val="single" w:sz="4" w:space="0" w:color="auto"/>
            </w:tcBorders>
            <w:shd w:val="clear" w:color="auto" w:fill="C0C0C0"/>
            <w:noWrap/>
            <w:vAlign w:val="bottom"/>
            <w:hideMark/>
          </w:tcPr>
          <w:p w14:paraId="18B9C0F8"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45,876.00</w:t>
            </w:r>
          </w:p>
        </w:tc>
        <w:tc>
          <w:tcPr>
            <w:tcW w:w="1289" w:type="dxa"/>
            <w:tcBorders>
              <w:top w:val="single" w:sz="8" w:space="0" w:color="auto"/>
              <w:left w:val="single" w:sz="8" w:space="0" w:color="auto"/>
              <w:bottom w:val="single" w:sz="4" w:space="0" w:color="auto"/>
              <w:right w:val="single" w:sz="8" w:space="0" w:color="auto"/>
            </w:tcBorders>
            <w:shd w:val="clear" w:color="auto" w:fill="C0C0C0"/>
            <w:noWrap/>
            <w:vAlign w:val="bottom"/>
            <w:hideMark/>
          </w:tcPr>
          <w:p w14:paraId="292CA18B"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369,649.00</w:t>
            </w:r>
          </w:p>
        </w:tc>
      </w:tr>
      <w:tr w:rsidR="00EA0FD7" w:rsidRPr="00AE5455" w14:paraId="668C2876" w14:textId="77777777" w:rsidTr="00EA0FD7">
        <w:trPr>
          <w:trHeight w:val="1846"/>
        </w:trPr>
        <w:tc>
          <w:tcPr>
            <w:tcW w:w="600" w:type="dxa"/>
            <w:gridSpan w:val="2"/>
            <w:vMerge/>
            <w:tcBorders>
              <w:top w:val="single" w:sz="8" w:space="0" w:color="auto"/>
              <w:left w:val="single" w:sz="8" w:space="0" w:color="auto"/>
              <w:bottom w:val="single" w:sz="8" w:space="0" w:color="000000"/>
              <w:right w:val="single" w:sz="8" w:space="0" w:color="000000"/>
            </w:tcBorders>
            <w:vAlign w:val="center"/>
            <w:hideMark/>
          </w:tcPr>
          <w:p w14:paraId="58B2FAB6" w14:textId="77777777" w:rsidR="00EA0FD7" w:rsidRPr="00EA0FD7" w:rsidRDefault="00EA0FD7" w:rsidP="00EA0FD7">
            <w:pPr>
              <w:spacing w:after="0" w:line="240" w:lineRule="auto"/>
              <w:rPr>
                <w:rFonts w:ascii="Arial" w:eastAsia="Times New Roman" w:hAnsi="Arial" w:cs="Arial"/>
                <w:b/>
                <w:bCs/>
                <w:sz w:val="15"/>
                <w:szCs w:val="15"/>
                <w:lang w:val="sr-Cyrl-RS"/>
              </w:rPr>
            </w:pPr>
          </w:p>
        </w:tc>
        <w:tc>
          <w:tcPr>
            <w:tcW w:w="799" w:type="dxa"/>
            <w:tcBorders>
              <w:top w:val="nil"/>
              <w:left w:val="nil"/>
              <w:bottom w:val="single" w:sz="4" w:space="0" w:color="auto"/>
              <w:right w:val="nil"/>
            </w:tcBorders>
            <w:shd w:val="clear" w:color="auto" w:fill="C0C0C0"/>
            <w:hideMark/>
          </w:tcPr>
          <w:p w14:paraId="6548FA32" w14:textId="2B181EEB" w:rsidR="00EA0FD7" w:rsidRPr="00EA0FD7" w:rsidRDefault="00EA0FD7" w:rsidP="00EA0FD7">
            <w:pPr>
              <w:spacing w:after="0" w:line="240" w:lineRule="auto"/>
              <w:jc w:val="center"/>
              <w:rPr>
                <w:rFonts w:ascii="Arial" w:eastAsia="Times New Roman" w:hAnsi="Arial" w:cs="Arial"/>
                <w:sz w:val="13"/>
                <w:szCs w:val="13"/>
                <w:lang w:val="sr-Cyrl-RS"/>
              </w:rPr>
            </w:pPr>
            <w:r w:rsidRPr="00EA0FD7">
              <w:rPr>
                <w:rFonts w:ascii="Arial" w:eastAsia="Times New Roman" w:hAnsi="Arial" w:cs="Arial"/>
                <w:sz w:val="13"/>
                <w:szCs w:val="13"/>
                <w:lang w:val="sr-Cyrl-RS"/>
              </w:rPr>
              <w:br/>
            </w:r>
            <w:r w:rsidR="00752F04">
              <w:rPr>
                <w:rFonts w:ascii="Arial" w:eastAsia="Times New Roman" w:hAnsi="Arial" w:cs="Arial"/>
                <w:sz w:val="13"/>
                <w:szCs w:val="13"/>
                <w:lang w:val="sr-Cyrl-RS"/>
              </w:rPr>
              <w:t>EUR</w:t>
            </w:r>
          </w:p>
        </w:tc>
        <w:tc>
          <w:tcPr>
            <w:tcW w:w="1080" w:type="dxa"/>
            <w:tcBorders>
              <w:top w:val="nil"/>
              <w:left w:val="single" w:sz="8" w:space="0" w:color="auto"/>
              <w:bottom w:val="nil"/>
              <w:right w:val="single" w:sz="4" w:space="0" w:color="auto"/>
            </w:tcBorders>
            <w:shd w:val="clear" w:color="auto" w:fill="C0C0C0"/>
            <w:noWrap/>
            <w:vAlign w:val="bottom"/>
            <w:hideMark/>
          </w:tcPr>
          <w:p w14:paraId="3BB34773"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3,844,035.20</w:t>
            </w:r>
          </w:p>
        </w:tc>
        <w:tc>
          <w:tcPr>
            <w:tcW w:w="1080" w:type="dxa"/>
            <w:tcBorders>
              <w:top w:val="nil"/>
              <w:left w:val="single" w:sz="8" w:space="0" w:color="auto"/>
              <w:bottom w:val="nil"/>
              <w:right w:val="single" w:sz="4" w:space="0" w:color="auto"/>
            </w:tcBorders>
            <w:shd w:val="clear" w:color="auto" w:fill="C0C0C0"/>
            <w:noWrap/>
            <w:vAlign w:val="bottom"/>
            <w:hideMark/>
          </w:tcPr>
          <w:p w14:paraId="67C8E735"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202,236.41</w:t>
            </w:r>
          </w:p>
        </w:tc>
        <w:tc>
          <w:tcPr>
            <w:tcW w:w="1080" w:type="dxa"/>
            <w:tcBorders>
              <w:top w:val="nil"/>
              <w:left w:val="single" w:sz="8" w:space="0" w:color="auto"/>
              <w:bottom w:val="nil"/>
              <w:right w:val="single" w:sz="4" w:space="0" w:color="auto"/>
            </w:tcBorders>
            <w:shd w:val="clear" w:color="auto" w:fill="C0C0C0"/>
            <w:noWrap/>
            <w:vAlign w:val="bottom"/>
            <w:hideMark/>
          </w:tcPr>
          <w:p w14:paraId="215AD3B1"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4,046,271.61</w:t>
            </w:r>
          </w:p>
        </w:tc>
        <w:tc>
          <w:tcPr>
            <w:tcW w:w="1214" w:type="dxa"/>
            <w:tcBorders>
              <w:top w:val="nil"/>
              <w:left w:val="single" w:sz="8" w:space="0" w:color="auto"/>
              <w:bottom w:val="nil"/>
              <w:right w:val="single" w:sz="4" w:space="0" w:color="auto"/>
            </w:tcBorders>
            <w:shd w:val="clear" w:color="auto" w:fill="C0C0C0"/>
            <w:noWrap/>
            <w:vAlign w:val="bottom"/>
            <w:hideMark/>
          </w:tcPr>
          <w:p w14:paraId="3477F54F"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4,145,206.54</w:t>
            </w:r>
          </w:p>
        </w:tc>
        <w:tc>
          <w:tcPr>
            <w:tcW w:w="946" w:type="dxa"/>
            <w:tcBorders>
              <w:top w:val="nil"/>
              <w:left w:val="single" w:sz="8" w:space="0" w:color="auto"/>
              <w:bottom w:val="nil"/>
              <w:right w:val="single" w:sz="4" w:space="0" w:color="auto"/>
            </w:tcBorders>
            <w:shd w:val="clear" w:color="auto" w:fill="C0C0C0"/>
            <w:noWrap/>
            <w:vAlign w:val="bottom"/>
            <w:hideMark/>
          </w:tcPr>
          <w:p w14:paraId="790AA087"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175,137.76</w:t>
            </w:r>
          </w:p>
        </w:tc>
        <w:tc>
          <w:tcPr>
            <w:tcW w:w="1080" w:type="dxa"/>
            <w:tcBorders>
              <w:top w:val="nil"/>
              <w:left w:val="single" w:sz="8" w:space="0" w:color="auto"/>
              <w:bottom w:val="nil"/>
              <w:right w:val="single" w:sz="4" w:space="0" w:color="auto"/>
            </w:tcBorders>
            <w:shd w:val="clear" w:color="auto" w:fill="C0C0C0"/>
            <w:noWrap/>
            <w:vAlign w:val="bottom"/>
            <w:hideMark/>
          </w:tcPr>
          <w:p w14:paraId="27BD4A2A"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4,320,344.30</w:t>
            </w:r>
          </w:p>
        </w:tc>
        <w:tc>
          <w:tcPr>
            <w:tcW w:w="1080" w:type="dxa"/>
            <w:tcBorders>
              <w:top w:val="nil"/>
              <w:left w:val="single" w:sz="8" w:space="0" w:color="auto"/>
              <w:bottom w:val="nil"/>
              <w:right w:val="single" w:sz="4" w:space="0" w:color="auto"/>
            </w:tcBorders>
            <w:shd w:val="clear" w:color="auto" w:fill="C0C0C0"/>
            <w:noWrap/>
            <w:vAlign w:val="bottom"/>
            <w:hideMark/>
          </w:tcPr>
          <w:p w14:paraId="23D2EF1F"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4,323,905.74</w:t>
            </w:r>
          </w:p>
        </w:tc>
        <w:tc>
          <w:tcPr>
            <w:tcW w:w="1041" w:type="dxa"/>
            <w:tcBorders>
              <w:top w:val="nil"/>
              <w:left w:val="single" w:sz="8" w:space="0" w:color="auto"/>
              <w:bottom w:val="nil"/>
              <w:right w:val="single" w:sz="4" w:space="0" w:color="auto"/>
            </w:tcBorders>
            <w:shd w:val="clear" w:color="auto" w:fill="C0C0C0"/>
            <w:noWrap/>
            <w:vAlign w:val="bottom"/>
            <w:hideMark/>
          </w:tcPr>
          <w:p w14:paraId="6E2C4523"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138,548.31</w:t>
            </w:r>
          </w:p>
        </w:tc>
        <w:tc>
          <w:tcPr>
            <w:tcW w:w="1119" w:type="dxa"/>
            <w:tcBorders>
              <w:top w:val="nil"/>
              <w:left w:val="single" w:sz="8" w:space="0" w:color="auto"/>
              <w:bottom w:val="nil"/>
              <w:right w:val="single" w:sz="4" w:space="0" w:color="auto"/>
            </w:tcBorders>
            <w:shd w:val="clear" w:color="auto" w:fill="C0C0C0"/>
            <w:noWrap/>
            <w:vAlign w:val="bottom"/>
            <w:hideMark/>
          </w:tcPr>
          <w:p w14:paraId="3365377E"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4,462,454.05</w:t>
            </w:r>
          </w:p>
        </w:tc>
        <w:tc>
          <w:tcPr>
            <w:tcW w:w="1260" w:type="dxa"/>
            <w:tcBorders>
              <w:top w:val="nil"/>
              <w:left w:val="single" w:sz="8" w:space="0" w:color="auto"/>
              <w:bottom w:val="nil"/>
              <w:right w:val="single" w:sz="4" w:space="0" w:color="auto"/>
            </w:tcBorders>
            <w:shd w:val="clear" w:color="auto" w:fill="C0C0C0"/>
            <w:noWrap/>
            <w:vAlign w:val="bottom"/>
            <w:hideMark/>
          </w:tcPr>
          <w:p w14:paraId="4D0EA647"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12,313,147.48</w:t>
            </w:r>
          </w:p>
        </w:tc>
        <w:tc>
          <w:tcPr>
            <w:tcW w:w="1080" w:type="dxa"/>
            <w:tcBorders>
              <w:top w:val="nil"/>
              <w:left w:val="single" w:sz="8" w:space="0" w:color="auto"/>
              <w:bottom w:val="nil"/>
              <w:right w:val="single" w:sz="4" w:space="0" w:color="auto"/>
            </w:tcBorders>
            <w:shd w:val="clear" w:color="auto" w:fill="C0C0C0"/>
            <w:noWrap/>
            <w:vAlign w:val="bottom"/>
            <w:hideMark/>
          </w:tcPr>
          <w:p w14:paraId="460DD2E6"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515,922.48</w:t>
            </w:r>
          </w:p>
        </w:tc>
        <w:tc>
          <w:tcPr>
            <w:tcW w:w="1289" w:type="dxa"/>
            <w:tcBorders>
              <w:top w:val="nil"/>
              <w:left w:val="single" w:sz="8" w:space="0" w:color="auto"/>
              <w:bottom w:val="nil"/>
              <w:right w:val="single" w:sz="8" w:space="0" w:color="auto"/>
            </w:tcBorders>
            <w:shd w:val="clear" w:color="auto" w:fill="C0C0C0"/>
            <w:noWrap/>
            <w:vAlign w:val="bottom"/>
            <w:hideMark/>
          </w:tcPr>
          <w:p w14:paraId="1B60AAFB"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12,829,069.96</w:t>
            </w:r>
          </w:p>
        </w:tc>
      </w:tr>
      <w:tr w:rsidR="00EA0FD7" w:rsidRPr="00AE5455" w14:paraId="3AB23FB2" w14:textId="77777777" w:rsidTr="00EA0FD7">
        <w:trPr>
          <w:trHeight w:val="1846"/>
        </w:trPr>
        <w:tc>
          <w:tcPr>
            <w:tcW w:w="600" w:type="dxa"/>
            <w:gridSpan w:val="2"/>
            <w:vMerge/>
            <w:tcBorders>
              <w:top w:val="single" w:sz="8" w:space="0" w:color="auto"/>
              <w:left w:val="single" w:sz="8" w:space="0" w:color="auto"/>
              <w:bottom w:val="single" w:sz="8" w:space="0" w:color="000000"/>
              <w:right w:val="single" w:sz="8" w:space="0" w:color="000000"/>
            </w:tcBorders>
            <w:vAlign w:val="center"/>
            <w:hideMark/>
          </w:tcPr>
          <w:p w14:paraId="29F9296F" w14:textId="77777777" w:rsidR="00EA0FD7" w:rsidRPr="00EA0FD7" w:rsidRDefault="00EA0FD7" w:rsidP="00EA0FD7">
            <w:pPr>
              <w:spacing w:after="0" w:line="240" w:lineRule="auto"/>
              <w:rPr>
                <w:rFonts w:ascii="Arial" w:eastAsia="Times New Roman" w:hAnsi="Arial" w:cs="Arial"/>
                <w:b/>
                <w:bCs/>
                <w:sz w:val="15"/>
                <w:szCs w:val="15"/>
                <w:lang w:val="sr-Cyrl-RS"/>
              </w:rPr>
            </w:pPr>
          </w:p>
        </w:tc>
        <w:tc>
          <w:tcPr>
            <w:tcW w:w="799" w:type="dxa"/>
            <w:tcBorders>
              <w:top w:val="nil"/>
              <w:left w:val="nil"/>
              <w:bottom w:val="single" w:sz="8" w:space="0" w:color="auto"/>
              <w:right w:val="nil"/>
            </w:tcBorders>
            <w:shd w:val="clear" w:color="auto" w:fill="C0C0C0"/>
            <w:vAlign w:val="center"/>
            <w:hideMark/>
          </w:tcPr>
          <w:p w14:paraId="56B756BF" w14:textId="6F959741" w:rsidR="00EA0FD7" w:rsidRPr="00EA0FD7" w:rsidRDefault="00752F04" w:rsidP="00EA0FD7">
            <w:pPr>
              <w:spacing w:after="0" w:line="240" w:lineRule="auto"/>
              <w:jc w:val="center"/>
              <w:rPr>
                <w:rFonts w:ascii="Arial" w:eastAsia="Times New Roman" w:hAnsi="Arial" w:cs="Arial"/>
                <w:sz w:val="13"/>
                <w:szCs w:val="13"/>
                <w:lang w:val="sr-Cyrl-RS"/>
              </w:rPr>
            </w:pPr>
            <w:r>
              <w:rPr>
                <w:rFonts w:ascii="Arial" w:eastAsia="Times New Roman" w:hAnsi="Arial" w:cs="Arial"/>
                <w:sz w:val="13"/>
                <w:szCs w:val="13"/>
                <w:lang w:val="sr-Cyrl-RS"/>
              </w:rPr>
              <w:t>SDR</w:t>
            </w:r>
          </w:p>
        </w:tc>
        <w:tc>
          <w:tcPr>
            <w:tcW w:w="1080" w:type="dxa"/>
            <w:tcBorders>
              <w:top w:val="single" w:sz="8" w:space="0" w:color="auto"/>
              <w:left w:val="single" w:sz="8" w:space="0" w:color="auto"/>
              <w:bottom w:val="single" w:sz="8" w:space="0" w:color="auto"/>
              <w:right w:val="single" w:sz="8" w:space="0" w:color="auto"/>
            </w:tcBorders>
            <w:shd w:val="clear" w:color="auto" w:fill="C0C0C0"/>
            <w:noWrap/>
            <w:vAlign w:val="bottom"/>
            <w:hideMark/>
          </w:tcPr>
          <w:p w14:paraId="5287CBE8"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872,361.88</w:t>
            </w:r>
          </w:p>
        </w:tc>
        <w:tc>
          <w:tcPr>
            <w:tcW w:w="1080" w:type="dxa"/>
            <w:tcBorders>
              <w:top w:val="single" w:sz="8" w:space="0" w:color="auto"/>
              <w:left w:val="nil"/>
              <w:bottom w:val="single" w:sz="8" w:space="0" w:color="auto"/>
              <w:right w:val="nil"/>
            </w:tcBorders>
            <w:shd w:val="clear" w:color="auto" w:fill="C0C0C0"/>
            <w:noWrap/>
            <w:vAlign w:val="bottom"/>
            <w:hideMark/>
          </w:tcPr>
          <w:p w14:paraId="3EA65A0C"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138,131.10</w:t>
            </w:r>
          </w:p>
        </w:tc>
        <w:tc>
          <w:tcPr>
            <w:tcW w:w="1080" w:type="dxa"/>
            <w:tcBorders>
              <w:top w:val="single" w:sz="8" w:space="0" w:color="auto"/>
              <w:left w:val="single" w:sz="8" w:space="0" w:color="auto"/>
              <w:bottom w:val="single" w:sz="8" w:space="0" w:color="auto"/>
              <w:right w:val="single" w:sz="8" w:space="0" w:color="auto"/>
            </w:tcBorders>
            <w:shd w:val="clear" w:color="auto" w:fill="C0C0C0"/>
            <w:noWrap/>
            <w:vAlign w:val="bottom"/>
            <w:hideMark/>
          </w:tcPr>
          <w:p w14:paraId="0ED9653D"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1,010,492.98</w:t>
            </w:r>
          </w:p>
        </w:tc>
        <w:tc>
          <w:tcPr>
            <w:tcW w:w="1214" w:type="dxa"/>
            <w:tcBorders>
              <w:top w:val="single" w:sz="8" w:space="0" w:color="auto"/>
              <w:left w:val="nil"/>
              <w:bottom w:val="single" w:sz="8" w:space="0" w:color="auto"/>
              <w:right w:val="nil"/>
            </w:tcBorders>
            <w:shd w:val="clear" w:color="auto" w:fill="C0C0C0"/>
            <w:noWrap/>
            <w:vAlign w:val="bottom"/>
            <w:hideMark/>
          </w:tcPr>
          <w:p w14:paraId="450D97B2"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1,535,361.88</w:t>
            </w:r>
          </w:p>
        </w:tc>
        <w:tc>
          <w:tcPr>
            <w:tcW w:w="946" w:type="dxa"/>
            <w:tcBorders>
              <w:top w:val="single" w:sz="8" w:space="0" w:color="auto"/>
              <w:left w:val="single" w:sz="8" w:space="0" w:color="auto"/>
              <w:bottom w:val="single" w:sz="8" w:space="0" w:color="auto"/>
              <w:right w:val="single" w:sz="8" w:space="0" w:color="auto"/>
            </w:tcBorders>
            <w:shd w:val="clear" w:color="auto" w:fill="C0C0C0"/>
            <w:noWrap/>
            <w:vAlign w:val="bottom"/>
            <w:hideMark/>
          </w:tcPr>
          <w:p w14:paraId="35816CE5"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131,919.44</w:t>
            </w:r>
          </w:p>
        </w:tc>
        <w:tc>
          <w:tcPr>
            <w:tcW w:w="1080" w:type="dxa"/>
            <w:tcBorders>
              <w:top w:val="single" w:sz="8" w:space="0" w:color="auto"/>
              <w:left w:val="nil"/>
              <w:bottom w:val="single" w:sz="8" w:space="0" w:color="auto"/>
              <w:right w:val="single" w:sz="8" w:space="0" w:color="auto"/>
            </w:tcBorders>
            <w:shd w:val="clear" w:color="auto" w:fill="C0C0C0"/>
            <w:noWrap/>
            <w:vAlign w:val="bottom"/>
            <w:hideMark/>
          </w:tcPr>
          <w:p w14:paraId="413B4FE1"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1,667,281.32</w:t>
            </w:r>
          </w:p>
        </w:tc>
        <w:tc>
          <w:tcPr>
            <w:tcW w:w="1080" w:type="dxa"/>
            <w:tcBorders>
              <w:top w:val="single" w:sz="8" w:space="0" w:color="auto"/>
              <w:left w:val="nil"/>
              <w:bottom w:val="single" w:sz="8" w:space="0" w:color="auto"/>
              <w:right w:val="nil"/>
            </w:tcBorders>
            <w:shd w:val="clear" w:color="auto" w:fill="C0C0C0"/>
            <w:noWrap/>
            <w:vAlign w:val="bottom"/>
            <w:hideMark/>
          </w:tcPr>
          <w:p w14:paraId="1B74378B"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872,361.88</w:t>
            </w:r>
          </w:p>
        </w:tc>
        <w:tc>
          <w:tcPr>
            <w:tcW w:w="1041" w:type="dxa"/>
            <w:tcBorders>
              <w:top w:val="single" w:sz="8" w:space="0" w:color="auto"/>
              <w:left w:val="single" w:sz="8" w:space="0" w:color="auto"/>
              <w:bottom w:val="single" w:sz="8" w:space="0" w:color="auto"/>
              <w:right w:val="single" w:sz="8" w:space="0" w:color="auto"/>
            </w:tcBorders>
            <w:shd w:val="clear" w:color="auto" w:fill="C0C0C0"/>
            <w:noWrap/>
            <w:vAlign w:val="bottom"/>
            <w:hideMark/>
          </w:tcPr>
          <w:p w14:paraId="548389F0"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122,507.78</w:t>
            </w:r>
          </w:p>
        </w:tc>
        <w:tc>
          <w:tcPr>
            <w:tcW w:w="1119" w:type="dxa"/>
            <w:tcBorders>
              <w:top w:val="single" w:sz="8" w:space="0" w:color="auto"/>
              <w:left w:val="nil"/>
              <w:bottom w:val="single" w:sz="8" w:space="0" w:color="auto"/>
              <w:right w:val="single" w:sz="8" w:space="0" w:color="auto"/>
            </w:tcBorders>
            <w:shd w:val="clear" w:color="auto" w:fill="C0C0C0"/>
            <w:noWrap/>
            <w:vAlign w:val="bottom"/>
            <w:hideMark/>
          </w:tcPr>
          <w:p w14:paraId="554FB01A"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994,869.66</w:t>
            </w:r>
          </w:p>
        </w:tc>
        <w:tc>
          <w:tcPr>
            <w:tcW w:w="1260" w:type="dxa"/>
            <w:tcBorders>
              <w:top w:val="single" w:sz="8" w:space="0" w:color="auto"/>
              <w:left w:val="nil"/>
              <w:bottom w:val="single" w:sz="8" w:space="0" w:color="auto"/>
              <w:right w:val="nil"/>
            </w:tcBorders>
            <w:shd w:val="clear" w:color="auto" w:fill="C0C0C0"/>
            <w:noWrap/>
            <w:vAlign w:val="bottom"/>
            <w:hideMark/>
          </w:tcPr>
          <w:p w14:paraId="6D23AF35"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3,280,085.64</w:t>
            </w:r>
          </w:p>
        </w:tc>
        <w:tc>
          <w:tcPr>
            <w:tcW w:w="1080" w:type="dxa"/>
            <w:tcBorders>
              <w:top w:val="single" w:sz="8" w:space="0" w:color="auto"/>
              <w:left w:val="single" w:sz="8" w:space="0" w:color="auto"/>
              <w:bottom w:val="single" w:sz="8" w:space="0" w:color="auto"/>
              <w:right w:val="single" w:sz="8" w:space="0" w:color="auto"/>
            </w:tcBorders>
            <w:shd w:val="clear" w:color="auto" w:fill="C0C0C0"/>
            <w:noWrap/>
            <w:vAlign w:val="bottom"/>
            <w:hideMark/>
          </w:tcPr>
          <w:p w14:paraId="0D057553"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392,558.32</w:t>
            </w:r>
          </w:p>
        </w:tc>
        <w:tc>
          <w:tcPr>
            <w:tcW w:w="1289" w:type="dxa"/>
            <w:tcBorders>
              <w:top w:val="single" w:sz="8" w:space="0" w:color="auto"/>
              <w:left w:val="nil"/>
              <w:bottom w:val="single" w:sz="8" w:space="0" w:color="auto"/>
              <w:right w:val="single" w:sz="8" w:space="0" w:color="auto"/>
            </w:tcBorders>
            <w:shd w:val="clear" w:color="auto" w:fill="C0C0C0"/>
            <w:noWrap/>
            <w:vAlign w:val="bottom"/>
            <w:hideMark/>
          </w:tcPr>
          <w:p w14:paraId="2572A860" w14:textId="77777777" w:rsidR="00EA0FD7" w:rsidRPr="00EA0FD7" w:rsidRDefault="00EA0FD7" w:rsidP="00EA0FD7">
            <w:pPr>
              <w:spacing w:after="0" w:line="240" w:lineRule="auto"/>
              <w:jc w:val="right"/>
              <w:rPr>
                <w:rFonts w:ascii="Arial" w:eastAsia="Times New Roman" w:hAnsi="Arial" w:cs="Arial"/>
                <w:b/>
                <w:bCs/>
                <w:sz w:val="14"/>
                <w:szCs w:val="14"/>
                <w:lang w:val="sr-Cyrl-RS"/>
              </w:rPr>
            </w:pPr>
            <w:r w:rsidRPr="00EA0FD7">
              <w:rPr>
                <w:rFonts w:ascii="Arial" w:eastAsia="Times New Roman" w:hAnsi="Arial" w:cs="Arial"/>
                <w:b/>
                <w:bCs/>
                <w:sz w:val="14"/>
                <w:szCs w:val="14"/>
                <w:lang w:val="sr-Cyrl-RS"/>
              </w:rPr>
              <w:t>3,672,643.96</w:t>
            </w:r>
          </w:p>
        </w:tc>
      </w:tr>
      <w:tr w:rsidR="00EA0FD7" w:rsidRPr="00AE5455" w14:paraId="2F901F34" w14:textId="77777777" w:rsidTr="00EA0FD7">
        <w:trPr>
          <w:trHeight w:val="2589"/>
        </w:trPr>
        <w:tc>
          <w:tcPr>
            <w:tcW w:w="1995" w:type="dxa"/>
            <w:gridSpan w:val="2"/>
            <w:tcBorders>
              <w:top w:val="nil"/>
              <w:left w:val="single" w:sz="8" w:space="0" w:color="auto"/>
              <w:bottom w:val="single" w:sz="8" w:space="0" w:color="auto"/>
              <w:right w:val="single" w:sz="8" w:space="0" w:color="000000"/>
            </w:tcBorders>
            <w:shd w:val="clear" w:color="auto" w:fill="C0C0C0"/>
            <w:vAlign w:val="bottom"/>
            <w:hideMark/>
          </w:tcPr>
          <w:p w14:paraId="63425AD1" w14:textId="77777777" w:rsidR="00EA0FD7" w:rsidRPr="00EA0FD7" w:rsidRDefault="00EA0FD7" w:rsidP="00EA0FD7">
            <w:pPr>
              <w:spacing w:after="0" w:line="240" w:lineRule="auto"/>
              <w:jc w:val="center"/>
              <w:rPr>
                <w:rFonts w:ascii="Arial" w:eastAsia="Times New Roman" w:hAnsi="Arial" w:cs="Arial"/>
                <w:sz w:val="16"/>
                <w:szCs w:val="16"/>
                <w:lang w:val="sr-Cyrl-RS"/>
              </w:rPr>
            </w:pPr>
            <w:r w:rsidRPr="00EA0FD7">
              <w:rPr>
                <w:rFonts w:ascii="Arial" w:eastAsia="Times New Roman" w:hAnsi="Arial" w:cs="Arial"/>
                <w:sz w:val="16"/>
                <w:szCs w:val="16"/>
                <w:lang w:val="sr-Cyrl-RS"/>
              </w:rPr>
              <w:t>СВЕУКУПНО ЗАДУЖЕЊЕ БРЧКО ДИСТРИКТА БиХ У ДОМАЋОЈ ВАЛУТИ</w:t>
            </w:r>
          </w:p>
        </w:tc>
        <w:tc>
          <w:tcPr>
            <w:tcW w:w="799" w:type="dxa"/>
            <w:tcBorders>
              <w:top w:val="nil"/>
              <w:left w:val="nil"/>
              <w:bottom w:val="single" w:sz="8" w:space="0" w:color="auto"/>
              <w:right w:val="nil"/>
            </w:tcBorders>
            <w:shd w:val="clear" w:color="auto" w:fill="C0C0C0"/>
            <w:noWrap/>
            <w:vAlign w:val="center"/>
            <w:hideMark/>
          </w:tcPr>
          <w:p w14:paraId="03A2E4E3" w14:textId="48495A18" w:rsidR="00EA0FD7" w:rsidRPr="00EA0FD7" w:rsidRDefault="00752F04" w:rsidP="00EA0FD7">
            <w:pPr>
              <w:spacing w:after="0" w:line="240" w:lineRule="auto"/>
              <w:jc w:val="center"/>
              <w:rPr>
                <w:rFonts w:ascii="Arial" w:eastAsia="Times New Roman" w:hAnsi="Arial" w:cs="Arial"/>
                <w:sz w:val="16"/>
                <w:szCs w:val="16"/>
                <w:lang w:val="sr-Cyrl-RS"/>
              </w:rPr>
            </w:pPr>
            <w:r>
              <w:rPr>
                <w:rFonts w:ascii="Arial" w:eastAsia="Times New Roman" w:hAnsi="Arial" w:cs="Arial"/>
                <w:sz w:val="16"/>
                <w:szCs w:val="16"/>
                <w:lang w:val="sr-Cyrl-RS"/>
              </w:rPr>
              <w:t>BAM</w:t>
            </w:r>
          </w:p>
        </w:tc>
        <w:tc>
          <w:tcPr>
            <w:tcW w:w="1080" w:type="dxa"/>
            <w:tcBorders>
              <w:top w:val="nil"/>
              <w:left w:val="single" w:sz="8" w:space="0" w:color="auto"/>
              <w:bottom w:val="single" w:sz="8" w:space="0" w:color="auto"/>
              <w:right w:val="single" w:sz="4" w:space="0" w:color="auto"/>
            </w:tcBorders>
            <w:shd w:val="clear" w:color="auto" w:fill="C0C0C0"/>
            <w:noWrap/>
            <w:vAlign w:val="bottom"/>
            <w:hideMark/>
          </w:tcPr>
          <w:p w14:paraId="1B338D97"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10,354,021.27</w:t>
            </w:r>
          </w:p>
        </w:tc>
        <w:tc>
          <w:tcPr>
            <w:tcW w:w="1080" w:type="dxa"/>
            <w:tcBorders>
              <w:top w:val="nil"/>
              <w:left w:val="single" w:sz="8" w:space="0" w:color="auto"/>
              <w:bottom w:val="single" w:sz="8" w:space="0" w:color="auto"/>
              <w:right w:val="single" w:sz="4" w:space="0" w:color="auto"/>
            </w:tcBorders>
            <w:shd w:val="clear" w:color="auto" w:fill="C0C0C0"/>
            <w:noWrap/>
            <w:vAlign w:val="bottom"/>
            <w:hideMark/>
          </w:tcPr>
          <w:p w14:paraId="23CBAB61"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779,119.15</w:t>
            </w:r>
          </w:p>
        </w:tc>
        <w:tc>
          <w:tcPr>
            <w:tcW w:w="1080" w:type="dxa"/>
            <w:tcBorders>
              <w:top w:val="nil"/>
              <w:left w:val="single" w:sz="8" w:space="0" w:color="auto"/>
              <w:bottom w:val="single" w:sz="8" w:space="0" w:color="auto"/>
              <w:right w:val="single" w:sz="4" w:space="0" w:color="auto"/>
            </w:tcBorders>
            <w:shd w:val="clear" w:color="auto" w:fill="C0C0C0"/>
            <w:noWrap/>
            <w:vAlign w:val="bottom"/>
            <w:hideMark/>
          </w:tcPr>
          <w:p w14:paraId="577A73B1"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11,133,140.42</w:t>
            </w:r>
          </w:p>
        </w:tc>
        <w:tc>
          <w:tcPr>
            <w:tcW w:w="1214" w:type="dxa"/>
            <w:tcBorders>
              <w:top w:val="nil"/>
              <w:left w:val="single" w:sz="8" w:space="0" w:color="auto"/>
              <w:bottom w:val="single" w:sz="8" w:space="0" w:color="auto"/>
              <w:right w:val="single" w:sz="4" w:space="0" w:color="auto"/>
            </w:tcBorders>
            <w:shd w:val="clear" w:color="auto" w:fill="C0C0C0"/>
            <w:noWrap/>
            <w:vAlign w:val="bottom"/>
            <w:hideMark/>
          </w:tcPr>
          <w:p w14:paraId="0FB523C5"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12,145,368.60</w:t>
            </w:r>
          </w:p>
        </w:tc>
        <w:tc>
          <w:tcPr>
            <w:tcW w:w="946" w:type="dxa"/>
            <w:tcBorders>
              <w:top w:val="nil"/>
              <w:left w:val="single" w:sz="8" w:space="0" w:color="auto"/>
              <w:bottom w:val="single" w:sz="8" w:space="0" w:color="auto"/>
              <w:right w:val="single" w:sz="4" w:space="0" w:color="auto"/>
            </w:tcBorders>
            <w:shd w:val="clear" w:color="auto" w:fill="C0C0C0"/>
            <w:noWrap/>
            <w:vAlign w:val="bottom"/>
            <w:hideMark/>
          </w:tcPr>
          <w:p w14:paraId="332A0792"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700,582.25</w:t>
            </w:r>
          </w:p>
        </w:tc>
        <w:tc>
          <w:tcPr>
            <w:tcW w:w="1080" w:type="dxa"/>
            <w:tcBorders>
              <w:top w:val="nil"/>
              <w:left w:val="single" w:sz="8" w:space="0" w:color="auto"/>
              <w:bottom w:val="single" w:sz="8" w:space="0" w:color="auto"/>
              <w:right w:val="single" w:sz="4" w:space="0" w:color="auto"/>
            </w:tcBorders>
            <w:shd w:val="clear" w:color="auto" w:fill="C0C0C0"/>
            <w:noWrap/>
            <w:vAlign w:val="bottom"/>
            <w:hideMark/>
          </w:tcPr>
          <w:p w14:paraId="6E713F0F"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12,845,950.85</w:t>
            </w:r>
          </w:p>
        </w:tc>
        <w:tc>
          <w:tcPr>
            <w:tcW w:w="1080" w:type="dxa"/>
            <w:tcBorders>
              <w:top w:val="nil"/>
              <w:left w:val="single" w:sz="8" w:space="0" w:color="auto"/>
              <w:bottom w:val="single" w:sz="8" w:space="0" w:color="auto"/>
              <w:right w:val="single" w:sz="4" w:space="0" w:color="auto"/>
            </w:tcBorders>
            <w:shd w:val="clear" w:color="auto" w:fill="C0C0C0"/>
            <w:noWrap/>
            <w:vAlign w:val="bottom"/>
            <w:hideMark/>
          </w:tcPr>
          <w:p w14:paraId="098D062F"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10,839,277.52</w:t>
            </w:r>
          </w:p>
        </w:tc>
        <w:tc>
          <w:tcPr>
            <w:tcW w:w="1041" w:type="dxa"/>
            <w:tcBorders>
              <w:top w:val="nil"/>
              <w:left w:val="single" w:sz="8" w:space="0" w:color="auto"/>
              <w:bottom w:val="single" w:sz="8" w:space="0" w:color="auto"/>
              <w:right w:val="single" w:sz="4" w:space="0" w:color="auto"/>
            </w:tcBorders>
            <w:shd w:val="clear" w:color="auto" w:fill="C0C0C0"/>
            <w:noWrap/>
            <w:vAlign w:val="bottom"/>
            <w:hideMark/>
          </w:tcPr>
          <w:p w14:paraId="0232E390"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601,551.69</w:t>
            </w:r>
          </w:p>
        </w:tc>
        <w:tc>
          <w:tcPr>
            <w:tcW w:w="1119" w:type="dxa"/>
            <w:tcBorders>
              <w:top w:val="nil"/>
              <w:left w:val="single" w:sz="8" w:space="0" w:color="auto"/>
              <w:bottom w:val="single" w:sz="8" w:space="0" w:color="auto"/>
              <w:right w:val="single" w:sz="4" w:space="0" w:color="auto"/>
            </w:tcBorders>
            <w:shd w:val="clear" w:color="auto" w:fill="C0C0C0"/>
            <w:noWrap/>
            <w:vAlign w:val="bottom"/>
            <w:hideMark/>
          </w:tcPr>
          <w:p w14:paraId="7550BE69"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11,440,829.21</w:t>
            </w:r>
          </w:p>
        </w:tc>
        <w:tc>
          <w:tcPr>
            <w:tcW w:w="1260" w:type="dxa"/>
            <w:tcBorders>
              <w:top w:val="nil"/>
              <w:left w:val="single" w:sz="8" w:space="0" w:color="auto"/>
              <w:bottom w:val="single" w:sz="8" w:space="0" w:color="auto"/>
              <w:right w:val="single" w:sz="4" w:space="0" w:color="auto"/>
            </w:tcBorders>
            <w:shd w:val="clear" w:color="auto" w:fill="C0C0C0"/>
            <w:noWrap/>
            <w:vAlign w:val="bottom"/>
            <w:hideMark/>
          </w:tcPr>
          <w:p w14:paraId="35A5BDB4"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33,338,667.39</w:t>
            </w:r>
          </w:p>
        </w:tc>
        <w:tc>
          <w:tcPr>
            <w:tcW w:w="1080" w:type="dxa"/>
            <w:tcBorders>
              <w:top w:val="nil"/>
              <w:left w:val="single" w:sz="8" w:space="0" w:color="auto"/>
              <w:bottom w:val="single" w:sz="8" w:space="0" w:color="auto"/>
              <w:right w:val="single" w:sz="4" w:space="0" w:color="auto"/>
            </w:tcBorders>
            <w:shd w:val="clear" w:color="auto" w:fill="C0C0C0"/>
            <w:noWrap/>
            <w:vAlign w:val="bottom"/>
            <w:hideMark/>
          </w:tcPr>
          <w:p w14:paraId="326B8107"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2,081,253.09</w:t>
            </w:r>
          </w:p>
        </w:tc>
        <w:tc>
          <w:tcPr>
            <w:tcW w:w="1289" w:type="dxa"/>
            <w:tcBorders>
              <w:top w:val="nil"/>
              <w:left w:val="single" w:sz="8" w:space="0" w:color="auto"/>
              <w:bottom w:val="single" w:sz="8" w:space="0" w:color="auto"/>
              <w:right w:val="single" w:sz="8" w:space="0" w:color="auto"/>
            </w:tcBorders>
            <w:shd w:val="clear" w:color="auto" w:fill="C0C0C0"/>
            <w:noWrap/>
            <w:vAlign w:val="bottom"/>
            <w:hideMark/>
          </w:tcPr>
          <w:p w14:paraId="6141ACD4" w14:textId="77777777" w:rsidR="00EA0FD7" w:rsidRPr="00EA0FD7" w:rsidRDefault="00EA0FD7" w:rsidP="00EA0FD7">
            <w:pPr>
              <w:spacing w:after="0" w:line="240" w:lineRule="auto"/>
              <w:jc w:val="right"/>
              <w:rPr>
                <w:rFonts w:ascii="Arial" w:eastAsia="Times New Roman" w:hAnsi="Arial" w:cs="Arial"/>
                <w:b/>
                <w:bCs/>
                <w:sz w:val="13"/>
                <w:szCs w:val="13"/>
                <w:lang w:val="sr-Cyrl-RS"/>
              </w:rPr>
            </w:pPr>
            <w:r w:rsidRPr="00EA0FD7">
              <w:rPr>
                <w:rFonts w:ascii="Arial" w:eastAsia="Times New Roman" w:hAnsi="Arial" w:cs="Arial"/>
                <w:b/>
                <w:bCs/>
                <w:sz w:val="13"/>
                <w:szCs w:val="13"/>
                <w:lang w:val="sr-Cyrl-RS"/>
              </w:rPr>
              <w:t>35,419,920.48</w:t>
            </w:r>
          </w:p>
        </w:tc>
      </w:tr>
    </w:tbl>
    <w:p w14:paraId="4709CDBB"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sectPr w:rsidR="00EA0FD7" w:rsidRPr="00EA0FD7">
          <w:pgSz w:w="16834" w:h="11909" w:orient="landscape"/>
          <w:pgMar w:top="547" w:right="1282" w:bottom="1411" w:left="540" w:header="706" w:footer="706" w:gutter="0"/>
          <w:cols w:space="720"/>
        </w:sectPr>
      </w:pPr>
    </w:p>
    <w:p w14:paraId="5E264F7B"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lastRenderedPageBreak/>
        <w:t>Судске пресуде и рјешења, судска  и вансудска поравнања</w:t>
      </w:r>
    </w:p>
    <w:p w14:paraId="7EC405A2" w14:textId="77777777" w:rsidR="00EA0FD7" w:rsidRPr="00EA0FD7" w:rsidRDefault="00EA0FD7" w:rsidP="00EA0FD7">
      <w:pPr>
        <w:spacing w:after="0" w:line="240" w:lineRule="auto"/>
        <w:jc w:val="both"/>
        <w:rPr>
          <w:rFonts w:ascii="Times New Roman" w:eastAsia="Times New Roman" w:hAnsi="Times New Roman" w:cs="Times New Roman"/>
          <w:b/>
          <w:sz w:val="24"/>
          <w:lang w:val="sr-Cyrl-RS" w:eastAsia="hr-HR"/>
        </w:rPr>
      </w:pPr>
    </w:p>
    <w:p w14:paraId="411923E5" w14:textId="77777777" w:rsidR="00EA0FD7" w:rsidRPr="00EA0FD7" w:rsidRDefault="00EA0FD7" w:rsidP="00EA0FD7">
      <w:pPr>
        <w:spacing w:after="0" w:line="240" w:lineRule="auto"/>
        <w:ind w:firstLine="720"/>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Средства за судске пресуде и рјешења, судска и вансудска поравнања су у 2023, 2024 и 2025. години планирана у износу од 1.233.705 КМ. Учешће судских пресуда и рјешења судских и вансудских поравнања од укупно планираног буџета, у 2023. години износи 0,44 % у 2024. години 0,43% и 2025. години 0,42%. </w:t>
      </w:r>
    </w:p>
    <w:p w14:paraId="7C82CE65"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41350076"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295F8DCE"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t>Средства резерве</w:t>
      </w:r>
    </w:p>
    <w:p w14:paraId="51CFD0A1" w14:textId="77777777" w:rsidR="00EA0FD7" w:rsidRPr="00EA0FD7" w:rsidRDefault="00EA0FD7" w:rsidP="00EA0FD7">
      <w:pPr>
        <w:spacing w:after="0" w:line="240" w:lineRule="auto"/>
        <w:rPr>
          <w:rFonts w:ascii="Times New Roman" w:eastAsia="Times New Roman" w:hAnsi="Times New Roman" w:cs="Times New Roman"/>
          <w:b/>
          <w:sz w:val="24"/>
          <w:lang w:val="sr-Cyrl-RS" w:eastAsia="hr-HR"/>
        </w:rPr>
      </w:pPr>
    </w:p>
    <w:p w14:paraId="2C83A48E" w14:textId="77777777" w:rsidR="00EA0FD7" w:rsidRPr="00EA0FD7" w:rsidRDefault="00EA0FD7" w:rsidP="00EA0FD7">
      <w:pPr>
        <w:spacing w:after="0" w:line="240" w:lineRule="auto"/>
        <w:ind w:firstLine="720"/>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Средства резерве  у 2023. години су планирана у висини од 3.829.643 КМ, што је 1,38% од укупно планираног буџета.</w:t>
      </w:r>
    </w:p>
    <w:p w14:paraId="514C9CEC" w14:textId="77777777" w:rsidR="00EA0FD7" w:rsidRPr="00EA0FD7" w:rsidRDefault="00EA0FD7" w:rsidP="00EA0FD7">
      <w:pPr>
        <w:spacing w:after="0" w:line="240" w:lineRule="auto"/>
        <w:jc w:val="both"/>
        <w:rPr>
          <w:rFonts w:ascii="Times New Roman" w:eastAsia="Times New Roman" w:hAnsi="Times New Roman" w:cs="Times New Roman"/>
          <w:bCs/>
          <w:sz w:val="24"/>
          <w:lang w:val="sr-Cyrl-RS" w:eastAsia="hr-HR"/>
        </w:rPr>
      </w:pPr>
    </w:p>
    <w:p w14:paraId="032CF290" w14:textId="77777777" w:rsidR="00EA0FD7" w:rsidRPr="00EA0FD7" w:rsidRDefault="00EA0FD7" w:rsidP="00EA0FD7">
      <w:pPr>
        <w:spacing w:after="0" w:line="240" w:lineRule="auto"/>
        <w:jc w:val="both"/>
        <w:rPr>
          <w:rFonts w:ascii="Times New Roman" w:eastAsia="Times New Roman" w:hAnsi="Times New Roman" w:cs="Times New Roman"/>
          <w:bCs/>
          <w:sz w:val="24"/>
          <w:lang w:val="sr-Cyrl-RS" w:eastAsia="hr-HR"/>
        </w:rPr>
      </w:pPr>
    </w:p>
    <w:p w14:paraId="6E623635" w14:textId="4AFF5C1D" w:rsidR="00EA0FD7" w:rsidRPr="00EA0FD7" w:rsidRDefault="00EA0FD7" w:rsidP="00EA0FD7">
      <w:pPr>
        <w:spacing w:after="0" w:line="240" w:lineRule="auto"/>
        <w:jc w:val="both"/>
        <w:rPr>
          <w:rFonts w:ascii="Times New Roman" w:eastAsia="Times New Roman" w:hAnsi="Times New Roman" w:cs="Times New Roman"/>
          <w:bCs/>
          <w:sz w:val="24"/>
          <w:lang w:val="sr-Cyrl-RS" w:eastAsia="hr-HR"/>
        </w:rPr>
      </w:pPr>
      <w:r w:rsidRPr="00EA0FD7">
        <w:rPr>
          <w:rFonts w:ascii="Times New Roman" w:eastAsia="Times New Roman" w:hAnsi="Times New Roman" w:cs="Times New Roman"/>
          <w:bCs/>
          <w:sz w:val="24"/>
          <w:lang w:val="sr-Cyrl-RS" w:eastAsia="hr-HR"/>
        </w:rPr>
        <w:t>Преглед захтјева буџетских корисника и утврђених горњих граница расхода за 2023</w:t>
      </w:r>
      <w:r w:rsidR="00752F04">
        <w:rPr>
          <w:rFonts w:ascii="Times New Roman" w:eastAsia="Times New Roman" w:hAnsi="Times New Roman" w:cs="Times New Roman"/>
          <w:bCs/>
          <w:sz w:val="24"/>
          <w:lang w:val="sr-Cyrl-RS" w:eastAsia="hr-HR"/>
        </w:rPr>
        <w:t>–</w:t>
      </w:r>
      <w:r w:rsidRPr="00EA0FD7">
        <w:rPr>
          <w:rFonts w:ascii="Times New Roman" w:eastAsia="Times New Roman" w:hAnsi="Times New Roman" w:cs="Times New Roman"/>
          <w:bCs/>
          <w:sz w:val="24"/>
          <w:lang w:val="sr-Cyrl-RS" w:eastAsia="hr-HR"/>
        </w:rPr>
        <w:t>2025. годину приказан је у табели 4.3.</w:t>
      </w:r>
    </w:p>
    <w:p w14:paraId="48C67C6D"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01A04508"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7C84F8CD"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1449D9D2"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70360A5A"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64382052"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583CCCEB"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2F8E3920"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7E324DB9" w14:textId="77777777" w:rsidR="00EA0FD7" w:rsidRPr="00EA0FD7" w:rsidRDefault="00EA0FD7" w:rsidP="00EA0FD7">
      <w:pPr>
        <w:spacing w:after="0" w:line="240" w:lineRule="auto"/>
        <w:jc w:val="both"/>
        <w:rPr>
          <w:rFonts w:ascii="Times New Roman" w:eastAsia="Times New Roman" w:hAnsi="Times New Roman" w:cs="Times New Roman"/>
          <w:b/>
          <w:sz w:val="24"/>
          <w:szCs w:val="24"/>
          <w:lang w:val="sr-Cyrl-RS" w:eastAsia="hr-HR"/>
        </w:rPr>
      </w:pPr>
    </w:p>
    <w:p w14:paraId="6ADCAEE3"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sectPr w:rsidR="00EA0FD7" w:rsidRPr="00EA0FD7">
          <w:pgSz w:w="11909" w:h="16834"/>
          <w:pgMar w:top="1282" w:right="1411" w:bottom="1411" w:left="547" w:header="706" w:footer="706" w:gutter="0"/>
          <w:cols w:space="720"/>
        </w:sectPr>
      </w:pPr>
    </w:p>
    <w:tbl>
      <w:tblPr>
        <w:tblW w:w="15579" w:type="dxa"/>
        <w:tblInd w:w="108" w:type="dxa"/>
        <w:tblLook w:val="04A0" w:firstRow="1" w:lastRow="0" w:firstColumn="1" w:lastColumn="0" w:noHBand="0" w:noVBand="1"/>
      </w:tblPr>
      <w:tblGrid>
        <w:gridCol w:w="1369"/>
        <w:gridCol w:w="2926"/>
        <w:gridCol w:w="1544"/>
        <w:gridCol w:w="1537"/>
        <w:gridCol w:w="1537"/>
        <w:gridCol w:w="1111"/>
        <w:gridCol w:w="1111"/>
        <w:gridCol w:w="1111"/>
        <w:gridCol w:w="1111"/>
        <w:gridCol w:w="1111"/>
        <w:gridCol w:w="1111"/>
      </w:tblGrid>
      <w:tr w:rsidR="00EA0FD7" w:rsidRPr="00EA0FD7" w14:paraId="173DB588" w14:textId="77777777" w:rsidTr="00EA0FD7">
        <w:trPr>
          <w:trHeight w:val="315"/>
        </w:trPr>
        <w:tc>
          <w:tcPr>
            <w:tcW w:w="15579" w:type="dxa"/>
            <w:gridSpan w:val="11"/>
            <w:noWrap/>
            <w:vAlign w:val="bottom"/>
            <w:hideMark/>
          </w:tcPr>
          <w:p w14:paraId="2F2E1DE5" w14:textId="77777777"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lastRenderedPageBreak/>
              <w:t>Табела 4.3. – Преглед захтјева буџетских корисника и утврђених горњих граница расхода</w:t>
            </w:r>
          </w:p>
        </w:tc>
      </w:tr>
      <w:tr w:rsidR="00EA0FD7" w:rsidRPr="00EA0FD7" w14:paraId="239B8E1D" w14:textId="77777777" w:rsidTr="00EA0FD7">
        <w:trPr>
          <w:trHeight w:val="270"/>
        </w:trPr>
        <w:tc>
          <w:tcPr>
            <w:tcW w:w="5839" w:type="dxa"/>
            <w:gridSpan w:val="3"/>
            <w:tcBorders>
              <w:top w:val="nil"/>
              <w:left w:val="nil"/>
              <w:bottom w:val="single" w:sz="8" w:space="0" w:color="auto"/>
              <w:right w:val="nil"/>
            </w:tcBorders>
            <w:noWrap/>
            <w:vAlign w:val="bottom"/>
            <w:hideMark/>
          </w:tcPr>
          <w:p w14:paraId="3569E5FE" w14:textId="23FDC832"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10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СКУПШТИНА БРЧКО ДИСТРИКТА БиХ</w:t>
            </w:r>
          </w:p>
        </w:tc>
        <w:tc>
          <w:tcPr>
            <w:tcW w:w="1537" w:type="dxa"/>
            <w:noWrap/>
            <w:vAlign w:val="bottom"/>
          </w:tcPr>
          <w:p w14:paraId="3AA914F8"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537" w:type="dxa"/>
            <w:noWrap/>
            <w:vAlign w:val="bottom"/>
          </w:tcPr>
          <w:p w14:paraId="039643D1"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111" w:type="dxa"/>
            <w:noWrap/>
            <w:vAlign w:val="bottom"/>
          </w:tcPr>
          <w:p w14:paraId="36B4549C"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111" w:type="dxa"/>
            <w:noWrap/>
            <w:vAlign w:val="bottom"/>
          </w:tcPr>
          <w:p w14:paraId="3F1EBA8A"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111" w:type="dxa"/>
            <w:noWrap/>
            <w:vAlign w:val="bottom"/>
          </w:tcPr>
          <w:p w14:paraId="18E7201E"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111" w:type="dxa"/>
            <w:noWrap/>
            <w:vAlign w:val="bottom"/>
          </w:tcPr>
          <w:p w14:paraId="75C7EC85"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111" w:type="dxa"/>
            <w:noWrap/>
            <w:vAlign w:val="bottom"/>
          </w:tcPr>
          <w:p w14:paraId="11C9B16A"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111" w:type="dxa"/>
            <w:noWrap/>
            <w:vAlign w:val="bottom"/>
          </w:tcPr>
          <w:p w14:paraId="01A7F62B"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600650B6" w14:textId="77777777" w:rsidTr="00EA0FD7">
        <w:trPr>
          <w:trHeight w:val="319"/>
        </w:trPr>
        <w:tc>
          <w:tcPr>
            <w:tcW w:w="1369" w:type="dxa"/>
            <w:vMerge w:val="restart"/>
            <w:tcBorders>
              <w:top w:val="nil"/>
              <w:left w:val="single" w:sz="8" w:space="0" w:color="auto"/>
              <w:bottom w:val="single" w:sz="8" w:space="0" w:color="000000"/>
              <w:right w:val="single" w:sz="8" w:space="0" w:color="auto"/>
            </w:tcBorders>
            <w:shd w:val="clear" w:color="auto" w:fill="808080"/>
            <w:vAlign w:val="center"/>
            <w:hideMark/>
          </w:tcPr>
          <w:p w14:paraId="21A7B4B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926" w:type="dxa"/>
            <w:vMerge w:val="restart"/>
            <w:tcBorders>
              <w:top w:val="nil"/>
              <w:left w:val="single" w:sz="8" w:space="0" w:color="auto"/>
              <w:bottom w:val="single" w:sz="8" w:space="0" w:color="000000"/>
              <w:right w:val="single" w:sz="8" w:space="0" w:color="auto"/>
            </w:tcBorders>
            <w:shd w:val="clear" w:color="auto" w:fill="808080"/>
            <w:vAlign w:val="center"/>
            <w:hideMark/>
          </w:tcPr>
          <w:p w14:paraId="39CDC9E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544" w:type="dxa"/>
            <w:vMerge w:val="restart"/>
            <w:tcBorders>
              <w:top w:val="nil"/>
              <w:left w:val="single" w:sz="8" w:space="0" w:color="auto"/>
              <w:bottom w:val="single" w:sz="8" w:space="0" w:color="000000"/>
              <w:right w:val="single" w:sz="8" w:space="0" w:color="auto"/>
            </w:tcBorders>
            <w:shd w:val="clear" w:color="auto" w:fill="808080"/>
            <w:vAlign w:val="center"/>
            <w:hideMark/>
          </w:tcPr>
          <w:p w14:paraId="26C89D0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537"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793D8E9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537"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4994A17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333"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6602D48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333"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15A1174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6D3C0182"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6D533B1E"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2D0FE868"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5653B705"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A12177"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48DCC97"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111" w:type="dxa"/>
            <w:tcBorders>
              <w:top w:val="nil"/>
              <w:left w:val="nil"/>
              <w:bottom w:val="single" w:sz="8" w:space="0" w:color="auto"/>
              <w:right w:val="single" w:sz="4" w:space="0" w:color="auto"/>
            </w:tcBorders>
            <w:shd w:val="clear" w:color="auto" w:fill="808080"/>
            <w:noWrap/>
            <w:vAlign w:val="center"/>
            <w:hideMark/>
          </w:tcPr>
          <w:p w14:paraId="1EEE881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111" w:type="dxa"/>
            <w:tcBorders>
              <w:top w:val="nil"/>
              <w:left w:val="nil"/>
              <w:bottom w:val="single" w:sz="8" w:space="0" w:color="auto"/>
              <w:right w:val="single" w:sz="4" w:space="0" w:color="auto"/>
            </w:tcBorders>
            <w:shd w:val="clear" w:color="auto" w:fill="808080"/>
            <w:noWrap/>
            <w:vAlign w:val="center"/>
            <w:hideMark/>
          </w:tcPr>
          <w:p w14:paraId="3FE7758E"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111" w:type="dxa"/>
            <w:tcBorders>
              <w:top w:val="nil"/>
              <w:left w:val="nil"/>
              <w:bottom w:val="single" w:sz="8" w:space="0" w:color="auto"/>
              <w:right w:val="single" w:sz="8" w:space="0" w:color="auto"/>
            </w:tcBorders>
            <w:shd w:val="clear" w:color="auto" w:fill="808080"/>
            <w:noWrap/>
            <w:vAlign w:val="center"/>
            <w:hideMark/>
          </w:tcPr>
          <w:p w14:paraId="2D959FF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111" w:type="dxa"/>
            <w:tcBorders>
              <w:top w:val="nil"/>
              <w:left w:val="nil"/>
              <w:bottom w:val="single" w:sz="8" w:space="0" w:color="auto"/>
              <w:right w:val="single" w:sz="4" w:space="0" w:color="auto"/>
            </w:tcBorders>
            <w:shd w:val="clear" w:color="auto" w:fill="808080"/>
            <w:noWrap/>
            <w:vAlign w:val="center"/>
            <w:hideMark/>
          </w:tcPr>
          <w:p w14:paraId="6026258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111" w:type="dxa"/>
            <w:tcBorders>
              <w:top w:val="nil"/>
              <w:left w:val="nil"/>
              <w:bottom w:val="single" w:sz="8" w:space="0" w:color="auto"/>
              <w:right w:val="single" w:sz="4" w:space="0" w:color="auto"/>
            </w:tcBorders>
            <w:shd w:val="clear" w:color="auto" w:fill="808080"/>
            <w:noWrap/>
            <w:vAlign w:val="center"/>
            <w:hideMark/>
          </w:tcPr>
          <w:p w14:paraId="327AE711"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111" w:type="dxa"/>
            <w:tcBorders>
              <w:top w:val="nil"/>
              <w:left w:val="nil"/>
              <w:bottom w:val="single" w:sz="8" w:space="0" w:color="auto"/>
              <w:right w:val="single" w:sz="8" w:space="0" w:color="auto"/>
            </w:tcBorders>
            <w:shd w:val="clear" w:color="auto" w:fill="808080"/>
            <w:noWrap/>
            <w:vAlign w:val="center"/>
            <w:hideMark/>
          </w:tcPr>
          <w:p w14:paraId="2FFF390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2C6D97FF" w14:textId="77777777" w:rsidTr="00EA0FD7">
        <w:trPr>
          <w:trHeight w:val="240"/>
        </w:trPr>
        <w:tc>
          <w:tcPr>
            <w:tcW w:w="1369" w:type="dxa"/>
            <w:tcBorders>
              <w:top w:val="nil"/>
              <w:left w:val="single" w:sz="8" w:space="0" w:color="auto"/>
              <w:bottom w:val="single" w:sz="4" w:space="0" w:color="auto"/>
              <w:right w:val="single" w:sz="4" w:space="0" w:color="auto"/>
            </w:tcBorders>
            <w:noWrap/>
            <w:vAlign w:val="bottom"/>
            <w:hideMark/>
          </w:tcPr>
          <w:p w14:paraId="3212C00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926" w:type="dxa"/>
            <w:tcBorders>
              <w:top w:val="nil"/>
              <w:left w:val="nil"/>
              <w:bottom w:val="single" w:sz="4" w:space="0" w:color="auto"/>
              <w:right w:val="single" w:sz="4" w:space="0" w:color="auto"/>
            </w:tcBorders>
            <w:noWrap/>
            <w:vAlign w:val="bottom"/>
            <w:hideMark/>
          </w:tcPr>
          <w:p w14:paraId="145CAFD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544" w:type="dxa"/>
            <w:tcBorders>
              <w:top w:val="nil"/>
              <w:left w:val="nil"/>
              <w:bottom w:val="single" w:sz="4" w:space="0" w:color="auto"/>
              <w:right w:val="single" w:sz="4" w:space="0" w:color="auto"/>
            </w:tcBorders>
            <w:noWrap/>
            <w:vAlign w:val="bottom"/>
            <w:hideMark/>
          </w:tcPr>
          <w:p w14:paraId="42D3B8C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537" w:type="dxa"/>
            <w:tcBorders>
              <w:top w:val="nil"/>
              <w:left w:val="nil"/>
              <w:bottom w:val="single" w:sz="4" w:space="0" w:color="auto"/>
              <w:right w:val="single" w:sz="4" w:space="0" w:color="auto"/>
            </w:tcBorders>
            <w:noWrap/>
            <w:vAlign w:val="bottom"/>
            <w:hideMark/>
          </w:tcPr>
          <w:p w14:paraId="4F63AD8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537" w:type="dxa"/>
            <w:tcBorders>
              <w:top w:val="nil"/>
              <w:left w:val="nil"/>
              <w:bottom w:val="single" w:sz="4" w:space="0" w:color="auto"/>
              <w:right w:val="single" w:sz="4" w:space="0" w:color="auto"/>
            </w:tcBorders>
            <w:noWrap/>
            <w:vAlign w:val="bottom"/>
            <w:hideMark/>
          </w:tcPr>
          <w:p w14:paraId="3E05506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4" w:space="0" w:color="auto"/>
              <w:right w:val="single" w:sz="4" w:space="0" w:color="auto"/>
            </w:tcBorders>
            <w:noWrap/>
            <w:vAlign w:val="bottom"/>
            <w:hideMark/>
          </w:tcPr>
          <w:p w14:paraId="6CEABEB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4" w:space="0" w:color="auto"/>
              <w:right w:val="single" w:sz="4" w:space="0" w:color="auto"/>
            </w:tcBorders>
            <w:noWrap/>
            <w:vAlign w:val="bottom"/>
            <w:hideMark/>
          </w:tcPr>
          <w:p w14:paraId="04A31B8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4" w:space="0" w:color="auto"/>
              <w:right w:val="single" w:sz="4" w:space="0" w:color="auto"/>
            </w:tcBorders>
            <w:noWrap/>
            <w:vAlign w:val="bottom"/>
            <w:hideMark/>
          </w:tcPr>
          <w:p w14:paraId="00646BA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4" w:space="0" w:color="auto"/>
              <w:right w:val="single" w:sz="4" w:space="0" w:color="auto"/>
            </w:tcBorders>
            <w:noWrap/>
            <w:vAlign w:val="bottom"/>
            <w:hideMark/>
          </w:tcPr>
          <w:p w14:paraId="2782BC7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4" w:space="0" w:color="auto"/>
              <w:right w:val="single" w:sz="4" w:space="0" w:color="auto"/>
            </w:tcBorders>
            <w:noWrap/>
            <w:vAlign w:val="bottom"/>
            <w:hideMark/>
          </w:tcPr>
          <w:p w14:paraId="5D83D53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4" w:space="0" w:color="auto"/>
              <w:right w:val="single" w:sz="8" w:space="0" w:color="auto"/>
            </w:tcBorders>
            <w:noWrap/>
            <w:vAlign w:val="bottom"/>
            <w:hideMark/>
          </w:tcPr>
          <w:p w14:paraId="2596FCD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34FBF67F" w14:textId="77777777" w:rsidTr="00EA0FD7">
        <w:trPr>
          <w:trHeight w:val="480"/>
        </w:trPr>
        <w:tc>
          <w:tcPr>
            <w:tcW w:w="1369" w:type="dxa"/>
            <w:tcBorders>
              <w:top w:val="nil"/>
              <w:left w:val="single" w:sz="8" w:space="0" w:color="auto"/>
              <w:bottom w:val="single" w:sz="4" w:space="0" w:color="auto"/>
              <w:right w:val="single" w:sz="4" w:space="0" w:color="auto"/>
            </w:tcBorders>
            <w:vAlign w:val="bottom"/>
            <w:hideMark/>
          </w:tcPr>
          <w:p w14:paraId="036CE2B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926" w:type="dxa"/>
            <w:tcBorders>
              <w:top w:val="nil"/>
              <w:left w:val="nil"/>
              <w:bottom w:val="single" w:sz="4" w:space="0" w:color="auto"/>
              <w:right w:val="single" w:sz="4" w:space="0" w:color="auto"/>
            </w:tcBorders>
            <w:vAlign w:val="bottom"/>
            <w:hideMark/>
          </w:tcPr>
          <w:p w14:paraId="03422821"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544" w:type="dxa"/>
            <w:tcBorders>
              <w:top w:val="nil"/>
              <w:left w:val="nil"/>
              <w:bottom w:val="single" w:sz="4" w:space="0" w:color="auto"/>
              <w:right w:val="single" w:sz="4" w:space="0" w:color="auto"/>
            </w:tcBorders>
            <w:noWrap/>
            <w:vAlign w:val="bottom"/>
            <w:hideMark/>
          </w:tcPr>
          <w:p w14:paraId="1C0A1C7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2,375,090.48</w:t>
            </w:r>
          </w:p>
        </w:tc>
        <w:tc>
          <w:tcPr>
            <w:tcW w:w="1537" w:type="dxa"/>
            <w:tcBorders>
              <w:top w:val="nil"/>
              <w:left w:val="nil"/>
              <w:bottom w:val="single" w:sz="4" w:space="0" w:color="auto"/>
              <w:right w:val="single" w:sz="4" w:space="0" w:color="auto"/>
            </w:tcBorders>
            <w:noWrap/>
            <w:vAlign w:val="bottom"/>
            <w:hideMark/>
          </w:tcPr>
          <w:p w14:paraId="4AF27D4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2,323,644.72</w:t>
            </w:r>
          </w:p>
        </w:tc>
        <w:tc>
          <w:tcPr>
            <w:tcW w:w="1537" w:type="dxa"/>
            <w:tcBorders>
              <w:top w:val="nil"/>
              <w:left w:val="nil"/>
              <w:bottom w:val="single" w:sz="4" w:space="0" w:color="auto"/>
              <w:right w:val="single" w:sz="4" w:space="0" w:color="auto"/>
            </w:tcBorders>
            <w:noWrap/>
            <w:vAlign w:val="bottom"/>
            <w:hideMark/>
          </w:tcPr>
          <w:p w14:paraId="53BC4C2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2,550,788.64</w:t>
            </w:r>
          </w:p>
        </w:tc>
        <w:tc>
          <w:tcPr>
            <w:tcW w:w="1111" w:type="dxa"/>
            <w:tcBorders>
              <w:top w:val="nil"/>
              <w:left w:val="nil"/>
              <w:bottom w:val="single" w:sz="4" w:space="0" w:color="auto"/>
              <w:right w:val="single" w:sz="4" w:space="0" w:color="auto"/>
            </w:tcBorders>
            <w:noWrap/>
            <w:vAlign w:val="bottom"/>
            <w:hideMark/>
          </w:tcPr>
          <w:p w14:paraId="79C1713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2,653,654</w:t>
            </w:r>
          </w:p>
        </w:tc>
        <w:tc>
          <w:tcPr>
            <w:tcW w:w="1111" w:type="dxa"/>
            <w:tcBorders>
              <w:top w:val="nil"/>
              <w:left w:val="nil"/>
              <w:bottom w:val="single" w:sz="4" w:space="0" w:color="auto"/>
              <w:right w:val="single" w:sz="4" w:space="0" w:color="auto"/>
            </w:tcBorders>
            <w:noWrap/>
            <w:vAlign w:val="bottom"/>
            <w:hideMark/>
          </w:tcPr>
          <w:p w14:paraId="0D20518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2,661,010</w:t>
            </w:r>
          </w:p>
        </w:tc>
        <w:tc>
          <w:tcPr>
            <w:tcW w:w="1111" w:type="dxa"/>
            <w:tcBorders>
              <w:top w:val="nil"/>
              <w:left w:val="nil"/>
              <w:bottom w:val="single" w:sz="4" w:space="0" w:color="auto"/>
              <w:right w:val="single" w:sz="4" w:space="0" w:color="auto"/>
            </w:tcBorders>
            <w:noWrap/>
            <w:vAlign w:val="bottom"/>
            <w:hideMark/>
          </w:tcPr>
          <w:p w14:paraId="2BE44AB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2,667,467</w:t>
            </w:r>
          </w:p>
        </w:tc>
        <w:tc>
          <w:tcPr>
            <w:tcW w:w="1111" w:type="dxa"/>
            <w:tcBorders>
              <w:top w:val="nil"/>
              <w:left w:val="nil"/>
              <w:bottom w:val="single" w:sz="4" w:space="0" w:color="auto"/>
              <w:right w:val="single" w:sz="4" w:space="0" w:color="auto"/>
            </w:tcBorders>
            <w:noWrap/>
            <w:vAlign w:val="bottom"/>
            <w:hideMark/>
          </w:tcPr>
          <w:p w14:paraId="7013EBF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2,702,706</w:t>
            </w:r>
          </w:p>
        </w:tc>
        <w:tc>
          <w:tcPr>
            <w:tcW w:w="1111" w:type="dxa"/>
            <w:tcBorders>
              <w:top w:val="nil"/>
              <w:left w:val="nil"/>
              <w:bottom w:val="single" w:sz="4" w:space="0" w:color="auto"/>
              <w:right w:val="single" w:sz="4" w:space="0" w:color="auto"/>
            </w:tcBorders>
            <w:noWrap/>
            <w:vAlign w:val="bottom"/>
            <w:hideMark/>
          </w:tcPr>
          <w:p w14:paraId="474FF1C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2,710,062</w:t>
            </w:r>
          </w:p>
        </w:tc>
        <w:tc>
          <w:tcPr>
            <w:tcW w:w="1111" w:type="dxa"/>
            <w:tcBorders>
              <w:top w:val="nil"/>
              <w:left w:val="nil"/>
              <w:bottom w:val="single" w:sz="4" w:space="0" w:color="auto"/>
              <w:right w:val="single" w:sz="4" w:space="0" w:color="auto"/>
            </w:tcBorders>
            <w:noWrap/>
            <w:vAlign w:val="bottom"/>
            <w:hideMark/>
          </w:tcPr>
          <w:p w14:paraId="60FBBFD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2,716,519</w:t>
            </w:r>
          </w:p>
        </w:tc>
      </w:tr>
      <w:tr w:rsidR="00EA0FD7" w:rsidRPr="00EA0FD7" w14:paraId="07E2275D" w14:textId="77777777" w:rsidTr="00EA0FD7">
        <w:trPr>
          <w:trHeight w:val="240"/>
        </w:trPr>
        <w:tc>
          <w:tcPr>
            <w:tcW w:w="1369" w:type="dxa"/>
            <w:tcBorders>
              <w:top w:val="nil"/>
              <w:left w:val="single" w:sz="8" w:space="0" w:color="auto"/>
              <w:bottom w:val="single" w:sz="4" w:space="0" w:color="auto"/>
              <w:right w:val="single" w:sz="4" w:space="0" w:color="auto"/>
            </w:tcBorders>
            <w:noWrap/>
            <w:vAlign w:val="bottom"/>
            <w:hideMark/>
          </w:tcPr>
          <w:p w14:paraId="412C39F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611200</w:t>
            </w:r>
          </w:p>
        </w:tc>
        <w:tc>
          <w:tcPr>
            <w:tcW w:w="2926" w:type="dxa"/>
            <w:tcBorders>
              <w:top w:val="nil"/>
              <w:left w:val="nil"/>
              <w:bottom w:val="single" w:sz="4" w:space="0" w:color="auto"/>
              <w:right w:val="single" w:sz="4" w:space="0" w:color="auto"/>
            </w:tcBorders>
            <w:vAlign w:val="bottom"/>
            <w:hideMark/>
          </w:tcPr>
          <w:p w14:paraId="58B935D6"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544" w:type="dxa"/>
            <w:tcBorders>
              <w:top w:val="nil"/>
              <w:left w:val="nil"/>
              <w:bottom w:val="single" w:sz="4" w:space="0" w:color="auto"/>
              <w:right w:val="single" w:sz="4" w:space="0" w:color="auto"/>
            </w:tcBorders>
            <w:noWrap/>
            <w:vAlign w:val="bottom"/>
            <w:hideMark/>
          </w:tcPr>
          <w:p w14:paraId="545342E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137,041.00</w:t>
            </w:r>
          </w:p>
        </w:tc>
        <w:tc>
          <w:tcPr>
            <w:tcW w:w="1537" w:type="dxa"/>
            <w:tcBorders>
              <w:top w:val="nil"/>
              <w:left w:val="nil"/>
              <w:bottom w:val="single" w:sz="4" w:space="0" w:color="auto"/>
              <w:right w:val="single" w:sz="4" w:space="0" w:color="auto"/>
            </w:tcBorders>
            <w:noWrap/>
            <w:vAlign w:val="bottom"/>
            <w:hideMark/>
          </w:tcPr>
          <w:p w14:paraId="193ABB4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114,652.21</w:t>
            </w:r>
          </w:p>
        </w:tc>
        <w:tc>
          <w:tcPr>
            <w:tcW w:w="1537" w:type="dxa"/>
            <w:tcBorders>
              <w:top w:val="nil"/>
              <w:left w:val="nil"/>
              <w:bottom w:val="single" w:sz="4" w:space="0" w:color="auto"/>
              <w:right w:val="single" w:sz="4" w:space="0" w:color="auto"/>
            </w:tcBorders>
            <w:noWrap/>
            <w:vAlign w:val="bottom"/>
            <w:hideMark/>
          </w:tcPr>
          <w:p w14:paraId="7D2ED24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179,381.00</w:t>
            </w:r>
          </w:p>
        </w:tc>
        <w:tc>
          <w:tcPr>
            <w:tcW w:w="1111" w:type="dxa"/>
            <w:tcBorders>
              <w:top w:val="nil"/>
              <w:left w:val="nil"/>
              <w:bottom w:val="single" w:sz="4" w:space="0" w:color="auto"/>
              <w:right w:val="single" w:sz="4" w:space="0" w:color="auto"/>
            </w:tcBorders>
            <w:noWrap/>
            <w:vAlign w:val="bottom"/>
            <w:hideMark/>
          </w:tcPr>
          <w:p w14:paraId="0845DEF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161,123</w:t>
            </w:r>
          </w:p>
        </w:tc>
        <w:tc>
          <w:tcPr>
            <w:tcW w:w="1111" w:type="dxa"/>
            <w:tcBorders>
              <w:top w:val="nil"/>
              <w:left w:val="nil"/>
              <w:bottom w:val="single" w:sz="4" w:space="0" w:color="auto"/>
              <w:right w:val="single" w:sz="4" w:space="0" w:color="auto"/>
            </w:tcBorders>
            <w:noWrap/>
            <w:vAlign w:val="bottom"/>
            <w:hideMark/>
          </w:tcPr>
          <w:p w14:paraId="7B865B7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225,043</w:t>
            </w:r>
          </w:p>
        </w:tc>
        <w:tc>
          <w:tcPr>
            <w:tcW w:w="1111" w:type="dxa"/>
            <w:tcBorders>
              <w:top w:val="nil"/>
              <w:left w:val="nil"/>
              <w:bottom w:val="single" w:sz="4" w:space="0" w:color="auto"/>
              <w:right w:val="single" w:sz="4" w:space="0" w:color="auto"/>
            </w:tcBorders>
            <w:noWrap/>
            <w:vAlign w:val="bottom"/>
            <w:hideMark/>
          </w:tcPr>
          <w:p w14:paraId="6C6F48C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170,123</w:t>
            </w:r>
          </w:p>
        </w:tc>
        <w:tc>
          <w:tcPr>
            <w:tcW w:w="1111" w:type="dxa"/>
            <w:tcBorders>
              <w:top w:val="nil"/>
              <w:left w:val="nil"/>
              <w:bottom w:val="single" w:sz="4" w:space="0" w:color="auto"/>
              <w:right w:val="single" w:sz="4" w:space="0" w:color="auto"/>
            </w:tcBorders>
            <w:noWrap/>
            <w:vAlign w:val="bottom"/>
            <w:hideMark/>
          </w:tcPr>
          <w:p w14:paraId="0448F4C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163,323</w:t>
            </w:r>
          </w:p>
        </w:tc>
        <w:tc>
          <w:tcPr>
            <w:tcW w:w="1111" w:type="dxa"/>
            <w:tcBorders>
              <w:top w:val="nil"/>
              <w:left w:val="nil"/>
              <w:bottom w:val="single" w:sz="4" w:space="0" w:color="auto"/>
              <w:right w:val="single" w:sz="4" w:space="0" w:color="auto"/>
            </w:tcBorders>
            <w:noWrap/>
            <w:vAlign w:val="bottom"/>
            <w:hideMark/>
          </w:tcPr>
          <w:p w14:paraId="7DE27BE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227,243</w:t>
            </w:r>
          </w:p>
        </w:tc>
        <w:tc>
          <w:tcPr>
            <w:tcW w:w="1111" w:type="dxa"/>
            <w:tcBorders>
              <w:top w:val="nil"/>
              <w:left w:val="nil"/>
              <w:bottom w:val="single" w:sz="4" w:space="0" w:color="auto"/>
              <w:right w:val="single" w:sz="4" w:space="0" w:color="auto"/>
            </w:tcBorders>
            <w:noWrap/>
            <w:vAlign w:val="bottom"/>
            <w:hideMark/>
          </w:tcPr>
          <w:p w14:paraId="74B9684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172,323</w:t>
            </w:r>
          </w:p>
        </w:tc>
      </w:tr>
      <w:tr w:rsidR="00EA0FD7" w:rsidRPr="00EA0FD7" w14:paraId="18A1E7EB" w14:textId="77777777" w:rsidTr="00EA0FD7">
        <w:trPr>
          <w:trHeight w:val="480"/>
        </w:trPr>
        <w:tc>
          <w:tcPr>
            <w:tcW w:w="1369" w:type="dxa"/>
            <w:tcBorders>
              <w:top w:val="nil"/>
              <w:left w:val="single" w:sz="8" w:space="0" w:color="auto"/>
              <w:bottom w:val="single" w:sz="4" w:space="0" w:color="auto"/>
              <w:right w:val="single" w:sz="4" w:space="0" w:color="auto"/>
            </w:tcBorders>
            <w:noWrap/>
            <w:vAlign w:val="bottom"/>
            <w:hideMark/>
          </w:tcPr>
          <w:p w14:paraId="0A0CDDD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926" w:type="dxa"/>
            <w:tcBorders>
              <w:top w:val="nil"/>
              <w:left w:val="nil"/>
              <w:bottom w:val="single" w:sz="4" w:space="0" w:color="auto"/>
              <w:right w:val="single" w:sz="4" w:space="0" w:color="auto"/>
            </w:tcBorders>
            <w:vAlign w:val="bottom"/>
            <w:hideMark/>
          </w:tcPr>
          <w:p w14:paraId="2AA7971D"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544" w:type="dxa"/>
            <w:tcBorders>
              <w:top w:val="nil"/>
              <w:left w:val="nil"/>
              <w:bottom w:val="single" w:sz="4" w:space="0" w:color="auto"/>
              <w:right w:val="single" w:sz="4" w:space="0" w:color="auto"/>
            </w:tcBorders>
            <w:noWrap/>
            <w:vAlign w:val="bottom"/>
            <w:hideMark/>
          </w:tcPr>
          <w:p w14:paraId="7A5CFFB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1,000,360.00</w:t>
            </w:r>
          </w:p>
        </w:tc>
        <w:tc>
          <w:tcPr>
            <w:tcW w:w="1537" w:type="dxa"/>
            <w:tcBorders>
              <w:top w:val="nil"/>
              <w:left w:val="nil"/>
              <w:bottom w:val="single" w:sz="4" w:space="0" w:color="auto"/>
              <w:right w:val="single" w:sz="4" w:space="0" w:color="auto"/>
            </w:tcBorders>
            <w:noWrap/>
            <w:vAlign w:val="bottom"/>
            <w:hideMark/>
          </w:tcPr>
          <w:p w14:paraId="5CCBC51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789,306.56</w:t>
            </w:r>
          </w:p>
        </w:tc>
        <w:tc>
          <w:tcPr>
            <w:tcW w:w="1537" w:type="dxa"/>
            <w:tcBorders>
              <w:top w:val="nil"/>
              <w:left w:val="nil"/>
              <w:bottom w:val="single" w:sz="4" w:space="0" w:color="auto"/>
              <w:right w:val="single" w:sz="4" w:space="0" w:color="auto"/>
            </w:tcBorders>
            <w:noWrap/>
            <w:vAlign w:val="bottom"/>
            <w:hideMark/>
          </w:tcPr>
          <w:p w14:paraId="1054A52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1,325,444.55</w:t>
            </w:r>
          </w:p>
        </w:tc>
        <w:tc>
          <w:tcPr>
            <w:tcW w:w="1111" w:type="dxa"/>
            <w:tcBorders>
              <w:top w:val="nil"/>
              <w:left w:val="nil"/>
              <w:bottom w:val="single" w:sz="4" w:space="0" w:color="auto"/>
              <w:right w:val="single" w:sz="4" w:space="0" w:color="auto"/>
            </w:tcBorders>
            <w:noWrap/>
            <w:vAlign w:val="bottom"/>
            <w:hideMark/>
          </w:tcPr>
          <w:p w14:paraId="1A50799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934,550</w:t>
            </w:r>
          </w:p>
        </w:tc>
        <w:tc>
          <w:tcPr>
            <w:tcW w:w="1111" w:type="dxa"/>
            <w:tcBorders>
              <w:top w:val="nil"/>
              <w:left w:val="nil"/>
              <w:bottom w:val="single" w:sz="4" w:space="0" w:color="auto"/>
              <w:right w:val="single" w:sz="4" w:space="0" w:color="auto"/>
            </w:tcBorders>
            <w:noWrap/>
            <w:vAlign w:val="bottom"/>
            <w:hideMark/>
          </w:tcPr>
          <w:p w14:paraId="1C54BCE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1,197,322</w:t>
            </w:r>
          </w:p>
        </w:tc>
        <w:tc>
          <w:tcPr>
            <w:tcW w:w="1111" w:type="dxa"/>
            <w:tcBorders>
              <w:top w:val="nil"/>
              <w:left w:val="nil"/>
              <w:bottom w:val="single" w:sz="4" w:space="0" w:color="auto"/>
              <w:right w:val="single" w:sz="4" w:space="0" w:color="auto"/>
            </w:tcBorders>
            <w:noWrap/>
            <w:vAlign w:val="bottom"/>
            <w:hideMark/>
          </w:tcPr>
          <w:p w14:paraId="79E045E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934,550</w:t>
            </w:r>
          </w:p>
        </w:tc>
        <w:tc>
          <w:tcPr>
            <w:tcW w:w="1111" w:type="dxa"/>
            <w:tcBorders>
              <w:top w:val="nil"/>
              <w:left w:val="nil"/>
              <w:bottom w:val="single" w:sz="4" w:space="0" w:color="auto"/>
              <w:right w:val="single" w:sz="4" w:space="0" w:color="auto"/>
            </w:tcBorders>
            <w:noWrap/>
            <w:vAlign w:val="bottom"/>
            <w:hideMark/>
          </w:tcPr>
          <w:p w14:paraId="2BE6BA8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934,550</w:t>
            </w:r>
          </w:p>
        </w:tc>
        <w:tc>
          <w:tcPr>
            <w:tcW w:w="1111" w:type="dxa"/>
            <w:tcBorders>
              <w:top w:val="nil"/>
              <w:left w:val="nil"/>
              <w:bottom w:val="single" w:sz="4" w:space="0" w:color="auto"/>
              <w:right w:val="single" w:sz="4" w:space="0" w:color="auto"/>
            </w:tcBorders>
            <w:noWrap/>
            <w:vAlign w:val="bottom"/>
            <w:hideMark/>
          </w:tcPr>
          <w:p w14:paraId="4D8DF65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1,197,322</w:t>
            </w:r>
          </w:p>
        </w:tc>
        <w:tc>
          <w:tcPr>
            <w:tcW w:w="1111" w:type="dxa"/>
            <w:tcBorders>
              <w:top w:val="nil"/>
              <w:left w:val="nil"/>
              <w:bottom w:val="single" w:sz="4" w:space="0" w:color="auto"/>
              <w:right w:val="single" w:sz="4" w:space="0" w:color="auto"/>
            </w:tcBorders>
            <w:noWrap/>
            <w:vAlign w:val="bottom"/>
            <w:hideMark/>
          </w:tcPr>
          <w:p w14:paraId="5A30AE7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934,550</w:t>
            </w:r>
          </w:p>
        </w:tc>
      </w:tr>
      <w:tr w:rsidR="00EA0FD7" w:rsidRPr="00EA0FD7" w14:paraId="068ABE87" w14:textId="77777777" w:rsidTr="00EA0FD7">
        <w:trPr>
          <w:trHeight w:val="480"/>
        </w:trPr>
        <w:tc>
          <w:tcPr>
            <w:tcW w:w="1369" w:type="dxa"/>
            <w:tcBorders>
              <w:top w:val="nil"/>
              <w:left w:val="single" w:sz="8" w:space="0" w:color="auto"/>
              <w:bottom w:val="single" w:sz="4" w:space="0" w:color="auto"/>
              <w:right w:val="single" w:sz="4" w:space="0" w:color="auto"/>
            </w:tcBorders>
            <w:vAlign w:val="bottom"/>
            <w:hideMark/>
          </w:tcPr>
          <w:p w14:paraId="164AF04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614000</w:t>
            </w:r>
          </w:p>
        </w:tc>
        <w:tc>
          <w:tcPr>
            <w:tcW w:w="2926" w:type="dxa"/>
            <w:tcBorders>
              <w:top w:val="nil"/>
              <w:left w:val="nil"/>
              <w:bottom w:val="single" w:sz="4" w:space="0" w:color="auto"/>
              <w:right w:val="single" w:sz="4" w:space="0" w:color="auto"/>
            </w:tcBorders>
            <w:vAlign w:val="bottom"/>
            <w:hideMark/>
          </w:tcPr>
          <w:p w14:paraId="53F169DA"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544" w:type="dxa"/>
            <w:tcBorders>
              <w:top w:val="nil"/>
              <w:left w:val="nil"/>
              <w:bottom w:val="single" w:sz="4" w:space="0" w:color="auto"/>
              <w:right w:val="single" w:sz="4" w:space="0" w:color="auto"/>
            </w:tcBorders>
            <w:noWrap/>
            <w:vAlign w:val="bottom"/>
            <w:hideMark/>
          </w:tcPr>
          <w:p w14:paraId="6F76ACA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2,403,000.00</w:t>
            </w:r>
          </w:p>
        </w:tc>
        <w:tc>
          <w:tcPr>
            <w:tcW w:w="1537" w:type="dxa"/>
            <w:tcBorders>
              <w:top w:val="nil"/>
              <w:left w:val="nil"/>
              <w:bottom w:val="single" w:sz="4" w:space="0" w:color="auto"/>
              <w:right w:val="single" w:sz="4" w:space="0" w:color="auto"/>
            </w:tcBorders>
            <w:noWrap/>
            <w:vAlign w:val="bottom"/>
            <w:hideMark/>
          </w:tcPr>
          <w:p w14:paraId="36CA886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2,358,373.97</w:t>
            </w:r>
          </w:p>
        </w:tc>
        <w:tc>
          <w:tcPr>
            <w:tcW w:w="1537" w:type="dxa"/>
            <w:tcBorders>
              <w:top w:val="nil"/>
              <w:left w:val="nil"/>
              <w:bottom w:val="single" w:sz="4" w:space="0" w:color="auto"/>
              <w:right w:val="single" w:sz="4" w:space="0" w:color="auto"/>
            </w:tcBorders>
            <w:noWrap/>
            <w:vAlign w:val="bottom"/>
            <w:hideMark/>
          </w:tcPr>
          <w:p w14:paraId="12E02D3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2,337,000.00</w:t>
            </w:r>
          </w:p>
        </w:tc>
        <w:tc>
          <w:tcPr>
            <w:tcW w:w="1111" w:type="dxa"/>
            <w:tcBorders>
              <w:top w:val="nil"/>
              <w:left w:val="nil"/>
              <w:bottom w:val="single" w:sz="4" w:space="0" w:color="auto"/>
              <w:right w:val="single" w:sz="4" w:space="0" w:color="auto"/>
            </w:tcBorders>
            <w:noWrap/>
            <w:vAlign w:val="bottom"/>
            <w:hideMark/>
          </w:tcPr>
          <w:p w14:paraId="3D326CB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400,000</w:t>
            </w:r>
          </w:p>
        </w:tc>
        <w:tc>
          <w:tcPr>
            <w:tcW w:w="1111" w:type="dxa"/>
            <w:tcBorders>
              <w:top w:val="nil"/>
              <w:left w:val="nil"/>
              <w:bottom w:val="single" w:sz="4" w:space="0" w:color="auto"/>
              <w:right w:val="single" w:sz="4" w:space="0" w:color="auto"/>
            </w:tcBorders>
            <w:noWrap/>
            <w:vAlign w:val="bottom"/>
            <w:hideMark/>
          </w:tcPr>
          <w:p w14:paraId="52829AD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460,000</w:t>
            </w:r>
          </w:p>
        </w:tc>
        <w:tc>
          <w:tcPr>
            <w:tcW w:w="1111" w:type="dxa"/>
            <w:tcBorders>
              <w:top w:val="nil"/>
              <w:left w:val="nil"/>
              <w:bottom w:val="single" w:sz="4" w:space="0" w:color="auto"/>
              <w:right w:val="single" w:sz="4" w:space="0" w:color="auto"/>
            </w:tcBorders>
            <w:noWrap/>
            <w:vAlign w:val="bottom"/>
            <w:hideMark/>
          </w:tcPr>
          <w:p w14:paraId="777B714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400,000</w:t>
            </w:r>
          </w:p>
        </w:tc>
        <w:tc>
          <w:tcPr>
            <w:tcW w:w="1111" w:type="dxa"/>
            <w:tcBorders>
              <w:top w:val="nil"/>
              <w:left w:val="nil"/>
              <w:bottom w:val="single" w:sz="4" w:space="0" w:color="auto"/>
              <w:right w:val="single" w:sz="4" w:space="0" w:color="auto"/>
            </w:tcBorders>
            <w:noWrap/>
            <w:vAlign w:val="bottom"/>
            <w:hideMark/>
          </w:tcPr>
          <w:p w14:paraId="55B50FE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400,000</w:t>
            </w:r>
          </w:p>
        </w:tc>
        <w:tc>
          <w:tcPr>
            <w:tcW w:w="1111" w:type="dxa"/>
            <w:tcBorders>
              <w:top w:val="nil"/>
              <w:left w:val="nil"/>
              <w:bottom w:val="single" w:sz="4" w:space="0" w:color="auto"/>
              <w:right w:val="single" w:sz="4" w:space="0" w:color="auto"/>
            </w:tcBorders>
            <w:noWrap/>
            <w:vAlign w:val="bottom"/>
            <w:hideMark/>
          </w:tcPr>
          <w:p w14:paraId="1E2FCE7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460,000</w:t>
            </w:r>
          </w:p>
        </w:tc>
        <w:tc>
          <w:tcPr>
            <w:tcW w:w="1111" w:type="dxa"/>
            <w:tcBorders>
              <w:top w:val="nil"/>
              <w:left w:val="nil"/>
              <w:bottom w:val="single" w:sz="4" w:space="0" w:color="auto"/>
              <w:right w:val="single" w:sz="4" w:space="0" w:color="auto"/>
            </w:tcBorders>
            <w:noWrap/>
            <w:vAlign w:val="bottom"/>
            <w:hideMark/>
          </w:tcPr>
          <w:p w14:paraId="2B0F570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400,000</w:t>
            </w:r>
          </w:p>
        </w:tc>
      </w:tr>
      <w:tr w:rsidR="00EA0FD7" w:rsidRPr="00EA0FD7" w14:paraId="7845F1D0" w14:textId="77777777" w:rsidTr="00EA0FD7">
        <w:trPr>
          <w:trHeight w:val="240"/>
        </w:trPr>
        <w:tc>
          <w:tcPr>
            <w:tcW w:w="1369" w:type="dxa"/>
            <w:tcBorders>
              <w:top w:val="nil"/>
              <w:left w:val="single" w:sz="8" w:space="0" w:color="auto"/>
              <w:bottom w:val="nil"/>
              <w:right w:val="single" w:sz="4" w:space="0" w:color="auto"/>
            </w:tcBorders>
            <w:vAlign w:val="bottom"/>
            <w:hideMark/>
          </w:tcPr>
          <w:p w14:paraId="13BBF4B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615000</w:t>
            </w:r>
          </w:p>
        </w:tc>
        <w:tc>
          <w:tcPr>
            <w:tcW w:w="2926" w:type="dxa"/>
            <w:tcBorders>
              <w:top w:val="nil"/>
              <w:left w:val="nil"/>
              <w:bottom w:val="nil"/>
              <w:right w:val="single" w:sz="4" w:space="0" w:color="auto"/>
            </w:tcBorders>
            <w:vAlign w:val="bottom"/>
            <w:hideMark/>
          </w:tcPr>
          <w:p w14:paraId="2CA9039A"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544" w:type="dxa"/>
            <w:tcBorders>
              <w:top w:val="nil"/>
              <w:left w:val="nil"/>
              <w:bottom w:val="single" w:sz="4" w:space="0" w:color="auto"/>
              <w:right w:val="single" w:sz="4" w:space="0" w:color="auto"/>
            </w:tcBorders>
            <w:noWrap/>
            <w:vAlign w:val="bottom"/>
            <w:hideMark/>
          </w:tcPr>
          <w:p w14:paraId="6AFBF7F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537" w:type="dxa"/>
            <w:tcBorders>
              <w:top w:val="nil"/>
              <w:left w:val="nil"/>
              <w:bottom w:val="nil"/>
              <w:right w:val="single" w:sz="4" w:space="0" w:color="auto"/>
            </w:tcBorders>
            <w:noWrap/>
            <w:vAlign w:val="bottom"/>
            <w:hideMark/>
          </w:tcPr>
          <w:p w14:paraId="5F64DAC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537" w:type="dxa"/>
            <w:tcBorders>
              <w:top w:val="nil"/>
              <w:left w:val="nil"/>
              <w:bottom w:val="single" w:sz="4" w:space="0" w:color="auto"/>
              <w:right w:val="single" w:sz="4" w:space="0" w:color="auto"/>
            </w:tcBorders>
            <w:noWrap/>
            <w:vAlign w:val="bottom"/>
            <w:hideMark/>
          </w:tcPr>
          <w:p w14:paraId="3B2AF87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675,000.00</w:t>
            </w:r>
          </w:p>
        </w:tc>
        <w:tc>
          <w:tcPr>
            <w:tcW w:w="1111" w:type="dxa"/>
            <w:tcBorders>
              <w:top w:val="nil"/>
              <w:left w:val="nil"/>
              <w:bottom w:val="single" w:sz="4" w:space="0" w:color="auto"/>
              <w:right w:val="single" w:sz="4" w:space="0" w:color="auto"/>
            </w:tcBorders>
            <w:noWrap/>
            <w:vAlign w:val="bottom"/>
            <w:hideMark/>
          </w:tcPr>
          <w:p w14:paraId="7A8AA8B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1,958,374</w:t>
            </w:r>
          </w:p>
        </w:tc>
        <w:tc>
          <w:tcPr>
            <w:tcW w:w="1111" w:type="dxa"/>
            <w:tcBorders>
              <w:top w:val="nil"/>
              <w:left w:val="nil"/>
              <w:bottom w:val="single" w:sz="4" w:space="0" w:color="auto"/>
              <w:right w:val="single" w:sz="4" w:space="0" w:color="auto"/>
            </w:tcBorders>
            <w:noWrap/>
            <w:vAlign w:val="bottom"/>
            <w:hideMark/>
          </w:tcPr>
          <w:p w14:paraId="3477A39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1,958,374</w:t>
            </w:r>
          </w:p>
        </w:tc>
        <w:tc>
          <w:tcPr>
            <w:tcW w:w="1111" w:type="dxa"/>
            <w:tcBorders>
              <w:top w:val="nil"/>
              <w:left w:val="nil"/>
              <w:bottom w:val="single" w:sz="4" w:space="0" w:color="auto"/>
              <w:right w:val="single" w:sz="4" w:space="0" w:color="auto"/>
            </w:tcBorders>
            <w:noWrap/>
            <w:vAlign w:val="bottom"/>
            <w:hideMark/>
          </w:tcPr>
          <w:p w14:paraId="6CCB9E5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1,958,374</w:t>
            </w:r>
          </w:p>
        </w:tc>
        <w:tc>
          <w:tcPr>
            <w:tcW w:w="1111" w:type="dxa"/>
            <w:tcBorders>
              <w:top w:val="nil"/>
              <w:left w:val="nil"/>
              <w:bottom w:val="single" w:sz="4" w:space="0" w:color="auto"/>
              <w:right w:val="single" w:sz="4" w:space="0" w:color="auto"/>
            </w:tcBorders>
            <w:noWrap/>
            <w:vAlign w:val="bottom"/>
            <w:hideMark/>
          </w:tcPr>
          <w:p w14:paraId="5A872CB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1,958,374</w:t>
            </w:r>
          </w:p>
        </w:tc>
        <w:tc>
          <w:tcPr>
            <w:tcW w:w="1111" w:type="dxa"/>
            <w:tcBorders>
              <w:top w:val="nil"/>
              <w:left w:val="nil"/>
              <w:bottom w:val="single" w:sz="4" w:space="0" w:color="auto"/>
              <w:right w:val="single" w:sz="4" w:space="0" w:color="auto"/>
            </w:tcBorders>
            <w:noWrap/>
            <w:vAlign w:val="bottom"/>
            <w:hideMark/>
          </w:tcPr>
          <w:p w14:paraId="0ECAC3D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1,958,374</w:t>
            </w:r>
          </w:p>
        </w:tc>
        <w:tc>
          <w:tcPr>
            <w:tcW w:w="1111" w:type="dxa"/>
            <w:tcBorders>
              <w:top w:val="nil"/>
              <w:left w:val="nil"/>
              <w:bottom w:val="single" w:sz="4" w:space="0" w:color="auto"/>
              <w:right w:val="single" w:sz="4" w:space="0" w:color="auto"/>
            </w:tcBorders>
            <w:noWrap/>
            <w:vAlign w:val="bottom"/>
            <w:hideMark/>
          </w:tcPr>
          <w:p w14:paraId="13C7EFC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1,958,374</w:t>
            </w:r>
          </w:p>
        </w:tc>
      </w:tr>
      <w:tr w:rsidR="00EA0FD7" w:rsidRPr="00EA0FD7" w14:paraId="60AD0376" w14:textId="77777777" w:rsidTr="00EA0FD7">
        <w:trPr>
          <w:trHeight w:val="480"/>
        </w:trPr>
        <w:tc>
          <w:tcPr>
            <w:tcW w:w="1369" w:type="dxa"/>
            <w:tcBorders>
              <w:top w:val="single" w:sz="4" w:space="0" w:color="auto"/>
              <w:left w:val="single" w:sz="8" w:space="0" w:color="auto"/>
              <w:bottom w:val="nil"/>
              <w:right w:val="single" w:sz="4" w:space="0" w:color="auto"/>
            </w:tcBorders>
            <w:noWrap/>
            <w:vAlign w:val="bottom"/>
            <w:hideMark/>
          </w:tcPr>
          <w:p w14:paraId="2E5AC0E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821000</w:t>
            </w:r>
          </w:p>
        </w:tc>
        <w:tc>
          <w:tcPr>
            <w:tcW w:w="2926" w:type="dxa"/>
            <w:tcBorders>
              <w:top w:val="single" w:sz="4" w:space="0" w:color="auto"/>
              <w:left w:val="nil"/>
              <w:bottom w:val="nil"/>
              <w:right w:val="single" w:sz="4" w:space="0" w:color="auto"/>
            </w:tcBorders>
            <w:vAlign w:val="bottom"/>
            <w:hideMark/>
          </w:tcPr>
          <w:p w14:paraId="6AA85AC7"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544" w:type="dxa"/>
            <w:tcBorders>
              <w:top w:val="nil"/>
              <w:left w:val="nil"/>
              <w:bottom w:val="nil"/>
              <w:right w:val="single" w:sz="4" w:space="0" w:color="auto"/>
            </w:tcBorders>
            <w:noWrap/>
            <w:vAlign w:val="bottom"/>
            <w:hideMark/>
          </w:tcPr>
          <w:p w14:paraId="57AF68D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90,000.00</w:t>
            </w:r>
          </w:p>
        </w:tc>
        <w:tc>
          <w:tcPr>
            <w:tcW w:w="1537" w:type="dxa"/>
            <w:tcBorders>
              <w:top w:val="single" w:sz="4" w:space="0" w:color="auto"/>
              <w:left w:val="nil"/>
              <w:bottom w:val="nil"/>
              <w:right w:val="single" w:sz="4" w:space="0" w:color="auto"/>
            </w:tcBorders>
            <w:noWrap/>
            <w:vAlign w:val="bottom"/>
            <w:hideMark/>
          </w:tcPr>
          <w:p w14:paraId="7F561D8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537" w:type="dxa"/>
            <w:tcBorders>
              <w:top w:val="nil"/>
              <w:left w:val="nil"/>
              <w:bottom w:val="nil"/>
              <w:right w:val="single" w:sz="4" w:space="0" w:color="auto"/>
            </w:tcBorders>
            <w:noWrap/>
            <w:vAlign w:val="bottom"/>
            <w:hideMark/>
          </w:tcPr>
          <w:p w14:paraId="25B7B5F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111" w:type="dxa"/>
            <w:tcBorders>
              <w:top w:val="nil"/>
              <w:left w:val="nil"/>
              <w:bottom w:val="nil"/>
              <w:right w:val="single" w:sz="4" w:space="0" w:color="auto"/>
            </w:tcBorders>
            <w:noWrap/>
            <w:vAlign w:val="bottom"/>
            <w:hideMark/>
          </w:tcPr>
          <w:p w14:paraId="13CB6F4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50,000</w:t>
            </w:r>
          </w:p>
        </w:tc>
        <w:tc>
          <w:tcPr>
            <w:tcW w:w="1111" w:type="dxa"/>
            <w:tcBorders>
              <w:top w:val="nil"/>
              <w:left w:val="nil"/>
              <w:bottom w:val="nil"/>
              <w:right w:val="single" w:sz="4" w:space="0" w:color="auto"/>
            </w:tcBorders>
            <w:noWrap/>
            <w:vAlign w:val="bottom"/>
            <w:hideMark/>
          </w:tcPr>
          <w:p w14:paraId="7E78243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50,000</w:t>
            </w:r>
          </w:p>
        </w:tc>
        <w:tc>
          <w:tcPr>
            <w:tcW w:w="1111" w:type="dxa"/>
            <w:tcBorders>
              <w:top w:val="nil"/>
              <w:left w:val="nil"/>
              <w:bottom w:val="nil"/>
              <w:right w:val="single" w:sz="4" w:space="0" w:color="auto"/>
            </w:tcBorders>
            <w:noWrap/>
            <w:vAlign w:val="bottom"/>
            <w:hideMark/>
          </w:tcPr>
          <w:p w14:paraId="6212721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50,000</w:t>
            </w:r>
          </w:p>
        </w:tc>
        <w:tc>
          <w:tcPr>
            <w:tcW w:w="1111" w:type="dxa"/>
            <w:tcBorders>
              <w:top w:val="nil"/>
              <w:left w:val="nil"/>
              <w:bottom w:val="nil"/>
              <w:right w:val="single" w:sz="4" w:space="0" w:color="auto"/>
            </w:tcBorders>
            <w:noWrap/>
            <w:vAlign w:val="bottom"/>
            <w:hideMark/>
          </w:tcPr>
          <w:p w14:paraId="78B02FB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50,000</w:t>
            </w:r>
          </w:p>
        </w:tc>
        <w:tc>
          <w:tcPr>
            <w:tcW w:w="1111" w:type="dxa"/>
            <w:tcBorders>
              <w:top w:val="nil"/>
              <w:left w:val="nil"/>
              <w:bottom w:val="nil"/>
              <w:right w:val="single" w:sz="4" w:space="0" w:color="auto"/>
            </w:tcBorders>
            <w:noWrap/>
            <w:vAlign w:val="bottom"/>
            <w:hideMark/>
          </w:tcPr>
          <w:p w14:paraId="1A23DC1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50,000</w:t>
            </w:r>
          </w:p>
        </w:tc>
        <w:tc>
          <w:tcPr>
            <w:tcW w:w="1111" w:type="dxa"/>
            <w:tcBorders>
              <w:top w:val="nil"/>
              <w:left w:val="nil"/>
              <w:bottom w:val="nil"/>
              <w:right w:val="single" w:sz="4" w:space="0" w:color="auto"/>
            </w:tcBorders>
            <w:noWrap/>
            <w:vAlign w:val="bottom"/>
            <w:hideMark/>
          </w:tcPr>
          <w:p w14:paraId="6CBE6EC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50,000</w:t>
            </w:r>
          </w:p>
        </w:tc>
      </w:tr>
      <w:tr w:rsidR="00EA0FD7" w:rsidRPr="00EA0FD7" w14:paraId="5980BC12" w14:textId="77777777" w:rsidTr="00EA0FD7">
        <w:trPr>
          <w:trHeight w:val="285"/>
        </w:trPr>
        <w:tc>
          <w:tcPr>
            <w:tcW w:w="1369" w:type="dxa"/>
            <w:tcBorders>
              <w:top w:val="single" w:sz="8" w:space="0" w:color="auto"/>
              <w:left w:val="single" w:sz="8" w:space="0" w:color="auto"/>
              <w:bottom w:val="single" w:sz="8" w:space="0" w:color="auto"/>
              <w:right w:val="single" w:sz="8" w:space="0" w:color="auto"/>
            </w:tcBorders>
            <w:noWrap/>
            <w:vAlign w:val="bottom"/>
            <w:hideMark/>
          </w:tcPr>
          <w:p w14:paraId="686ABC2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926" w:type="dxa"/>
            <w:tcBorders>
              <w:top w:val="single" w:sz="8" w:space="0" w:color="auto"/>
              <w:left w:val="nil"/>
              <w:bottom w:val="single" w:sz="8" w:space="0" w:color="auto"/>
              <w:right w:val="single" w:sz="8" w:space="0" w:color="auto"/>
            </w:tcBorders>
            <w:noWrap/>
            <w:vAlign w:val="bottom"/>
            <w:hideMark/>
          </w:tcPr>
          <w:p w14:paraId="61C2034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544" w:type="dxa"/>
            <w:tcBorders>
              <w:top w:val="single" w:sz="8" w:space="0" w:color="auto"/>
              <w:left w:val="nil"/>
              <w:bottom w:val="single" w:sz="8" w:space="0" w:color="auto"/>
              <w:right w:val="single" w:sz="8" w:space="0" w:color="auto"/>
            </w:tcBorders>
            <w:noWrap/>
            <w:vAlign w:val="bottom"/>
            <w:hideMark/>
          </w:tcPr>
          <w:p w14:paraId="6B04C17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6,005,491.48</w:t>
            </w:r>
          </w:p>
        </w:tc>
        <w:tc>
          <w:tcPr>
            <w:tcW w:w="1537" w:type="dxa"/>
            <w:tcBorders>
              <w:top w:val="single" w:sz="8" w:space="0" w:color="auto"/>
              <w:left w:val="nil"/>
              <w:bottom w:val="single" w:sz="8" w:space="0" w:color="auto"/>
              <w:right w:val="single" w:sz="8" w:space="0" w:color="auto"/>
            </w:tcBorders>
            <w:noWrap/>
            <w:vAlign w:val="bottom"/>
            <w:hideMark/>
          </w:tcPr>
          <w:p w14:paraId="307DCF3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5,585,977.46</w:t>
            </w:r>
          </w:p>
        </w:tc>
        <w:tc>
          <w:tcPr>
            <w:tcW w:w="1537" w:type="dxa"/>
            <w:tcBorders>
              <w:top w:val="single" w:sz="8" w:space="0" w:color="auto"/>
              <w:left w:val="nil"/>
              <w:bottom w:val="single" w:sz="8" w:space="0" w:color="auto"/>
              <w:right w:val="single" w:sz="8" w:space="0" w:color="auto"/>
            </w:tcBorders>
            <w:noWrap/>
            <w:vAlign w:val="bottom"/>
            <w:hideMark/>
          </w:tcPr>
          <w:p w14:paraId="658234A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7,067,614.19</w:t>
            </w:r>
          </w:p>
        </w:tc>
        <w:tc>
          <w:tcPr>
            <w:tcW w:w="1111" w:type="dxa"/>
            <w:tcBorders>
              <w:top w:val="single" w:sz="8" w:space="0" w:color="auto"/>
              <w:left w:val="nil"/>
              <w:bottom w:val="single" w:sz="8" w:space="0" w:color="auto"/>
              <w:right w:val="single" w:sz="8" w:space="0" w:color="auto"/>
            </w:tcBorders>
            <w:noWrap/>
            <w:vAlign w:val="bottom"/>
            <w:hideMark/>
          </w:tcPr>
          <w:p w14:paraId="4F2C0C0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6,157,701</w:t>
            </w:r>
          </w:p>
        </w:tc>
        <w:tc>
          <w:tcPr>
            <w:tcW w:w="1111" w:type="dxa"/>
            <w:tcBorders>
              <w:top w:val="single" w:sz="8" w:space="0" w:color="auto"/>
              <w:left w:val="nil"/>
              <w:bottom w:val="single" w:sz="8" w:space="0" w:color="auto"/>
              <w:right w:val="single" w:sz="8" w:space="0" w:color="auto"/>
            </w:tcBorders>
            <w:noWrap/>
            <w:vAlign w:val="bottom"/>
            <w:hideMark/>
          </w:tcPr>
          <w:p w14:paraId="67D5EB9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6,551,749</w:t>
            </w:r>
          </w:p>
        </w:tc>
        <w:tc>
          <w:tcPr>
            <w:tcW w:w="1111" w:type="dxa"/>
            <w:tcBorders>
              <w:top w:val="single" w:sz="8" w:space="0" w:color="auto"/>
              <w:left w:val="nil"/>
              <w:bottom w:val="single" w:sz="8" w:space="0" w:color="auto"/>
              <w:right w:val="single" w:sz="8" w:space="0" w:color="auto"/>
            </w:tcBorders>
            <w:noWrap/>
            <w:vAlign w:val="bottom"/>
            <w:hideMark/>
          </w:tcPr>
          <w:p w14:paraId="14BCD10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6,180,514</w:t>
            </w:r>
          </w:p>
        </w:tc>
        <w:tc>
          <w:tcPr>
            <w:tcW w:w="1111" w:type="dxa"/>
            <w:tcBorders>
              <w:top w:val="single" w:sz="8" w:space="0" w:color="auto"/>
              <w:left w:val="nil"/>
              <w:bottom w:val="single" w:sz="8" w:space="0" w:color="auto"/>
              <w:right w:val="single" w:sz="8" w:space="0" w:color="auto"/>
            </w:tcBorders>
            <w:noWrap/>
            <w:vAlign w:val="bottom"/>
            <w:hideMark/>
          </w:tcPr>
          <w:p w14:paraId="2AAC086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6,208,953</w:t>
            </w:r>
          </w:p>
        </w:tc>
        <w:tc>
          <w:tcPr>
            <w:tcW w:w="1111" w:type="dxa"/>
            <w:tcBorders>
              <w:top w:val="single" w:sz="8" w:space="0" w:color="auto"/>
              <w:left w:val="nil"/>
              <w:bottom w:val="single" w:sz="8" w:space="0" w:color="auto"/>
              <w:right w:val="single" w:sz="8" w:space="0" w:color="auto"/>
            </w:tcBorders>
            <w:noWrap/>
            <w:vAlign w:val="bottom"/>
            <w:hideMark/>
          </w:tcPr>
          <w:p w14:paraId="24CC4CB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6,603,001</w:t>
            </w:r>
          </w:p>
        </w:tc>
        <w:tc>
          <w:tcPr>
            <w:tcW w:w="1111" w:type="dxa"/>
            <w:tcBorders>
              <w:top w:val="single" w:sz="8" w:space="0" w:color="auto"/>
              <w:left w:val="nil"/>
              <w:bottom w:val="single" w:sz="8" w:space="0" w:color="auto"/>
              <w:right w:val="single" w:sz="8" w:space="0" w:color="auto"/>
            </w:tcBorders>
            <w:noWrap/>
            <w:vAlign w:val="bottom"/>
            <w:hideMark/>
          </w:tcPr>
          <w:p w14:paraId="4CA7B96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6,231,766</w:t>
            </w:r>
          </w:p>
        </w:tc>
      </w:tr>
      <w:tr w:rsidR="00EA0FD7" w:rsidRPr="00EA0FD7" w14:paraId="5CE392A7" w14:textId="77777777" w:rsidTr="00EA0FD7">
        <w:trPr>
          <w:trHeight w:val="216"/>
        </w:trPr>
        <w:tc>
          <w:tcPr>
            <w:tcW w:w="1369" w:type="dxa"/>
            <w:tcBorders>
              <w:top w:val="nil"/>
              <w:left w:val="single" w:sz="8" w:space="0" w:color="auto"/>
              <w:bottom w:val="single" w:sz="8" w:space="0" w:color="auto"/>
              <w:right w:val="nil"/>
            </w:tcBorders>
            <w:noWrap/>
            <w:vAlign w:val="bottom"/>
            <w:hideMark/>
          </w:tcPr>
          <w:p w14:paraId="3ABBF0F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926" w:type="dxa"/>
            <w:tcBorders>
              <w:top w:val="nil"/>
              <w:left w:val="nil"/>
              <w:bottom w:val="single" w:sz="8" w:space="0" w:color="auto"/>
              <w:right w:val="nil"/>
            </w:tcBorders>
            <w:noWrap/>
            <w:vAlign w:val="bottom"/>
            <w:hideMark/>
          </w:tcPr>
          <w:p w14:paraId="5717A87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544" w:type="dxa"/>
            <w:tcBorders>
              <w:top w:val="nil"/>
              <w:left w:val="nil"/>
              <w:bottom w:val="single" w:sz="8" w:space="0" w:color="auto"/>
              <w:right w:val="nil"/>
            </w:tcBorders>
            <w:noWrap/>
            <w:vAlign w:val="bottom"/>
            <w:hideMark/>
          </w:tcPr>
          <w:p w14:paraId="41A7BA2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537" w:type="dxa"/>
            <w:tcBorders>
              <w:top w:val="nil"/>
              <w:left w:val="nil"/>
              <w:bottom w:val="single" w:sz="8" w:space="0" w:color="auto"/>
              <w:right w:val="nil"/>
            </w:tcBorders>
            <w:noWrap/>
            <w:vAlign w:val="bottom"/>
            <w:hideMark/>
          </w:tcPr>
          <w:p w14:paraId="5A9E000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537" w:type="dxa"/>
            <w:tcBorders>
              <w:top w:val="nil"/>
              <w:left w:val="nil"/>
              <w:bottom w:val="single" w:sz="8" w:space="0" w:color="auto"/>
              <w:right w:val="nil"/>
            </w:tcBorders>
            <w:noWrap/>
            <w:vAlign w:val="bottom"/>
            <w:hideMark/>
          </w:tcPr>
          <w:p w14:paraId="7A72EDE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8" w:space="0" w:color="auto"/>
              <w:right w:val="nil"/>
            </w:tcBorders>
            <w:noWrap/>
            <w:vAlign w:val="bottom"/>
            <w:hideMark/>
          </w:tcPr>
          <w:p w14:paraId="261E3C1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8" w:space="0" w:color="auto"/>
              <w:right w:val="nil"/>
            </w:tcBorders>
            <w:noWrap/>
            <w:vAlign w:val="bottom"/>
            <w:hideMark/>
          </w:tcPr>
          <w:p w14:paraId="70F52C8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8" w:space="0" w:color="auto"/>
              <w:right w:val="nil"/>
            </w:tcBorders>
            <w:noWrap/>
            <w:vAlign w:val="bottom"/>
            <w:hideMark/>
          </w:tcPr>
          <w:p w14:paraId="08BA2AE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8" w:space="0" w:color="auto"/>
              <w:right w:val="nil"/>
            </w:tcBorders>
            <w:noWrap/>
            <w:vAlign w:val="bottom"/>
            <w:hideMark/>
          </w:tcPr>
          <w:p w14:paraId="690BF30C"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111" w:type="dxa"/>
            <w:tcBorders>
              <w:top w:val="nil"/>
              <w:left w:val="nil"/>
              <w:bottom w:val="single" w:sz="8" w:space="0" w:color="auto"/>
              <w:right w:val="nil"/>
            </w:tcBorders>
            <w:noWrap/>
            <w:vAlign w:val="bottom"/>
            <w:hideMark/>
          </w:tcPr>
          <w:p w14:paraId="0A77F020"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111" w:type="dxa"/>
            <w:tcBorders>
              <w:top w:val="nil"/>
              <w:left w:val="nil"/>
              <w:bottom w:val="single" w:sz="8" w:space="0" w:color="auto"/>
              <w:right w:val="single" w:sz="8" w:space="0" w:color="auto"/>
            </w:tcBorders>
            <w:noWrap/>
            <w:vAlign w:val="bottom"/>
            <w:hideMark/>
          </w:tcPr>
          <w:p w14:paraId="3643AA28"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1820431C" w14:textId="77777777" w:rsidTr="00EA0FD7">
        <w:trPr>
          <w:trHeight w:val="240"/>
        </w:trPr>
        <w:tc>
          <w:tcPr>
            <w:tcW w:w="1369" w:type="dxa"/>
            <w:tcBorders>
              <w:top w:val="nil"/>
              <w:left w:val="single" w:sz="8" w:space="0" w:color="auto"/>
              <w:bottom w:val="single" w:sz="8" w:space="0" w:color="auto"/>
              <w:right w:val="single" w:sz="8" w:space="0" w:color="auto"/>
            </w:tcBorders>
            <w:noWrap/>
            <w:vAlign w:val="bottom"/>
            <w:hideMark/>
          </w:tcPr>
          <w:p w14:paraId="217DED8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926" w:type="dxa"/>
            <w:tcBorders>
              <w:top w:val="nil"/>
              <w:left w:val="nil"/>
              <w:bottom w:val="single" w:sz="8" w:space="0" w:color="auto"/>
              <w:right w:val="nil"/>
            </w:tcBorders>
            <w:noWrap/>
            <w:vAlign w:val="bottom"/>
            <w:hideMark/>
          </w:tcPr>
          <w:p w14:paraId="770D49B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544" w:type="dxa"/>
            <w:tcBorders>
              <w:top w:val="nil"/>
              <w:left w:val="single" w:sz="8" w:space="0" w:color="auto"/>
              <w:bottom w:val="single" w:sz="8" w:space="0" w:color="auto"/>
              <w:right w:val="single" w:sz="8" w:space="0" w:color="auto"/>
            </w:tcBorders>
            <w:noWrap/>
            <w:vAlign w:val="bottom"/>
            <w:hideMark/>
          </w:tcPr>
          <w:p w14:paraId="53D2329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73</w:t>
            </w:r>
          </w:p>
        </w:tc>
        <w:tc>
          <w:tcPr>
            <w:tcW w:w="1537" w:type="dxa"/>
            <w:tcBorders>
              <w:top w:val="nil"/>
              <w:left w:val="nil"/>
              <w:bottom w:val="single" w:sz="8" w:space="0" w:color="auto"/>
              <w:right w:val="nil"/>
            </w:tcBorders>
            <w:noWrap/>
            <w:vAlign w:val="bottom"/>
            <w:hideMark/>
          </w:tcPr>
          <w:p w14:paraId="41EAE85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67</w:t>
            </w:r>
          </w:p>
        </w:tc>
        <w:tc>
          <w:tcPr>
            <w:tcW w:w="1537" w:type="dxa"/>
            <w:tcBorders>
              <w:top w:val="nil"/>
              <w:left w:val="single" w:sz="8" w:space="0" w:color="auto"/>
              <w:bottom w:val="single" w:sz="8" w:space="0" w:color="auto"/>
              <w:right w:val="nil"/>
            </w:tcBorders>
            <w:noWrap/>
            <w:vAlign w:val="bottom"/>
            <w:hideMark/>
          </w:tcPr>
          <w:p w14:paraId="6BDF977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75</w:t>
            </w:r>
          </w:p>
        </w:tc>
        <w:tc>
          <w:tcPr>
            <w:tcW w:w="1111" w:type="dxa"/>
            <w:tcBorders>
              <w:top w:val="nil"/>
              <w:left w:val="single" w:sz="8" w:space="0" w:color="auto"/>
              <w:bottom w:val="single" w:sz="8" w:space="0" w:color="auto"/>
              <w:right w:val="nil"/>
            </w:tcBorders>
            <w:noWrap/>
            <w:vAlign w:val="bottom"/>
            <w:hideMark/>
          </w:tcPr>
          <w:p w14:paraId="7BC2658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73</w:t>
            </w:r>
          </w:p>
        </w:tc>
        <w:tc>
          <w:tcPr>
            <w:tcW w:w="1111" w:type="dxa"/>
            <w:tcBorders>
              <w:top w:val="nil"/>
              <w:left w:val="single" w:sz="8" w:space="0" w:color="auto"/>
              <w:bottom w:val="single" w:sz="8" w:space="0" w:color="auto"/>
              <w:right w:val="nil"/>
            </w:tcBorders>
            <w:noWrap/>
            <w:vAlign w:val="bottom"/>
            <w:hideMark/>
          </w:tcPr>
          <w:p w14:paraId="6BBCE56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73</w:t>
            </w:r>
          </w:p>
        </w:tc>
        <w:tc>
          <w:tcPr>
            <w:tcW w:w="1111" w:type="dxa"/>
            <w:tcBorders>
              <w:top w:val="nil"/>
              <w:left w:val="single" w:sz="8" w:space="0" w:color="auto"/>
              <w:bottom w:val="single" w:sz="8" w:space="0" w:color="auto"/>
              <w:right w:val="nil"/>
            </w:tcBorders>
            <w:noWrap/>
            <w:vAlign w:val="bottom"/>
            <w:hideMark/>
          </w:tcPr>
          <w:p w14:paraId="48B9444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73</w:t>
            </w:r>
          </w:p>
        </w:tc>
        <w:tc>
          <w:tcPr>
            <w:tcW w:w="1111" w:type="dxa"/>
            <w:tcBorders>
              <w:top w:val="nil"/>
              <w:left w:val="single" w:sz="8" w:space="0" w:color="auto"/>
              <w:bottom w:val="single" w:sz="8" w:space="0" w:color="auto"/>
              <w:right w:val="nil"/>
            </w:tcBorders>
            <w:noWrap/>
            <w:vAlign w:val="bottom"/>
            <w:hideMark/>
          </w:tcPr>
          <w:p w14:paraId="067E64D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75</w:t>
            </w:r>
          </w:p>
        </w:tc>
        <w:tc>
          <w:tcPr>
            <w:tcW w:w="1111" w:type="dxa"/>
            <w:tcBorders>
              <w:top w:val="nil"/>
              <w:left w:val="single" w:sz="8" w:space="0" w:color="auto"/>
              <w:bottom w:val="single" w:sz="8" w:space="0" w:color="auto"/>
              <w:right w:val="nil"/>
            </w:tcBorders>
            <w:noWrap/>
            <w:vAlign w:val="bottom"/>
            <w:hideMark/>
          </w:tcPr>
          <w:p w14:paraId="39EF534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75</w:t>
            </w:r>
          </w:p>
        </w:tc>
        <w:tc>
          <w:tcPr>
            <w:tcW w:w="1111" w:type="dxa"/>
            <w:tcBorders>
              <w:top w:val="nil"/>
              <w:left w:val="single" w:sz="8" w:space="0" w:color="auto"/>
              <w:bottom w:val="single" w:sz="8" w:space="0" w:color="auto"/>
              <w:right w:val="nil"/>
            </w:tcBorders>
            <w:noWrap/>
            <w:vAlign w:val="bottom"/>
            <w:hideMark/>
          </w:tcPr>
          <w:p w14:paraId="2D5B06C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75</w:t>
            </w:r>
          </w:p>
        </w:tc>
      </w:tr>
      <w:tr w:rsidR="00EA0FD7" w:rsidRPr="00EA0FD7" w14:paraId="37C2CCD9" w14:textId="77777777" w:rsidTr="00EA0FD7">
        <w:trPr>
          <w:trHeight w:val="240"/>
        </w:trPr>
        <w:tc>
          <w:tcPr>
            <w:tcW w:w="1369" w:type="dxa"/>
            <w:noWrap/>
            <w:vAlign w:val="bottom"/>
          </w:tcPr>
          <w:p w14:paraId="28BB46D7"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2926" w:type="dxa"/>
            <w:noWrap/>
            <w:vAlign w:val="bottom"/>
          </w:tcPr>
          <w:p w14:paraId="33996C64"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544" w:type="dxa"/>
            <w:noWrap/>
            <w:vAlign w:val="bottom"/>
          </w:tcPr>
          <w:p w14:paraId="1FDFFA58"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537" w:type="dxa"/>
            <w:noWrap/>
            <w:vAlign w:val="bottom"/>
          </w:tcPr>
          <w:p w14:paraId="6E93B66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p>
        </w:tc>
        <w:tc>
          <w:tcPr>
            <w:tcW w:w="1537" w:type="dxa"/>
            <w:noWrap/>
            <w:vAlign w:val="bottom"/>
          </w:tcPr>
          <w:p w14:paraId="33CA0668"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111" w:type="dxa"/>
            <w:noWrap/>
            <w:vAlign w:val="bottom"/>
          </w:tcPr>
          <w:p w14:paraId="68648E08"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111" w:type="dxa"/>
            <w:noWrap/>
            <w:vAlign w:val="bottom"/>
          </w:tcPr>
          <w:p w14:paraId="74A9C955"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111" w:type="dxa"/>
            <w:noWrap/>
            <w:vAlign w:val="bottom"/>
          </w:tcPr>
          <w:p w14:paraId="309DA875"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111" w:type="dxa"/>
            <w:noWrap/>
            <w:vAlign w:val="bottom"/>
          </w:tcPr>
          <w:p w14:paraId="2B545D9B"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111" w:type="dxa"/>
            <w:noWrap/>
            <w:vAlign w:val="bottom"/>
          </w:tcPr>
          <w:p w14:paraId="5E97D9A0"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111" w:type="dxa"/>
            <w:noWrap/>
            <w:vAlign w:val="bottom"/>
          </w:tcPr>
          <w:p w14:paraId="0284B28F" w14:textId="77777777" w:rsidR="00EA0FD7" w:rsidRPr="00EA0FD7" w:rsidRDefault="00EA0FD7" w:rsidP="00EA0FD7">
            <w:pPr>
              <w:spacing w:after="0" w:line="240" w:lineRule="auto"/>
              <w:rPr>
                <w:rFonts w:ascii="Arial" w:eastAsia="Times New Roman" w:hAnsi="Arial" w:cs="Arial"/>
                <w:b/>
                <w:bCs/>
                <w:sz w:val="18"/>
                <w:szCs w:val="18"/>
                <w:lang w:val="sr-Cyrl-RS"/>
              </w:rPr>
            </w:pPr>
          </w:p>
        </w:tc>
      </w:tr>
      <w:tr w:rsidR="00EA0FD7" w:rsidRPr="00EA0FD7" w14:paraId="0EFC8FF5" w14:textId="77777777" w:rsidTr="00EA0FD7">
        <w:trPr>
          <w:trHeight w:val="240"/>
        </w:trPr>
        <w:tc>
          <w:tcPr>
            <w:tcW w:w="1369" w:type="dxa"/>
            <w:noWrap/>
            <w:vAlign w:val="bottom"/>
          </w:tcPr>
          <w:p w14:paraId="473983D1"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2926" w:type="dxa"/>
            <w:noWrap/>
            <w:vAlign w:val="bottom"/>
          </w:tcPr>
          <w:p w14:paraId="0482B163"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544" w:type="dxa"/>
            <w:noWrap/>
            <w:vAlign w:val="bottom"/>
          </w:tcPr>
          <w:p w14:paraId="24DBC8E1"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537" w:type="dxa"/>
            <w:noWrap/>
            <w:vAlign w:val="bottom"/>
          </w:tcPr>
          <w:p w14:paraId="1EB6362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p>
        </w:tc>
        <w:tc>
          <w:tcPr>
            <w:tcW w:w="1537" w:type="dxa"/>
            <w:noWrap/>
            <w:vAlign w:val="bottom"/>
          </w:tcPr>
          <w:p w14:paraId="4F477A63"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111" w:type="dxa"/>
            <w:noWrap/>
            <w:vAlign w:val="bottom"/>
          </w:tcPr>
          <w:p w14:paraId="042EFF1C"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111" w:type="dxa"/>
            <w:noWrap/>
            <w:vAlign w:val="bottom"/>
          </w:tcPr>
          <w:p w14:paraId="19FD922B"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111" w:type="dxa"/>
            <w:noWrap/>
            <w:vAlign w:val="bottom"/>
          </w:tcPr>
          <w:p w14:paraId="2FDD298E"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111" w:type="dxa"/>
            <w:noWrap/>
            <w:vAlign w:val="bottom"/>
          </w:tcPr>
          <w:p w14:paraId="528FED53"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111" w:type="dxa"/>
            <w:noWrap/>
            <w:vAlign w:val="bottom"/>
          </w:tcPr>
          <w:p w14:paraId="76906097"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111" w:type="dxa"/>
            <w:noWrap/>
            <w:vAlign w:val="bottom"/>
          </w:tcPr>
          <w:p w14:paraId="1BD68016" w14:textId="77777777" w:rsidR="00EA0FD7" w:rsidRPr="00EA0FD7" w:rsidRDefault="00EA0FD7" w:rsidP="00EA0FD7">
            <w:pPr>
              <w:spacing w:after="0" w:line="240" w:lineRule="auto"/>
              <w:rPr>
                <w:rFonts w:ascii="Arial" w:eastAsia="Times New Roman" w:hAnsi="Arial" w:cs="Arial"/>
                <w:b/>
                <w:bCs/>
                <w:sz w:val="18"/>
                <w:szCs w:val="18"/>
                <w:lang w:val="sr-Cyrl-RS"/>
              </w:rPr>
            </w:pPr>
          </w:p>
        </w:tc>
      </w:tr>
      <w:tr w:rsidR="00EA0FD7" w:rsidRPr="00EA0FD7" w14:paraId="59DF489C" w14:textId="77777777" w:rsidTr="00EA0FD7">
        <w:trPr>
          <w:trHeight w:val="330"/>
        </w:trPr>
        <w:tc>
          <w:tcPr>
            <w:tcW w:w="5839" w:type="dxa"/>
            <w:gridSpan w:val="3"/>
            <w:tcBorders>
              <w:top w:val="nil"/>
              <w:left w:val="nil"/>
              <w:bottom w:val="single" w:sz="8" w:space="0" w:color="auto"/>
              <w:right w:val="nil"/>
            </w:tcBorders>
            <w:noWrap/>
            <w:vAlign w:val="bottom"/>
            <w:hideMark/>
          </w:tcPr>
          <w:p w14:paraId="0A2B53D1" w14:textId="49096B4A"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11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КАНЦЕЛАРИЈА ГРАДОНАЧЕЛНИКА</w:t>
            </w:r>
          </w:p>
        </w:tc>
        <w:tc>
          <w:tcPr>
            <w:tcW w:w="1537" w:type="dxa"/>
            <w:noWrap/>
            <w:vAlign w:val="bottom"/>
          </w:tcPr>
          <w:p w14:paraId="3B3B3A0A"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537" w:type="dxa"/>
            <w:noWrap/>
            <w:vAlign w:val="bottom"/>
          </w:tcPr>
          <w:p w14:paraId="6A2E658D"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111" w:type="dxa"/>
            <w:noWrap/>
            <w:vAlign w:val="bottom"/>
          </w:tcPr>
          <w:p w14:paraId="10FABCD9"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111" w:type="dxa"/>
            <w:noWrap/>
            <w:vAlign w:val="bottom"/>
          </w:tcPr>
          <w:p w14:paraId="7E2B9683"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111" w:type="dxa"/>
            <w:noWrap/>
            <w:vAlign w:val="bottom"/>
          </w:tcPr>
          <w:p w14:paraId="693A1CF1"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111" w:type="dxa"/>
            <w:noWrap/>
            <w:vAlign w:val="bottom"/>
          </w:tcPr>
          <w:p w14:paraId="75754568"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111" w:type="dxa"/>
            <w:noWrap/>
            <w:vAlign w:val="bottom"/>
          </w:tcPr>
          <w:p w14:paraId="2EF48A4A"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111" w:type="dxa"/>
            <w:noWrap/>
            <w:vAlign w:val="bottom"/>
          </w:tcPr>
          <w:p w14:paraId="7669F4BF"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1A0B0410" w14:textId="77777777" w:rsidTr="00EA0FD7">
        <w:trPr>
          <w:trHeight w:val="300"/>
        </w:trPr>
        <w:tc>
          <w:tcPr>
            <w:tcW w:w="1369" w:type="dxa"/>
            <w:vMerge w:val="restart"/>
            <w:tcBorders>
              <w:top w:val="nil"/>
              <w:left w:val="single" w:sz="8" w:space="0" w:color="auto"/>
              <w:bottom w:val="single" w:sz="8" w:space="0" w:color="000000"/>
              <w:right w:val="single" w:sz="8" w:space="0" w:color="auto"/>
            </w:tcBorders>
            <w:shd w:val="clear" w:color="auto" w:fill="808080"/>
            <w:vAlign w:val="center"/>
            <w:hideMark/>
          </w:tcPr>
          <w:p w14:paraId="65F1610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926" w:type="dxa"/>
            <w:vMerge w:val="restart"/>
            <w:tcBorders>
              <w:top w:val="nil"/>
              <w:left w:val="single" w:sz="8" w:space="0" w:color="auto"/>
              <w:bottom w:val="single" w:sz="8" w:space="0" w:color="000000"/>
              <w:right w:val="single" w:sz="8" w:space="0" w:color="auto"/>
            </w:tcBorders>
            <w:shd w:val="clear" w:color="auto" w:fill="808080"/>
            <w:vAlign w:val="center"/>
            <w:hideMark/>
          </w:tcPr>
          <w:p w14:paraId="78238FD8"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544" w:type="dxa"/>
            <w:vMerge w:val="restart"/>
            <w:tcBorders>
              <w:top w:val="nil"/>
              <w:left w:val="single" w:sz="8" w:space="0" w:color="auto"/>
              <w:bottom w:val="single" w:sz="8" w:space="0" w:color="000000"/>
              <w:right w:val="single" w:sz="8" w:space="0" w:color="auto"/>
            </w:tcBorders>
            <w:shd w:val="clear" w:color="auto" w:fill="808080"/>
            <w:vAlign w:val="center"/>
            <w:hideMark/>
          </w:tcPr>
          <w:p w14:paraId="075256E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537"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7CDD3C2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537"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4E5A7D2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333"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007F8C0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333"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382C642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1FC9B223"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A79B3A"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3FFAC980"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13110DA4"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04513C3"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13E8BF"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111" w:type="dxa"/>
            <w:tcBorders>
              <w:top w:val="nil"/>
              <w:left w:val="nil"/>
              <w:bottom w:val="single" w:sz="8" w:space="0" w:color="auto"/>
              <w:right w:val="single" w:sz="4" w:space="0" w:color="auto"/>
            </w:tcBorders>
            <w:shd w:val="clear" w:color="auto" w:fill="808080"/>
            <w:noWrap/>
            <w:vAlign w:val="center"/>
            <w:hideMark/>
          </w:tcPr>
          <w:p w14:paraId="27D4B71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111" w:type="dxa"/>
            <w:tcBorders>
              <w:top w:val="nil"/>
              <w:left w:val="nil"/>
              <w:bottom w:val="single" w:sz="8" w:space="0" w:color="auto"/>
              <w:right w:val="single" w:sz="4" w:space="0" w:color="auto"/>
            </w:tcBorders>
            <w:shd w:val="clear" w:color="auto" w:fill="808080"/>
            <w:noWrap/>
            <w:vAlign w:val="center"/>
            <w:hideMark/>
          </w:tcPr>
          <w:p w14:paraId="2681913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111" w:type="dxa"/>
            <w:tcBorders>
              <w:top w:val="nil"/>
              <w:left w:val="nil"/>
              <w:bottom w:val="single" w:sz="8" w:space="0" w:color="auto"/>
              <w:right w:val="single" w:sz="8" w:space="0" w:color="auto"/>
            </w:tcBorders>
            <w:shd w:val="clear" w:color="auto" w:fill="808080"/>
            <w:noWrap/>
            <w:vAlign w:val="center"/>
            <w:hideMark/>
          </w:tcPr>
          <w:p w14:paraId="53AC3E2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111" w:type="dxa"/>
            <w:tcBorders>
              <w:top w:val="nil"/>
              <w:left w:val="nil"/>
              <w:bottom w:val="single" w:sz="8" w:space="0" w:color="auto"/>
              <w:right w:val="single" w:sz="4" w:space="0" w:color="auto"/>
            </w:tcBorders>
            <w:shd w:val="clear" w:color="auto" w:fill="808080"/>
            <w:noWrap/>
            <w:vAlign w:val="center"/>
            <w:hideMark/>
          </w:tcPr>
          <w:p w14:paraId="11DA065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111" w:type="dxa"/>
            <w:tcBorders>
              <w:top w:val="nil"/>
              <w:left w:val="nil"/>
              <w:bottom w:val="single" w:sz="8" w:space="0" w:color="auto"/>
              <w:right w:val="single" w:sz="4" w:space="0" w:color="auto"/>
            </w:tcBorders>
            <w:shd w:val="clear" w:color="auto" w:fill="808080"/>
            <w:noWrap/>
            <w:vAlign w:val="center"/>
            <w:hideMark/>
          </w:tcPr>
          <w:p w14:paraId="7432D23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111" w:type="dxa"/>
            <w:tcBorders>
              <w:top w:val="nil"/>
              <w:left w:val="nil"/>
              <w:bottom w:val="single" w:sz="8" w:space="0" w:color="auto"/>
              <w:right w:val="single" w:sz="8" w:space="0" w:color="auto"/>
            </w:tcBorders>
            <w:shd w:val="clear" w:color="auto" w:fill="808080"/>
            <w:noWrap/>
            <w:vAlign w:val="center"/>
            <w:hideMark/>
          </w:tcPr>
          <w:p w14:paraId="5CB8275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4CCF6109" w14:textId="77777777" w:rsidTr="00EA0FD7">
        <w:trPr>
          <w:trHeight w:val="240"/>
        </w:trPr>
        <w:tc>
          <w:tcPr>
            <w:tcW w:w="1369" w:type="dxa"/>
            <w:tcBorders>
              <w:top w:val="nil"/>
              <w:left w:val="single" w:sz="8" w:space="0" w:color="auto"/>
              <w:bottom w:val="single" w:sz="4" w:space="0" w:color="auto"/>
              <w:right w:val="single" w:sz="4" w:space="0" w:color="auto"/>
            </w:tcBorders>
            <w:noWrap/>
            <w:vAlign w:val="bottom"/>
            <w:hideMark/>
          </w:tcPr>
          <w:p w14:paraId="17C39C6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926" w:type="dxa"/>
            <w:tcBorders>
              <w:top w:val="nil"/>
              <w:left w:val="nil"/>
              <w:bottom w:val="single" w:sz="4" w:space="0" w:color="auto"/>
              <w:right w:val="single" w:sz="4" w:space="0" w:color="auto"/>
            </w:tcBorders>
            <w:noWrap/>
            <w:vAlign w:val="bottom"/>
            <w:hideMark/>
          </w:tcPr>
          <w:p w14:paraId="4654751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544" w:type="dxa"/>
            <w:tcBorders>
              <w:top w:val="nil"/>
              <w:left w:val="nil"/>
              <w:bottom w:val="single" w:sz="4" w:space="0" w:color="auto"/>
              <w:right w:val="single" w:sz="4" w:space="0" w:color="auto"/>
            </w:tcBorders>
            <w:noWrap/>
            <w:vAlign w:val="bottom"/>
            <w:hideMark/>
          </w:tcPr>
          <w:p w14:paraId="311C9A0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537" w:type="dxa"/>
            <w:tcBorders>
              <w:top w:val="nil"/>
              <w:left w:val="nil"/>
              <w:bottom w:val="single" w:sz="4" w:space="0" w:color="auto"/>
              <w:right w:val="single" w:sz="4" w:space="0" w:color="auto"/>
            </w:tcBorders>
            <w:noWrap/>
            <w:vAlign w:val="bottom"/>
            <w:hideMark/>
          </w:tcPr>
          <w:p w14:paraId="314D812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537" w:type="dxa"/>
            <w:tcBorders>
              <w:top w:val="nil"/>
              <w:left w:val="nil"/>
              <w:bottom w:val="single" w:sz="4" w:space="0" w:color="auto"/>
              <w:right w:val="single" w:sz="4" w:space="0" w:color="auto"/>
            </w:tcBorders>
            <w:noWrap/>
            <w:vAlign w:val="bottom"/>
            <w:hideMark/>
          </w:tcPr>
          <w:p w14:paraId="05610FD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4" w:space="0" w:color="auto"/>
              <w:right w:val="single" w:sz="4" w:space="0" w:color="auto"/>
            </w:tcBorders>
            <w:noWrap/>
            <w:vAlign w:val="bottom"/>
            <w:hideMark/>
          </w:tcPr>
          <w:p w14:paraId="77A8531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4" w:space="0" w:color="auto"/>
              <w:right w:val="single" w:sz="4" w:space="0" w:color="auto"/>
            </w:tcBorders>
            <w:noWrap/>
            <w:vAlign w:val="bottom"/>
            <w:hideMark/>
          </w:tcPr>
          <w:p w14:paraId="0F88597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4" w:space="0" w:color="auto"/>
              <w:right w:val="single" w:sz="4" w:space="0" w:color="auto"/>
            </w:tcBorders>
            <w:noWrap/>
            <w:vAlign w:val="bottom"/>
            <w:hideMark/>
          </w:tcPr>
          <w:p w14:paraId="7CDE233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4" w:space="0" w:color="auto"/>
              <w:right w:val="single" w:sz="4" w:space="0" w:color="auto"/>
            </w:tcBorders>
            <w:noWrap/>
            <w:vAlign w:val="bottom"/>
            <w:hideMark/>
          </w:tcPr>
          <w:p w14:paraId="70F908A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4" w:space="0" w:color="auto"/>
              <w:right w:val="single" w:sz="4" w:space="0" w:color="auto"/>
            </w:tcBorders>
            <w:noWrap/>
            <w:vAlign w:val="bottom"/>
            <w:hideMark/>
          </w:tcPr>
          <w:p w14:paraId="1CCD162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4" w:space="0" w:color="auto"/>
              <w:right w:val="single" w:sz="8" w:space="0" w:color="auto"/>
            </w:tcBorders>
            <w:noWrap/>
            <w:vAlign w:val="bottom"/>
            <w:hideMark/>
          </w:tcPr>
          <w:p w14:paraId="02D8A8C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5E2822C1" w14:textId="77777777" w:rsidTr="00EA0FD7">
        <w:trPr>
          <w:trHeight w:val="480"/>
        </w:trPr>
        <w:tc>
          <w:tcPr>
            <w:tcW w:w="1369" w:type="dxa"/>
            <w:tcBorders>
              <w:top w:val="nil"/>
              <w:left w:val="single" w:sz="8" w:space="0" w:color="auto"/>
              <w:bottom w:val="single" w:sz="4" w:space="0" w:color="auto"/>
              <w:right w:val="single" w:sz="4" w:space="0" w:color="auto"/>
            </w:tcBorders>
            <w:vAlign w:val="bottom"/>
            <w:hideMark/>
          </w:tcPr>
          <w:p w14:paraId="4ACA7D7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926" w:type="dxa"/>
            <w:tcBorders>
              <w:top w:val="nil"/>
              <w:left w:val="nil"/>
              <w:bottom w:val="single" w:sz="4" w:space="0" w:color="auto"/>
              <w:right w:val="single" w:sz="4" w:space="0" w:color="auto"/>
            </w:tcBorders>
            <w:vAlign w:val="bottom"/>
            <w:hideMark/>
          </w:tcPr>
          <w:p w14:paraId="553B73D3"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544" w:type="dxa"/>
            <w:tcBorders>
              <w:top w:val="nil"/>
              <w:left w:val="nil"/>
              <w:bottom w:val="single" w:sz="4" w:space="0" w:color="auto"/>
              <w:right w:val="single" w:sz="4" w:space="0" w:color="auto"/>
            </w:tcBorders>
            <w:noWrap/>
            <w:vAlign w:val="bottom"/>
            <w:hideMark/>
          </w:tcPr>
          <w:p w14:paraId="64D757B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5,101,802.67</w:t>
            </w:r>
          </w:p>
        </w:tc>
        <w:tc>
          <w:tcPr>
            <w:tcW w:w="1537" w:type="dxa"/>
            <w:tcBorders>
              <w:top w:val="nil"/>
              <w:left w:val="nil"/>
              <w:bottom w:val="single" w:sz="4" w:space="0" w:color="auto"/>
              <w:right w:val="single" w:sz="4" w:space="0" w:color="auto"/>
            </w:tcBorders>
            <w:noWrap/>
            <w:vAlign w:val="bottom"/>
            <w:hideMark/>
          </w:tcPr>
          <w:p w14:paraId="344C0CA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4,947,078.11</w:t>
            </w:r>
          </w:p>
        </w:tc>
        <w:tc>
          <w:tcPr>
            <w:tcW w:w="1537" w:type="dxa"/>
            <w:tcBorders>
              <w:top w:val="nil"/>
              <w:left w:val="nil"/>
              <w:bottom w:val="single" w:sz="4" w:space="0" w:color="auto"/>
              <w:right w:val="single" w:sz="4" w:space="0" w:color="auto"/>
            </w:tcBorders>
            <w:noWrap/>
            <w:vAlign w:val="bottom"/>
            <w:hideMark/>
          </w:tcPr>
          <w:p w14:paraId="648F077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5,369,311.17</w:t>
            </w:r>
          </w:p>
        </w:tc>
        <w:tc>
          <w:tcPr>
            <w:tcW w:w="1111" w:type="dxa"/>
            <w:tcBorders>
              <w:top w:val="nil"/>
              <w:left w:val="nil"/>
              <w:bottom w:val="single" w:sz="4" w:space="0" w:color="auto"/>
              <w:right w:val="single" w:sz="4" w:space="0" w:color="auto"/>
            </w:tcBorders>
            <w:noWrap/>
            <w:vAlign w:val="bottom"/>
            <w:hideMark/>
          </w:tcPr>
          <w:p w14:paraId="5E1F1A8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5,365,757</w:t>
            </w:r>
          </w:p>
        </w:tc>
        <w:tc>
          <w:tcPr>
            <w:tcW w:w="1111" w:type="dxa"/>
            <w:tcBorders>
              <w:top w:val="nil"/>
              <w:left w:val="nil"/>
              <w:bottom w:val="single" w:sz="4" w:space="0" w:color="auto"/>
              <w:right w:val="single" w:sz="4" w:space="0" w:color="auto"/>
            </w:tcBorders>
            <w:noWrap/>
            <w:vAlign w:val="bottom"/>
            <w:hideMark/>
          </w:tcPr>
          <w:p w14:paraId="6A4A92C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5,380,885</w:t>
            </w:r>
          </w:p>
        </w:tc>
        <w:tc>
          <w:tcPr>
            <w:tcW w:w="1111" w:type="dxa"/>
            <w:tcBorders>
              <w:top w:val="nil"/>
              <w:left w:val="nil"/>
              <w:bottom w:val="single" w:sz="4" w:space="0" w:color="auto"/>
              <w:right w:val="single" w:sz="4" w:space="0" w:color="auto"/>
            </w:tcBorders>
            <w:noWrap/>
            <w:vAlign w:val="bottom"/>
            <w:hideMark/>
          </w:tcPr>
          <w:p w14:paraId="49ECAF6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5,395,110</w:t>
            </w:r>
          </w:p>
        </w:tc>
        <w:tc>
          <w:tcPr>
            <w:tcW w:w="1111" w:type="dxa"/>
            <w:tcBorders>
              <w:top w:val="nil"/>
              <w:left w:val="nil"/>
              <w:bottom w:val="single" w:sz="4" w:space="0" w:color="auto"/>
              <w:right w:val="single" w:sz="4" w:space="0" w:color="auto"/>
            </w:tcBorders>
            <w:noWrap/>
            <w:vAlign w:val="bottom"/>
            <w:hideMark/>
          </w:tcPr>
          <w:p w14:paraId="18130D7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5,395,099</w:t>
            </w:r>
          </w:p>
        </w:tc>
        <w:tc>
          <w:tcPr>
            <w:tcW w:w="1111" w:type="dxa"/>
            <w:tcBorders>
              <w:top w:val="nil"/>
              <w:left w:val="nil"/>
              <w:bottom w:val="single" w:sz="4" w:space="0" w:color="auto"/>
              <w:right w:val="single" w:sz="4" w:space="0" w:color="auto"/>
            </w:tcBorders>
            <w:noWrap/>
            <w:vAlign w:val="bottom"/>
            <w:hideMark/>
          </w:tcPr>
          <w:p w14:paraId="2DF772E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5,410,227</w:t>
            </w:r>
          </w:p>
        </w:tc>
        <w:tc>
          <w:tcPr>
            <w:tcW w:w="1111" w:type="dxa"/>
            <w:tcBorders>
              <w:top w:val="nil"/>
              <w:left w:val="nil"/>
              <w:bottom w:val="single" w:sz="4" w:space="0" w:color="auto"/>
              <w:right w:val="single" w:sz="4" w:space="0" w:color="auto"/>
            </w:tcBorders>
            <w:noWrap/>
            <w:vAlign w:val="bottom"/>
            <w:hideMark/>
          </w:tcPr>
          <w:p w14:paraId="08FFF35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5,424,452</w:t>
            </w:r>
          </w:p>
        </w:tc>
      </w:tr>
      <w:tr w:rsidR="00EA0FD7" w:rsidRPr="00EA0FD7" w14:paraId="747A937E" w14:textId="77777777" w:rsidTr="00EA0FD7">
        <w:trPr>
          <w:trHeight w:val="240"/>
        </w:trPr>
        <w:tc>
          <w:tcPr>
            <w:tcW w:w="1369" w:type="dxa"/>
            <w:tcBorders>
              <w:top w:val="nil"/>
              <w:left w:val="single" w:sz="8" w:space="0" w:color="auto"/>
              <w:bottom w:val="single" w:sz="4" w:space="0" w:color="auto"/>
              <w:right w:val="single" w:sz="4" w:space="0" w:color="auto"/>
            </w:tcBorders>
            <w:noWrap/>
            <w:vAlign w:val="bottom"/>
            <w:hideMark/>
          </w:tcPr>
          <w:p w14:paraId="44CA3C8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611200</w:t>
            </w:r>
          </w:p>
        </w:tc>
        <w:tc>
          <w:tcPr>
            <w:tcW w:w="2926" w:type="dxa"/>
            <w:tcBorders>
              <w:top w:val="nil"/>
              <w:left w:val="nil"/>
              <w:bottom w:val="single" w:sz="4" w:space="0" w:color="auto"/>
              <w:right w:val="single" w:sz="4" w:space="0" w:color="auto"/>
            </w:tcBorders>
            <w:vAlign w:val="bottom"/>
            <w:hideMark/>
          </w:tcPr>
          <w:p w14:paraId="1D7FD40B"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544" w:type="dxa"/>
            <w:tcBorders>
              <w:top w:val="nil"/>
              <w:left w:val="nil"/>
              <w:bottom w:val="single" w:sz="4" w:space="0" w:color="auto"/>
              <w:right w:val="single" w:sz="4" w:space="0" w:color="auto"/>
            </w:tcBorders>
            <w:noWrap/>
            <w:vAlign w:val="bottom"/>
            <w:hideMark/>
          </w:tcPr>
          <w:p w14:paraId="4BF65FC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228,869.00</w:t>
            </w:r>
          </w:p>
        </w:tc>
        <w:tc>
          <w:tcPr>
            <w:tcW w:w="1537" w:type="dxa"/>
            <w:tcBorders>
              <w:top w:val="nil"/>
              <w:left w:val="nil"/>
              <w:bottom w:val="single" w:sz="4" w:space="0" w:color="auto"/>
              <w:right w:val="single" w:sz="4" w:space="0" w:color="auto"/>
            </w:tcBorders>
            <w:noWrap/>
            <w:vAlign w:val="bottom"/>
            <w:hideMark/>
          </w:tcPr>
          <w:p w14:paraId="45C5D89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183,384.23</w:t>
            </w:r>
          </w:p>
        </w:tc>
        <w:tc>
          <w:tcPr>
            <w:tcW w:w="1537" w:type="dxa"/>
            <w:tcBorders>
              <w:top w:val="nil"/>
              <w:left w:val="nil"/>
              <w:bottom w:val="single" w:sz="4" w:space="0" w:color="auto"/>
              <w:right w:val="single" w:sz="4" w:space="0" w:color="auto"/>
            </w:tcBorders>
            <w:noWrap/>
            <w:vAlign w:val="bottom"/>
            <w:hideMark/>
          </w:tcPr>
          <w:p w14:paraId="5214187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379,840.00</w:t>
            </w:r>
          </w:p>
        </w:tc>
        <w:tc>
          <w:tcPr>
            <w:tcW w:w="1111" w:type="dxa"/>
            <w:tcBorders>
              <w:top w:val="nil"/>
              <w:left w:val="nil"/>
              <w:bottom w:val="single" w:sz="4" w:space="0" w:color="auto"/>
              <w:right w:val="single" w:sz="4" w:space="0" w:color="auto"/>
            </w:tcBorders>
            <w:noWrap/>
            <w:vAlign w:val="bottom"/>
            <w:hideMark/>
          </w:tcPr>
          <w:p w14:paraId="67FC4D3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432,486</w:t>
            </w:r>
          </w:p>
        </w:tc>
        <w:tc>
          <w:tcPr>
            <w:tcW w:w="1111" w:type="dxa"/>
            <w:tcBorders>
              <w:top w:val="nil"/>
              <w:left w:val="nil"/>
              <w:bottom w:val="single" w:sz="4" w:space="0" w:color="auto"/>
              <w:right w:val="single" w:sz="4" w:space="0" w:color="auto"/>
            </w:tcBorders>
            <w:noWrap/>
            <w:vAlign w:val="bottom"/>
            <w:hideMark/>
          </w:tcPr>
          <w:p w14:paraId="552C61E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392,486</w:t>
            </w:r>
          </w:p>
        </w:tc>
        <w:tc>
          <w:tcPr>
            <w:tcW w:w="1111" w:type="dxa"/>
            <w:tcBorders>
              <w:top w:val="nil"/>
              <w:left w:val="nil"/>
              <w:bottom w:val="single" w:sz="4" w:space="0" w:color="auto"/>
              <w:right w:val="single" w:sz="4" w:space="0" w:color="auto"/>
            </w:tcBorders>
            <w:noWrap/>
            <w:vAlign w:val="bottom"/>
            <w:hideMark/>
          </w:tcPr>
          <w:p w14:paraId="22B5742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382,486</w:t>
            </w:r>
          </w:p>
        </w:tc>
        <w:tc>
          <w:tcPr>
            <w:tcW w:w="1111" w:type="dxa"/>
            <w:tcBorders>
              <w:top w:val="nil"/>
              <w:left w:val="nil"/>
              <w:bottom w:val="single" w:sz="4" w:space="0" w:color="auto"/>
              <w:right w:val="single" w:sz="4" w:space="0" w:color="auto"/>
            </w:tcBorders>
            <w:noWrap/>
            <w:vAlign w:val="bottom"/>
            <w:hideMark/>
          </w:tcPr>
          <w:p w14:paraId="2634BDD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433,586</w:t>
            </w:r>
          </w:p>
        </w:tc>
        <w:tc>
          <w:tcPr>
            <w:tcW w:w="1111" w:type="dxa"/>
            <w:tcBorders>
              <w:top w:val="nil"/>
              <w:left w:val="nil"/>
              <w:bottom w:val="single" w:sz="4" w:space="0" w:color="auto"/>
              <w:right w:val="single" w:sz="4" w:space="0" w:color="auto"/>
            </w:tcBorders>
            <w:noWrap/>
            <w:vAlign w:val="bottom"/>
            <w:hideMark/>
          </w:tcPr>
          <w:p w14:paraId="50641FF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393,586</w:t>
            </w:r>
          </w:p>
        </w:tc>
        <w:tc>
          <w:tcPr>
            <w:tcW w:w="1111" w:type="dxa"/>
            <w:tcBorders>
              <w:top w:val="nil"/>
              <w:left w:val="nil"/>
              <w:bottom w:val="single" w:sz="4" w:space="0" w:color="auto"/>
              <w:right w:val="single" w:sz="4" w:space="0" w:color="auto"/>
            </w:tcBorders>
            <w:noWrap/>
            <w:vAlign w:val="bottom"/>
            <w:hideMark/>
          </w:tcPr>
          <w:p w14:paraId="2C2A794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383,586</w:t>
            </w:r>
          </w:p>
        </w:tc>
      </w:tr>
      <w:tr w:rsidR="00EA0FD7" w:rsidRPr="00EA0FD7" w14:paraId="463DFFF5" w14:textId="77777777" w:rsidTr="00EA0FD7">
        <w:trPr>
          <w:trHeight w:val="480"/>
        </w:trPr>
        <w:tc>
          <w:tcPr>
            <w:tcW w:w="1369" w:type="dxa"/>
            <w:tcBorders>
              <w:top w:val="nil"/>
              <w:left w:val="single" w:sz="8" w:space="0" w:color="auto"/>
              <w:bottom w:val="single" w:sz="4" w:space="0" w:color="auto"/>
              <w:right w:val="single" w:sz="4" w:space="0" w:color="auto"/>
            </w:tcBorders>
            <w:noWrap/>
            <w:vAlign w:val="bottom"/>
            <w:hideMark/>
          </w:tcPr>
          <w:p w14:paraId="1D7943A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926" w:type="dxa"/>
            <w:tcBorders>
              <w:top w:val="nil"/>
              <w:left w:val="nil"/>
              <w:bottom w:val="single" w:sz="4" w:space="0" w:color="auto"/>
              <w:right w:val="single" w:sz="4" w:space="0" w:color="auto"/>
            </w:tcBorders>
            <w:vAlign w:val="bottom"/>
            <w:hideMark/>
          </w:tcPr>
          <w:p w14:paraId="502559AC"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544" w:type="dxa"/>
            <w:tcBorders>
              <w:top w:val="nil"/>
              <w:left w:val="nil"/>
              <w:bottom w:val="single" w:sz="4" w:space="0" w:color="auto"/>
              <w:right w:val="single" w:sz="4" w:space="0" w:color="auto"/>
            </w:tcBorders>
            <w:noWrap/>
            <w:vAlign w:val="bottom"/>
            <w:hideMark/>
          </w:tcPr>
          <w:p w14:paraId="43EE0CE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1,476,609.00</w:t>
            </w:r>
          </w:p>
        </w:tc>
        <w:tc>
          <w:tcPr>
            <w:tcW w:w="1537" w:type="dxa"/>
            <w:tcBorders>
              <w:top w:val="nil"/>
              <w:left w:val="nil"/>
              <w:bottom w:val="single" w:sz="4" w:space="0" w:color="auto"/>
              <w:right w:val="single" w:sz="4" w:space="0" w:color="auto"/>
            </w:tcBorders>
            <w:noWrap/>
            <w:vAlign w:val="bottom"/>
            <w:hideMark/>
          </w:tcPr>
          <w:p w14:paraId="1E72BA1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1,193,783.02</w:t>
            </w:r>
          </w:p>
        </w:tc>
        <w:tc>
          <w:tcPr>
            <w:tcW w:w="1537" w:type="dxa"/>
            <w:tcBorders>
              <w:top w:val="nil"/>
              <w:left w:val="nil"/>
              <w:bottom w:val="single" w:sz="4" w:space="0" w:color="auto"/>
              <w:right w:val="single" w:sz="4" w:space="0" w:color="auto"/>
            </w:tcBorders>
            <w:noWrap/>
            <w:vAlign w:val="bottom"/>
            <w:hideMark/>
          </w:tcPr>
          <w:p w14:paraId="3259BD9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1,511,075.00</w:t>
            </w:r>
          </w:p>
        </w:tc>
        <w:tc>
          <w:tcPr>
            <w:tcW w:w="1111" w:type="dxa"/>
            <w:tcBorders>
              <w:top w:val="nil"/>
              <w:left w:val="nil"/>
              <w:bottom w:val="single" w:sz="4" w:space="0" w:color="auto"/>
              <w:right w:val="single" w:sz="4" w:space="0" w:color="auto"/>
            </w:tcBorders>
            <w:noWrap/>
            <w:vAlign w:val="bottom"/>
            <w:hideMark/>
          </w:tcPr>
          <w:p w14:paraId="37CB8E1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1,193,783</w:t>
            </w:r>
          </w:p>
        </w:tc>
        <w:tc>
          <w:tcPr>
            <w:tcW w:w="1111" w:type="dxa"/>
            <w:tcBorders>
              <w:top w:val="nil"/>
              <w:left w:val="nil"/>
              <w:bottom w:val="single" w:sz="4" w:space="0" w:color="auto"/>
              <w:right w:val="single" w:sz="4" w:space="0" w:color="auto"/>
            </w:tcBorders>
            <w:noWrap/>
            <w:vAlign w:val="bottom"/>
            <w:hideMark/>
          </w:tcPr>
          <w:p w14:paraId="1716FDB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1,193,783</w:t>
            </w:r>
          </w:p>
        </w:tc>
        <w:tc>
          <w:tcPr>
            <w:tcW w:w="1111" w:type="dxa"/>
            <w:tcBorders>
              <w:top w:val="nil"/>
              <w:left w:val="nil"/>
              <w:bottom w:val="single" w:sz="4" w:space="0" w:color="auto"/>
              <w:right w:val="single" w:sz="4" w:space="0" w:color="auto"/>
            </w:tcBorders>
            <w:noWrap/>
            <w:vAlign w:val="bottom"/>
            <w:hideMark/>
          </w:tcPr>
          <w:p w14:paraId="680F5A5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1,193,783</w:t>
            </w:r>
          </w:p>
        </w:tc>
        <w:tc>
          <w:tcPr>
            <w:tcW w:w="1111" w:type="dxa"/>
            <w:tcBorders>
              <w:top w:val="nil"/>
              <w:left w:val="nil"/>
              <w:bottom w:val="single" w:sz="4" w:space="0" w:color="auto"/>
              <w:right w:val="single" w:sz="4" w:space="0" w:color="auto"/>
            </w:tcBorders>
            <w:noWrap/>
            <w:vAlign w:val="bottom"/>
            <w:hideMark/>
          </w:tcPr>
          <w:p w14:paraId="300ADE0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1,193,783</w:t>
            </w:r>
          </w:p>
        </w:tc>
        <w:tc>
          <w:tcPr>
            <w:tcW w:w="1111" w:type="dxa"/>
            <w:tcBorders>
              <w:top w:val="nil"/>
              <w:left w:val="nil"/>
              <w:bottom w:val="single" w:sz="4" w:space="0" w:color="auto"/>
              <w:right w:val="single" w:sz="4" w:space="0" w:color="auto"/>
            </w:tcBorders>
            <w:noWrap/>
            <w:vAlign w:val="bottom"/>
            <w:hideMark/>
          </w:tcPr>
          <w:p w14:paraId="2BF3B0F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1,193,783</w:t>
            </w:r>
          </w:p>
        </w:tc>
        <w:tc>
          <w:tcPr>
            <w:tcW w:w="1111" w:type="dxa"/>
            <w:tcBorders>
              <w:top w:val="nil"/>
              <w:left w:val="nil"/>
              <w:bottom w:val="single" w:sz="4" w:space="0" w:color="auto"/>
              <w:right w:val="single" w:sz="4" w:space="0" w:color="auto"/>
            </w:tcBorders>
            <w:noWrap/>
            <w:vAlign w:val="bottom"/>
            <w:hideMark/>
          </w:tcPr>
          <w:p w14:paraId="3ED9D7F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1,193,783</w:t>
            </w:r>
          </w:p>
        </w:tc>
      </w:tr>
      <w:tr w:rsidR="00EA0FD7" w:rsidRPr="00EA0FD7" w14:paraId="2A639E20" w14:textId="77777777" w:rsidTr="00EA0FD7">
        <w:trPr>
          <w:trHeight w:val="480"/>
        </w:trPr>
        <w:tc>
          <w:tcPr>
            <w:tcW w:w="1369" w:type="dxa"/>
            <w:tcBorders>
              <w:top w:val="nil"/>
              <w:left w:val="single" w:sz="8" w:space="0" w:color="auto"/>
              <w:bottom w:val="single" w:sz="4" w:space="0" w:color="auto"/>
              <w:right w:val="single" w:sz="4" w:space="0" w:color="auto"/>
            </w:tcBorders>
            <w:vAlign w:val="bottom"/>
            <w:hideMark/>
          </w:tcPr>
          <w:p w14:paraId="539137D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614000</w:t>
            </w:r>
          </w:p>
        </w:tc>
        <w:tc>
          <w:tcPr>
            <w:tcW w:w="2926" w:type="dxa"/>
            <w:tcBorders>
              <w:top w:val="nil"/>
              <w:left w:val="nil"/>
              <w:bottom w:val="single" w:sz="4" w:space="0" w:color="auto"/>
              <w:right w:val="single" w:sz="4" w:space="0" w:color="auto"/>
            </w:tcBorders>
            <w:vAlign w:val="bottom"/>
            <w:hideMark/>
          </w:tcPr>
          <w:p w14:paraId="0517104A"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544" w:type="dxa"/>
            <w:tcBorders>
              <w:top w:val="nil"/>
              <w:left w:val="nil"/>
              <w:bottom w:val="single" w:sz="4" w:space="0" w:color="auto"/>
              <w:right w:val="single" w:sz="4" w:space="0" w:color="auto"/>
            </w:tcBorders>
            <w:noWrap/>
            <w:vAlign w:val="bottom"/>
            <w:hideMark/>
          </w:tcPr>
          <w:p w14:paraId="60D8A5A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1,073,194.00</w:t>
            </w:r>
          </w:p>
        </w:tc>
        <w:tc>
          <w:tcPr>
            <w:tcW w:w="1537" w:type="dxa"/>
            <w:tcBorders>
              <w:top w:val="nil"/>
              <w:left w:val="nil"/>
              <w:bottom w:val="single" w:sz="4" w:space="0" w:color="auto"/>
              <w:right w:val="single" w:sz="4" w:space="0" w:color="auto"/>
            </w:tcBorders>
            <w:noWrap/>
            <w:vAlign w:val="bottom"/>
            <w:hideMark/>
          </w:tcPr>
          <w:p w14:paraId="7258999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963,383.71</w:t>
            </w:r>
          </w:p>
        </w:tc>
        <w:tc>
          <w:tcPr>
            <w:tcW w:w="1537" w:type="dxa"/>
            <w:tcBorders>
              <w:top w:val="nil"/>
              <w:left w:val="nil"/>
              <w:bottom w:val="single" w:sz="4" w:space="0" w:color="auto"/>
              <w:right w:val="single" w:sz="4" w:space="0" w:color="auto"/>
            </w:tcBorders>
            <w:noWrap/>
            <w:vAlign w:val="bottom"/>
            <w:hideMark/>
          </w:tcPr>
          <w:p w14:paraId="4C08209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1,398,944.00</w:t>
            </w:r>
          </w:p>
        </w:tc>
        <w:tc>
          <w:tcPr>
            <w:tcW w:w="1111" w:type="dxa"/>
            <w:tcBorders>
              <w:top w:val="nil"/>
              <w:left w:val="nil"/>
              <w:bottom w:val="single" w:sz="4" w:space="0" w:color="auto"/>
              <w:right w:val="single" w:sz="4" w:space="0" w:color="auto"/>
            </w:tcBorders>
            <w:noWrap/>
            <w:vAlign w:val="bottom"/>
            <w:hideMark/>
          </w:tcPr>
          <w:p w14:paraId="6ED76E0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1,050,194</w:t>
            </w:r>
          </w:p>
        </w:tc>
        <w:tc>
          <w:tcPr>
            <w:tcW w:w="1111" w:type="dxa"/>
            <w:tcBorders>
              <w:top w:val="nil"/>
              <w:left w:val="nil"/>
              <w:bottom w:val="single" w:sz="4" w:space="0" w:color="auto"/>
              <w:right w:val="single" w:sz="4" w:space="0" w:color="auto"/>
            </w:tcBorders>
            <w:noWrap/>
            <w:vAlign w:val="bottom"/>
            <w:hideMark/>
          </w:tcPr>
          <w:p w14:paraId="59A4608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1,050,194</w:t>
            </w:r>
          </w:p>
        </w:tc>
        <w:tc>
          <w:tcPr>
            <w:tcW w:w="1111" w:type="dxa"/>
            <w:tcBorders>
              <w:top w:val="nil"/>
              <w:left w:val="nil"/>
              <w:bottom w:val="single" w:sz="4" w:space="0" w:color="auto"/>
              <w:right w:val="single" w:sz="4" w:space="0" w:color="auto"/>
            </w:tcBorders>
            <w:noWrap/>
            <w:vAlign w:val="bottom"/>
            <w:hideMark/>
          </w:tcPr>
          <w:p w14:paraId="1217E33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1,050,194</w:t>
            </w:r>
          </w:p>
        </w:tc>
        <w:tc>
          <w:tcPr>
            <w:tcW w:w="1111" w:type="dxa"/>
            <w:tcBorders>
              <w:top w:val="nil"/>
              <w:left w:val="nil"/>
              <w:bottom w:val="single" w:sz="4" w:space="0" w:color="auto"/>
              <w:right w:val="single" w:sz="4" w:space="0" w:color="auto"/>
            </w:tcBorders>
            <w:noWrap/>
            <w:vAlign w:val="bottom"/>
            <w:hideMark/>
          </w:tcPr>
          <w:p w14:paraId="3973F24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1,430,194</w:t>
            </w:r>
          </w:p>
        </w:tc>
        <w:tc>
          <w:tcPr>
            <w:tcW w:w="1111" w:type="dxa"/>
            <w:tcBorders>
              <w:top w:val="nil"/>
              <w:left w:val="nil"/>
              <w:bottom w:val="single" w:sz="4" w:space="0" w:color="auto"/>
              <w:right w:val="single" w:sz="4" w:space="0" w:color="auto"/>
            </w:tcBorders>
            <w:noWrap/>
            <w:vAlign w:val="bottom"/>
            <w:hideMark/>
          </w:tcPr>
          <w:p w14:paraId="30230E2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1,050,194</w:t>
            </w:r>
          </w:p>
        </w:tc>
        <w:tc>
          <w:tcPr>
            <w:tcW w:w="1111" w:type="dxa"/>
            <w:tcBorders>
              <w:top w:val="nil"/>
              <w:left w:val="nil"/>
              <w:bottom w:val="single" w:sz="4" w:space="0" w:color="auto"/>
              <w:right w:val="single" w:sz="4" w:space="0" w:color="auto"/>
            </w:tcBorders>
            <w:noWrap/>
            <w:vAlign w:val="bottom"/>
            <w:hideMark/>
          </w:tcPr>
          <w:p w14:paraId="4BE1A42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1,050,194</w:t>
            </w:r>
          </w:p>
        </w:tc>
      </w:tr>
      <w:tr w:rsidR="00EA0FD7" w:rsidRPr="00EA0FD7" w14:paraId="393A8504" w14:textId="77777777" w:rsidTr="00EA0FD7">
        <w:trPr>
          <w:trHeight w:val="240"/>
        </w:trPr>
        <w:tc>
          <w:tcPr>
            <w:tcW w:w="1369" w:type="dxa"/>
            <w:tcBorders>
              <w:top w:val="nil"/>
              <w:left w:val="single" w:sz="8" w:space="0" w:color="auto"/>
              <w:bottom w:val="nil"/>
              <w:right w:val="single" w:sz="4" w:space="0" w:color="auto"/>
            </w:tcBorders>
            <w:vAlign w:val="bottom"/>
            <w:hideMark/>
          </w:tcPr>
          <w:p w14:paraId="4AB5F45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615000</w:t>
            </w:r>
          </w:p>
        </w:tc>
        <w:tc>
          <w:tcPr>
            <w:tcW w:w="2926" w:type="dxa"/>
            <w:tcBorders>
              <w:top w:val="nil"/>
              <w:left w:val="nil"/>
              <w:bottom w:val="nil"/>
              <w:right w:val="single" w:sz="4" w:space="0" w:color="auto"/>
            </w:tcBorders>
            <w:vAlign w:val="bottom"/>
            <w:hideMark/>
          </w:tcPr>
          <w:p w14:paraId="416A6DDD"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544" w:type="dxa"/>
            <w:tcBorders>
              <w:top w:val="nil"/>
              <w:left w:val="nil"/>
              <w:bottom w:val="nil"/>
              <w:right w:val="single" w:sz="4" w:space="0" w:color="auto"/>
            </w:tcBorders>
            <w:noWrap/>
            <w:vAlign w:val="bottom"/>
            <w:hideMark/>
          </w:tcPr>
          <w:p w14:paraId="2B05981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537" w:type="dxa"/>
            <w:tcBorders>
              <w:top w:val="nil"/>
              <w:left w:val="nil"/>
              <w:bottom w:val="nil"/>
              <w:right w:val="single" w:sz="4" w:space="0" w:color="auto"/>
            </w:tcBorders>
            <w:noWrap/>
            <w:vAlign w:val="bottom"/>
            <w:hideMark/>
          </w:tcPr>
          <w:p w14:paraId="10A89E4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537" w:type="dxa"/>
            <w:tcBorders>
              <w:top w:val="nil"/>
              <w:left w:val="nil"/>
              <w:bottom w:val="nil"/>
              <w:right w:val="single" w:sz="4" w:space="0" w:color="auto"/>
            </w:tcBorders>
            <w:noWrap/>
            <w:vAlign w:val="bottom"/>
            <w:hideMark/>
          </w:tcPr>
          <w:p w14:paraId="2FCC96D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100,000.00</w:t>
            </w:r>
          </w:p>
        </w:tc>
        <w:tc>
          <w:tcPr>
            <w:tcW w:w="1111" w:type="dxa"/>
            <w:tcBorders>
              <w:top w:val="nil"/>
              <w:left w:val="nil"/>
              <w:bottom w:val="nil"/>
              <w:right w:val="single" w:sz="4" w:space="0" w:color="auto"/>
            </w:tcBorders>
            <w:noWrap/>
            <w:vAlign w:val="bottom"/>
            <w:hideMark/>
          </w:tcPr>
          <w:p w14:paraId="56C3341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111" w:type="dxa"/>
            <w:tcBorders>
              <w:top w:val="nil"/>
              <w:left w:val="nil"/>
              <w:bottom w:val="nil"/>
              <w:right w:val="single" w:sz="4" w:space="0" w:color="auto"/>
            </w:tcBorders>
            <w:noWrap/>
            <w:vAlign w:val="bottom"/>
            <w:hideMark/>
          </w:tcPr>
          <w:p w14:paraId="19B1E72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111" w:type="dxa"/>
            <w:tcBorders>
              <w:top w:val="nil"/>
              <w:left w:val="nil"/>
              <w:bottom w:val="nil"/>
              <w:right w:val="single" w:sz="4" w:space="0" w:color="auto"/>
            </w:tcBorders>
            <w:noWrap/>
            <w:vAlign w:val="bottom"/>
            <w:hideMark/>
          </w:tcPr>
          <w:p w14:paraId="58FD1DE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111" w:type="dxa"/>
            <w:tcBorders>
              <w:top w:val="nil"/>
              <w:left w:val="nil"/>
              <w:bottom w:val="nil"/>
              <w:right w:val="single" w:sz="4" w:space="0" w:color="auto"/>
            </w:tcBorders>
            <w:noWrap/>
            <w:vAlign w:val="bottom"/>
            <w:hideMark/>
          </w:tcPr>
          <w:p w14:paraId="017202B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111" w:type="dxa"/>
            <w:tcBorders>
              <w:top w:val="nil"/>
              <w:left w:val="nil"/>
              <w:bottom w:val="nil"/>
              <w:right w:val="single" w:sz="4" w:space="0" w:color="auto"/>
            </w:tcBorders>
            <w:noWrap/>
            <w:vAlign w:val="bottom"/>
            <w:hideMark/>
          </w:tcPr>
          <w:p w14:paraId="0DDFC6E2"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w:t>
            </w:r>
          </w:p>
        </w:tc>
        <w:tc>
          <w:tcPr>
            <w:tcW w:w="1111" w:type="dxa"/>
            <w:tcBorders>
              <w:top w:val="nil"/>
              <w:left w:val="nil"/>
              <w:bottom w:val="nil"/>
              <w:right w:val="single" w:sz="4" w:space="0" w:color="auto"/>
            </w:tcBorders>
            <w:noWrap/>
            <w:vAlign w:val="bottom"/>
            <w:hideMark/>
          </w:tcPr>
          <w:p w14:paraId="5CDD84BF"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w:t>
            </w:r>
          </w:p>
        </w:tc>
      </w:tr>
      <w:tr w:rsidR="00EA0FD7" w:rsidRPr="00EA0FD7" w14:paraId="73BE2786" w14:textId="77777777" w:rsidTr="00EA0FD7">
        <w:trPr>
          <w:trHeight w:val="480"/>
        </w:trPr>
        <w:tc>
          <w:tcPr>
            <w:tcW w:w="1369" w:type="dxa"/>
            <w:tcBorders>
              <w:top w:val="single" w:sz="4" w:space="0" w:color="auto"/>
              <w:left w:val="single" w:sz="8" w:space="0" w:color="auto"/>
              <w:bottom w:val="nil"/>
              <w:right w:val="single" w:sz="4" w:space="0" w:color="auto"/>
            </w:tcBorders>
            <w:noWrap/>
            <w:vAlign w:val="bottom"/>
            <w:hideMark/>
          </w:tcPr>
          <w:p w14:paraId="150DC2B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821000</w:t>
            </w:r>
          </w:p>
        </w:tc>
        <w:tc>
          <w:tcPr>
            <w:tcW w:w="2926" w:type="dxa"/>
            <w:tcBorders>
              <w:top w:val="single" w:sz="4" w:space="0" w:color="auto"/>
              <w:left w:val="nil"/>
              <w:bottom w:val="nil"/>
              <w:right w:val="single" w:sz="4" w:space="0" w:color="auto"/>
            </w:tcBorders>
            <w:vAlign w:val="bottom"/>
            <w:hideMark/>
          </w:tcPr>
          <w:p w14:paraId="4BF3E5A2"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544" w:type="dxa"/>
            <w:tcBorders>
              <w:top w:val="single" w:sz="4" w:space="0" w:color="auto"/>
              <w:left w:val="nil"/>
              <w:bottom w:val="nil"/>
              <w:right w:val="single" w:sz="4" w:space="0" w:color="auto"/>
            </w:tcBorders>
            <w:noWrap/>
            <w:vAlign w:val="bottom"/>
            <w:hideMark/>
          </w:tcPr>
          <w:p w14:paraId="66BD5B0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150,000.00</w:t>
            </w:r>
          </w:p>
        </w:tc>
        <w:tc>
          <w:tcPr>
            <w:tcW w:w="1537" w:type="dxa"/>
            <w:tcBorders>
              <w:top w:val="single" w:sz="4" w:space="0" w:color="auto"/>
              <w:left w:val="nil"/>
              <w:bottom w:val="nil"/>
              <w:right w:val="single" w:sz="4" w:space="0" w:color="auto"/>
            </w:tcBorders>
            <w:noWrap/>
            <w:vAlign w:val="bottom"/>
            <w:hideMark/>
          </w:tcPr>
          <w:p w14:paraId="095B14D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5,000.00</w:t>
            </w:r>
          </w:p>
        </w:tc>
        <w:tc>
          <w:tcPr>
            <w:tcW w:w="1537" w:type="dxa"/>
            <w:tcBorders>
              <w:top w:val="single" w:sz="4" w:space="0" w:color="auto"/>
              <w:left w:val="nil"/>
              <w:bottom w:val="nil"/>
              <w:right w:val="single" w:sz="4" w:space="0" w:color="auto"/>
            </w:tcBorders>
            <w:noWrap/>
            <w:vAlign w:val="bottom"/>
            <w:hideMark/>
          </w:tcPr>
          <w:p w14:paraId="063A122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11,000.00</w:t>
            </w:r>
          </w:p>
        </w:tc>
        <w:tc>
          <w:tcPr>
            <w:tcW w:w="1111" w:type="dxa"/>
            <w:tcBorders>
              <w:top w:val="single" w:sz="4" w:space="0" w:color="auto"/>
              <w:left w:val="nil"/>
              <w:bottom w:val="nil"/>
              <w:right w:val="single" w:sz="4" w:space="0" w:color="auto"/>
            </w:tcBorders>
            <w:noWrap/>
            <w:vAlign w:val="bottom"/>
            <w:hideMark/>
          </w:tcPr>
          <w:p w14:paraId="7CD8456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111" w:type="dxa"/>
            <w:tcBorders>
              <w:top w:val="single" w:sz="4" w:space="0" w:color="auto"/>
              <w:left w:val="nil"/>
              <w:bottom w:val="nil"/>
              <w:right w:val="single" w:sz="4" w:space="0" w:color="auto"/>
            </w:tcBorders>
            <w:noWrap/>
            <w:vAlign w:val="bottom"/>
            <w:hideMark/>
          </w:tcPr>
          <w:p w14:paraId="0FEB605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111" w:type="dxa"/>
            <w:tcBorders>
              <w:top w:val="single" w:sz="4" w:space="0" w:color="auto"/>
              <w:left w:val="nil"/>
              <w:bottom w:val="nil"/>
              <w:right w:val="single" w:sz="4" w:space="0" w:color="auto"/>
            </w:tcBorders>
            <w:noWrap/>
            <w:vAlign w:val="bottom"/>
            <w:hideMark/>
          </w:tcPr>
          <w:p w14:paraId="53DB3D2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111" w:type="dxa"/>
            <w:tcBorders>
              <w:top w:val="single" w:sz="4" w:space="0" w:color="auto"/>
              <w:left w:val="nil"/>
              <w:bottom w:val="nil"/>
              <w:right w:val="single" w:sz="4" w:space="0" w:color="auto"/>
            </w:tcBorders>
            <w:noWrap/>
            <w:vAlign w:val="bottom"/>
            <w:hideMark/>
          </w:tcPr>
          <w:p w14:paraId="1CC6A5D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111" w:type="dxa"/>
            <w:tcBorders>
              <w:top w:val="single" w:sz="4" w:space="0" w:color="auto"/>
              <w:left w:val="nil"/>
              <w:bottom w:val="nil"/>
              <w:right w:val="single" w:sz="4" w:space="0" w:color="auto"/>
            </w:tcBorders>
            <w:noWrap/>
            <w:vAlign w:val="bottom"/>
            <w:hideMark/>
          </w:tcPr>
          <w:p w14:paraId="0BD4EF5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111" w:type="dxa"/>
            <w:tcBorders>
              <w:top w:val="single" w:sz="4" w:space="0" w:color="auto"/>
              <w:left w:val="nil"/>
              <w:bottom w:val="nil"/>
              <w:right w:val="single" w:sz="8" w:space="0" w:color="auto"/>
            </w:tcBorders>
            <w:noWrap/>
            <w:vAlign w:val="bottom"/>
            <w:hideMark/>
          </w:tcPr>
          <w:p w14:paraId="02EDB17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063A86CD" w14:textId="77777777" w:rsidTr="00EA0FD7">
        <w:trPr>
          <w:trHeight w:val="285"/>
        </w:trPr>
        <w:tc>
          <w:tcPr>
            <w:tcW w:w="1369" w:type="dxa"/>
            <w:tcBorders>
              <w:top w:val="single" w:sz="8" w:space="0" w:color="auto"/>
              <w:left w:val="single" w:sz="8" w:space="0" w:color="auto"/>
              <w:bottom w:val="single" w:sz="8" w:space="0" w:color="auto"/>
              <w:right w:val="single" w:sz="8" w:space="0" w:color="auto"/>
            </w:tcBorders>
            <w:noWrap/>
            <w:vAlign w:val="bottom"/>
            <w:hideMark/>
          </w:tcPr>
          <w:p w14:paraId="60FF453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926" w:type="dxa"/>
            <w:tcBorders>
              <w:top w:val="single" w:sz="8" w:space="0" w:color="auto"/>
              <w:left w:val="nil"/>
              <w:bottom w:val="single" w:sz="8" w:space="0" w:color="auto"/>
              <w:right w:val="single" w:sz="8" w:space="0" w:color="auto"/>
            </w:tcBorders>
            <w:noWrap/>
            <w:vAlign w:val="bottom"/>
            <w:hideMark/>
          </w:tcPr>
          <w:p w14:paraId="3C0EC0A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544" w:type="dxa"/>
            <w:tcBorders>
              <w:top w:val="single" w:sz="8" w:space="0" w:color="auto"/>
              <w:left w:val="nil"/>
              <w:bottom w:val="single" w:sz="8" w:space="0" w:color="auto"/>
              <w:right w:val="single" w:sz="8" w:space="0" w:color="auto"/>
            </w:tcBorders>
            <w:noWrap/>
            <w:vAlign w:val="bottom"/>
            <w:hideMark/>
          </w:tcPr>
          <w:p w14:paraId="1D0245B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8,030,474.67</w:t>
            </w:r>
          </w:p>
        </w:tc>
        <w:tc>
          <w:tcPr>
            <w:tcW w:w="1537" w:type="dxa"/>
            <w:tcBorders>
              <w:top w:val="single" w:sz="8" w:space="0" w:color="auto"/>
              <w:left w:val="nil"/>
              <w:bottom w:val="single" w:sz="8" w:space="0" w:color="auto"/>
              <w:right w:val="single" w:sz="8" w:space="0" w:color="auto"/>
            </w:tcBorders>
            <w:noWrap/>
            <w:vAlign w:val="bottom"/>
            <w:hideMark/>
          </w:tcPr>
          <w:p w14:paraId="7B39AFB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7,292,629.07</w:t>
            </w:r>
          </w:p>
        </w:tc>
        <w:tc>
          <w:tcPr>
            <w:tcW w:w="1537" w:type="dxa"/>
            <w:tcBorders>
              <w:top w:val="single" w:sz="8" w:space="0" w:color="auto"/>
              <w:left w:val="nil"/>
              <w:bottom w:val="single" w:sz="8" w:space="0" w:color="auto"/>
              <w:right w:val="single" w:sz="8" w:space="0" w:color="auto"/>
            </w:tcBorders>
            <w:noWrap/>
            <w:vAlign w:val="bottom"/>
            <w:hideMark/>
          </w:tcPr>
          <w:p w14:paraId="6F179DD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8,770,170.17</w:t>
            </w:r>
          </w:p>
        </w:tc>
        <w:tc>
          <w:tcPr>
            <w:tcW w:w="1111" w:type="dxa"/>
            <w:tcBorders>
              <w:top w:val="single" w:sz="8" w:space="0" w:color="auto"/>
              <w:left w:val="nil"/>
              <w:bottom w:val="single" w:sz="8" w:space="0" w:color="auto"/>
              <w:right w:val="single" w:sz="8" w:space="0" w:color="auto"/>
            </w:tcBorders>
            <w:noWrap/>
            <w:vAlign w:val="bottom"/>
            <w:hideMark/>
          </w:tcPr>
          <w:p w14:paraId="780FBD6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8,042,220</w:t>
            </w:r>
          </w:p>
        </w:tc>
        <w:tc>
          <w:tcPr>
            <w:tcW w:w="1111" w:type="dxa"/>
            <w:tcBorders>
              <w:top w:val="single" w:sz="8" w:space="0" w:color="auto"/>
              <w:left w:val="nil"/>
              <w:bottom w:val="single" w:sz="8" w:space="0" w:color="auto"/>
              <w:right w:val="single" w:sz="8" w:space="0" w:color="auto"/>
            </w:tcBorders>
            <w:noWrap/>
            <w:vAlign w:val="bottom"/>
            <w:hideMark/>
          </w:tcPr>
          <w:p w14:paraId="0EE16F4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8,017,348</w:t>
            </w:r>
          </w:p>
        </w:tc>
        <w:tc>
          <w:tcPr>
            <w:tcW w:w="1111" w:type="dxa"/>
            <w:tcBorders>
              <w:top w:val="single" w:sz="8" w:space="0" w:color="auto"/>
              <w:left w:val="nil"/>
              <w:bottom w:val="single" w:sz="8" w:space="0" w:color="auto"/>
              <w:right w:val="single" w:sz="8" w:space="0" w:color="auto"/>
            </w:tcBorders>
            <w:noWrap/>
            <w:vAlign w:val="bottom"/>
            <w:hideMark/>
          </w:tcPr>
          <w:p w14:paraId="797701C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8,021,573</w:t>
            </w:r>
          </w:p>
        </w:tc>
        <w:tc>
          <w:tcPr>
            <w:tcW w:w="1111" w:type="dxa"/>
            <w:tcBorders>
              <w:top w:val="single" w:sz="8" w:space="0" w:color="auto"/>
              <w:left w:val="nil"/>
              <w:bottom w:val="single" w:sz="8" w:space="0" w:color="auto"/>
              <w:right w:val="single" w:sz="8" w:space="0" w:color="auto"/>
            </w:tcBorders>
            <w:noWrap/>
            <w:vAlign w:val="bottom"/>
            <w:hideMark/>
          </w:tcPr>
          <w:p w14:paraId="658C53A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8,452,662</w:t>
            </w:r>
          </w:p>
        </w:tc>
        <w:tc>
          <w:tcPr>
            <w:tcW w:w="1111" w:type="dxa"/>
            <w:tcBorders>
              <w:top w:val="single" w:sz="8" w:space="0" w:color="auto"/>
              <w:left w:val="nil"/>
              <w:bottom w:val="single" w:sz="8" w:space="0" w:color="auto"/>
              <w:right w:val="single" w:sz="8" w:space="0" w:color="auto"/>
            </w:tcBorders>
            <w:noWrap/>
            <w:vAlign w:val="bottom"/>
            <w:hideMark/>
          </w:tcPr>
          <w:p w14:paraId="53734E7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8,047,790</w:t>
            </w:r>
          </w:p>
        </w:tc>
        <w:tc>
          <w:tcPr>
            <w:tcW w:w="1111" w:type="dxa"/>
            <w:tcBorders>
              <w:top w:val="single" w:sz="8" w:space="0" w:color="auto"/>
              <w:left w:val="nil"/>
              <w:bottom w:val="single" w:sz="8" w:space="0" w:color="auto"/>
              <w:right w:val="single" w:sz="8" w:space="0" w:color="auto"/>
            </w:tcBorders>
            <w:noWrap/>
            <w:vAlign w:val="bottom"/>
            <w:hideMark/>
          </w:tcPr>
          <w:p w14:paraId="0997238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8,052,015</w:t>
            </w:r>
          </w:p>
        </w:tc>
      </w:tr>
      <w:tr w:rsidR="00EA0FD7" w:rsidRPr="00EA0FD7" w14:paraId="0A90544F" w14:textId="77777777" w:rsidTr="00EA0FD7">
        <w:trPr>
          <w:trHeight w:val="210"/>
        </w:trPr>
        <w:tc>
          <w:tcPr>
            <w:tcW w:w="1369" w:type="dxa"/>
            <w:tcBorders>
              <w:top w:val="nil"/>
              <w:left w:val="single" w:sz="8" w:space="0" w:color="auto"/>
              <w:bottom w:val="single" w:sz="8" w:space="0" w:color="auto"/>
              <w:right w:val="nil"/>
            </w:tcBorders>
            <w:noWrap/>
            <w:vAlign w:val="bottom"/>
            <w:hideMark/>
          </w:tcPr>
          <w:p w14:paraId="0E52260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926" w:type="dxa"/>
            <w:tcBorders>
              <w:top w:val="nil"/>
              <w:left w:val="nil"/>
              <w:bottom w:val="single" w:sz="8" w:space="0" w:color="auto"/>
              <w:right w:val="nil"/>
            </w:tcBorders>
            <w:noWrap/>
            <w:vAlign w:val="bottom"/>
            <w:hideMark/>
          </w:tcPr>
          <w:p w14:paraId="00891C2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544" w:type="dxa"/>
            <w:tcBorders>
              <w:top w:val="nil"/>
              <w:left w:val="nil"/>
              <w:bottom w:val="single" w:sz="8" w:space="0" w:color="auto"/>
              <w:right w:val="nil"/>
            </w:tcBorders>
            <w:noWrap/>
            <w:vAlign w:val="bottom"/>
            <w:hideMark/>
          </w:tcPr>
          <w:p w14:paraId="2708EC1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537" w:type="dxa"/>
            <w:tcBorders>
              <w:top w:val="nil"/>
              <w:left w:val="nil"/>
              <w:bottom w:val="single" w:sz="8" w:space="0" w:color="auto"/>
              <w:right w:val="nil"/>
            </w:tcBorders>
            <w:noWrap/>
            <w:vAlign w:val="bottom"/>
            <w:hideMark/>
          </w:tcPr>
          <w:p w14:paraId="1C5505F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537" w:type="dxa"/>
            <w:tcBorders>
              <w:top w:val="nil"/>
              <w:left w:val="nil"/>
              <w:bottom w:val="single" w:sz="8" w:space="0" w:color="auto"/>
              <w:right w:val="nil"/>
            </w:tcBorders>
            <w:noWrap/>
            <w:vAlign w:val="bottom"/>
            <w:hideMark/>
          </w:tcPr>
          <w:p w14:paraId="04D3C10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8" w:space="0" w:color="auto"/>
              <w:right w:val="nil"/>
            </w:tcBorders>
            <w:noWrap/>
            <w:vAlign w:val="bottom"/>
            <w:hideMark/>
          </w:tcPr>
          <w:p w14:paraId="4A9FBF0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8" w:space="0" w:color="auto"/>
              <w:right w:val="nil"/>
            </w:tcBorders>
            <w:noWrap/>
            <w:vAlign w:val="bottom"/>
            <w:hideMark/>
          </w:tcPr>
          <w:p w14:paraId="6D71580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8" w:space="0" w:color="auto"/>
              <w:right w:val="nil"/>
            </w:tcBorders>
            <w:noWrap/>
            <w:vAlign w:val="bottom"/>
            <w:hideMark/>
          </w:tcPr>
          <w:p w14:paraId="304C230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1" w:type="dxa"/>
            <w:tcBorders>
              <w:top w:val="nil"/>
              <w:left w:val="nil"/>
              <w:bottom w:val="single" w:sz="8" w:space="0" w:color="auto"/>
              <w:right w:val="nil"/>
            </w:tcBorders>
            <w:noWrap/>
            <w:vAlign w:val="bottom"/>
            <w:hideMark/>
          </w:tcPr>
          <w:p w14:paraId="73E956E7"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111" w:type="dxa"/>
            <w:tcBorders>
              <w:top w:val="nil"/>
              <w:left w:val="nil"/>
              <w:bottom w:val="single" w:sz="8" w:space="0" w:color="auto"/>
              <w:right w:val="nil"/>
            </w:tcBorders>
            <w:noWrap/>
            <w:vAlign w:val="bottom"/>
            <w:hideMark/>
          </w:tcPr>
          <w:p w14:paraId="59B7CA10"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111" w:type="dxa"/>
            <w:tcBorders>
              <w:top w:val="nil"/>
              <w:left w:val="nil"/>
              <w:bottom w:val="single" w:sz="8" w:space="0" w:color="auto"/>
              <w:right w:val="single" w:sz="8" w:space="0" w:color="auto"/>
            </w:tcBorders>
            <w:noWrap/>
            <w:vAlign w:val="bottom"/>
            <w:hideMark/>
          </w:tcPr>
          <w:p w14:paraId="7ACFA23F"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2F231D1C" w14:textId="77777777" w:rsidTr="00EA0FD7">
        <w:trPr>
          <w:trHeight w:val="240"/>
        </w:trPr>
        <w:tc>
          <w:tcPr>
            <w:tcW w:w="1369" w:type="dxa"/>
            <w:tcBorders>
              <w:top w:val="nil"/>
              <w:left w:val="single" w:sz="8" w:space="0" w:color="auto"/>
              <w:bottom w:val="single" w:sz="8" w:space="0" w:color="auto"/>
              <w:right w:val="single" w:sz="8" w:space="0" w:color="auto"/>
            </w:tcBorders>
            <w:noWrap/>
            <w:vAlign w:val="bottom"/>
            <w:hideMark/>
          </w:tcPr>
          <w:p w14:paraId="5DFF134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lastRenderedPageBreak/>
              <w:t> </w:t>
            </w:r>
          </w:p>
        </w:tc>
        <w:tc>
          <w:tcPr>
            <w:tcW w:w="2926" w:type="dxa"/>
            <w:tcBorders>
              <w:top w:val="nil"/>
              <w:left w:val="nil"/>
              <w:bottom w:val="single" w:sz="8" w:space="0" w:color="auto"/>
              <w:right w:val="single" w:sz="8" w:space="0" w:color="auto"/>
            </w:tcBorders>
            <w:noWrap/>
            <w:vAlign w:val="bottom"/>
            <w:hideMark/>
          </w:tcPr>
          <w:p w14:paraId="1D931D3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544" w:type="dxa"/>
            <w:tcBorders>
              <w:top w:val="nil"/>
              <w:left w:val="nil"/>
              <w:bottom w:val="single" w:sz="8" w:space="0" w:color="auto"/>
              <w:right w:val="single" w:sz="8" w:space="0" w:color="auto"/>
            </w:tcBorders>
            <w:noWrap/>
            <w:vAlign w:val="bottom"/>
            <w:hideMark/>
          </w:tcPr>
          <w:p w14:paraId="2FD507C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143</w:t>
            </w:r>
          </w:p>
        </w:tc>
        <w:tc>
          <w:tcPr>
            <w:tcW w:w="1537" w:type="dxa"/>
            <w:tcBorders>
              <w:top w:val="nil"/>
              <w:left w:val="nil"/>
              <w:bottom w:val="single" w:sz="8" w:space="0" w:color="auto"/>
              <w:right w:val="single" w:sz="8" w:space="0" w:color="auto"/>
            </w:tcBorders>
            <w:noWrap/>
            <w:vAlign w:val="bottom"/>
            <w:hideMark/>
          </w:tcPr>
          <w:p w14:paraId="1A97F84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136</w:t>
            </w:r>
          </w:p>
        </w:tc>
        <w:tc>
          <w:tcPr>
            <w:tcW w:w="1537" w:type="dxa"/>
            <w:tcBorders>
              <w:top w:val="nil"/>
              <w:left w:val="nil"/>
              <w:bottom w:val="single" w:sz="8" w:space="0" w:color="auto"/>
              <w:right w:val="single" w:sz="8" w:space="0" w:color="auto"/>
            </w:tcBorders>
            <w:noWrap/>
            <w:vAlign w:val="bottom"/>
            <w:hideMark/>
          </w:tcPr>
          <w:p w14:paraId="531C318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144</w:t>
            </w:r>
          </w:p>
        </w:tc>
        <w:tc>
          <w:tcPr>
            <w:tcW w:w="1111" w:type="dxa"/>
            <w:tcBorders>
              <w:top w:val="nil"/>
              <w:left w:val="nil"/>
              <w:bottom w:val="single" w:sz="8" w:space="0" w:color="auto"/>
              <w:right w:val="single" w:sz="8" w:space="0" w:color="auto"/>
            </w:tcBorders>
            <w:noWrap/>
            <w:vAlign w:val="bottom"/>
            <w:hideMark/>
          </w:tcPr>
          <w:p w14:paraId="7BA4E64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143</w:t>
            </w:r>
          </w:p>
        </w:tc>
        <w:tc>
          <w:tcPr>
            <w:tcW w:w="1111" w:type="dxa"/>
            <w:tcBorders>
              <w:top w:val="nil"/>
              <w:left w:val="nil"/>
              <w:bottom w:val="single" w:sz="8" w:space="0" w:color="auto"/>
              <w:right w:val="single" w:sz="8" w:space="0" w:color="auto"/>
            </w:tcBorders>
            <w:noWrap/>
            <w:vAlign w:val="bottom"/>
            <w:hideMark/>
          </w:tcPr>
          <w:p w14:paraId="0024052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143</w:t>
            </w:r>
          </w:p>
        </w:tc>
        <w:tc>
          <w:tcPr>
            <w:tcW w:w="1111" w:type="dxa"/>
            <w:tcBorders>
              <w:top w:val="nil"/>
              <w:left w:val="nil"/>
              <w:bottom w:val="single" w:sz="8" w:space="0" w:color="auto"/>
              <w:right w:val="single" w:sz="8" w:space="0" w:color="auto"/>
            </w:tcBorders>
            <w:noWrap/>
            <w:vAlign w:val="bottom"/>
            <w:hideMark/>
          </w:tcPr>
          <w:p w14:paraId="00E628F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143</w:t>
            </w:r>
          </w:p>
        </w:tc>
        <w:tc>
          <w:tcPr>
            <w:tcW w:w="1111" w:type="dxa"/>
            <w:tcBorders>
              <w:top w:val="nil"/>
              <w:left w:val="nil"/>
              <w:bottom w:val="single" w:sz="8" w:space="0" w:color="auto"/>
              <w:right w:val="single" w:sz="8" w:space="0" w:color="auto"/>
            </w:tcBorders>
            <w:noWrap/>
            <w:vAlign w:val="bottom"/>
            <w:hideMark/>
          </w:tcPr>
          <w:p w14:paraId="18BD90D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144</w:t>
            </w:r>
          </w:p>
        </w:tc>
        <w:tc>
          <w:tcPr>
            <w:tcW w:w="1111" w:type="dxa"/>
            <w:tcBorders>
              <w:top w:val="nil"/>
              <w:left w:val="nil"/>
              <w:bottom w:val="single" w:sz="8" w:space="0" w:color="auto"/>
              <w:right w:val="single" w:sz="8" w:space="0" w:color="auto"/>
            </w:tcBorders>
            <w:noWrap/>
            <w:vAlign w:val="bottom"/>
            <w:hideMark/>
          </w:tcPr>
          <w:p w14:paraId="3B6AC13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144</w:t>
            </w:r>
          </w:p>
        </w:tc>
        <w:tc>
          <w:tcPr>
            <w:tcW w:w="1111" w:type="dxa"/>
            <w:tcBorders>
              <w:top w:val="nil"/>
              <w:left w:val="nil"/>
              <w:bottom w:val="single" w:sz="8" w:space="0" w:color="auto"/>
              <w:right w:val="single" w:sz="8" w:space="0" w:color="auto"/>
            </w:tcBorders>
            <w:noWrap/>
            <w:vAlign w:val="bottom"/>
            <w:hideMark/>
          </w:tcPr>
          <w:p w14:paraId="09842F9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144</w:t>
            </w:r>
          </w:p>
        </w:tc>
      </w:tr>
    </w:tbl>
    <w:p w14:paraId="71207FCE"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sectPr w:rsidR="00EA0FD7" w:rsidRPr="00EA0FD7">
          <w:pgSz w:w="16834" w:h="11909" w:orient="landscape"/>
          <w:pgMar w:top="547" w:right="1282" w:bottom="1411" w:left="720" w:header="706" w:footer="706" w:gutter="0"/>
          <w:cols w:space="720"/>
        </w:sectPr>
      </w:pPr>
    </w:p>
    <w:tbl>
      <w:tblPr>
        <w:tblW w:w="15720" w:type="dxa"/>
        <w:tblInd w:w="108" w:type="dxa"/>
        <w:tblLook w:val="04A0" w:firstRow="1" w:lastRow="0" w:firstColumn="1" w:lastColumn="0" w:noHBand="0" w:noVBand="1"/>
      </w:tblPr>
      <w:tblGrid>
        <w:gridCol w:w="1189"/>
        <w:gridCol w:w="2460"/>
        <w:gridCol w:w="1411"/>
        <w:gridCol w:w="1408"/>
        <w:gridCol w:w="1368"/>
        <w:gridCol w:w="1316"/>
        <w:gridCol w:w="1316"/>
        <w:gridCol w:w="1316"/>
        <w:gridCol w:w="1316"/>
        <w:gridCol w:w="1316"/>
        <w:gridCol w:w="1316"/>
      </w:tblGrid>
      <w:tr w:rsidR="00EA0FD7" w:rsidRPr="00EA0FD7" w14:paraId="3EFC4157" w14:textId="77777777" w:rsidTr="00EA0FD7">
        <w:trPr>
          <w:trHeight w:val="330"/>
        </w:trPr>
        <w:tc>
          <w:tcPr>
            <w:tcW w:w="6456" w:type="dxa"/>
            <w:gridSpan w:val="4"/>
            <w:tcBorders>
              <w:top w:val="nil"/>
              <w:left w:val="nil"/>
              <w:bottom w:val="single" w:sz="8" w:space="0" w:color="auto"/>
              <w:right w:val="nil"/>
            </w:tcBorders>
            <w:noWrap/>
            <w:vAlign w:val="bottom"/>
            <w:hideMark/>
          </w:tcPr>
          <w:p w14:paraId="06D3EA5D" w14:textId="1C108583"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lastRenderedPageBreak/>
              <w:t xml:space="preserve">12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ПРАВОСУЂЕ БРЧКО ДИСТРИКТА </w:t>
            </w:r>
            <w:r w:rsidR="00752F04">
              <w:rPr>
                <w:rFonts w:ascii="Arial" w:eastAsia="Times New Roman" w:hAnsi="Arial" w:cs="Arial"/>
                <w:b/>
                <w:bCs/>
                <w:sz w:val="20"/>
                <w:szCs w:val="20"/>
                <w:lang w:val="sr-Cyrl-RS"/>
              </w:rPr>
              <w:t>БиХ</w:t>
            </w:r>
          </w:p>
        </w:tc>
        <w:tc>
          <w:tcPr>
            <w:tcW w:w="1368" w:type="dxa"/>
            <w:noWrap/>
            <w:vAlign w:val="bottom"/>
          </w:tcPr>
          <w:p w14:paraId="0AD2B440"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5059B325"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1C3A7F9D"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0B3E7677"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76537131"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7A2A6D51"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48B0BAD4"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172A2C28" w14:textId="77777777" w:rsidTr="00EA0FD7">
        <w:trPr>
          <w:trHeight w:val="300"/>
        </w:trPr>
        <w:tc>
          <w:tcPr>
            <w:tcW w:w="1177" w:type="dxa"/>
            <w:vMerge w:val="restart"/>
            <w:tcBorders>
              <w:top w:val="nil"/>
              <w:left w:val="single" w:sz="8" w:space="0" w:color="auto"/>
              <w:bottom w:val="single" w:sz="8" w:space="0" w:color="000000"/>
              <w:right w:val="single" w:sz="8" w:space="0" w:color="auto"/>
            </w:tcBorders>
            <w:shd w:val="clear" w:color="auto" w:fill="808080"/>
            <w:vAlign w:val="center"/>
            <w:hideMark/>
          </w:tcPr>
          <w:p w14:paraId="6E6376C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460" w:type="dxa"/>
            <w:vMerge w:val="restart"/>
            <w:tcBorders>
              <w:top w:val="nil"/>
              <w:left w:val="single" w:sz="8" w:space="0" w:color="auto"/>
              <w:bottom w:val="single" w:sz="8" w:space="0" w:color="000000"/>
              <w:right w:val="single" w:sz="8" w:space="0" w:color="auto"/>
            </w:tcBorders>
            <w:shd w:val="clear" w:color="auto" w:fill="808080"/>
            <w:vAlign w:val="center"/>
            <w:hideMark/>
          </w:tcPr>
          <w:p w14:paraId="78D097C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411" w:type="dxa"/>
            <w:vMerge w:val="restart"/>
            <w:tcBorders>
              <w:top w:val="nil"/>
              <w:left w:val="single" w:sz="8" w:space="0" w:color="auto"/>
              <w:bottom w:val="single" w:sz="8" w:space="0" w:color="000000"/>
              <w:right w:val="single" w:sz="8" w:space="0" w:color="auto"/>
            </w:tcBorders>
            <w:shd w:val="clear" w:color="auto" w:fill="808080"/>
            <w:vAlign w:val="center"/>
            <w:hideMark/>
          </w:tcPr>
          <w:p w14:paraId="755B348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408" w:type="dxa"/>
            <w:vMerge w:val="restart"/>
            <w:tcBorders>
              <w:top w:val="nil"/>
              <w:left w:val="single" w:sz="8" w:space="0" w:color="auto"/>
              <w:bottom w:val="single" w:sz="8" w:space="0" w:color="000000"/>
              <w:right w:val="single" w:sz="8" w:space="0" w:color="auto"/>
            </w:tcBorders>
            <w:shd w:val="clear" w:color="auto" w:fill="808080"/>
            <w:vAlign w:val="center"/>
            <w:hideMark/>
          </w:tcPr>
          <w:p w14:paraId="46FC439E"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68"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56BACD01"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5757799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51DFF0E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1CDC3C26"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47ECCAA1"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622662FF"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75B0A8AD"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1543DF19"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7D28B6F"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tcBorders>
              <w:top w:val="nil"/>
              <w:left w:val="nil"/>
              <w:bottom w:val="single" w:sz="8" w:space="0" w:color="auto"/>
              <w:right w:val="single" w:sz="4" w:space="0" w:color="auto"/>
            </w:tcBorders>
            <w:shd w:val="clear" w:color="auto" w:fill="808080"/>
            <w:noWrap/>
            <w:vAlign w:val="center"/>
            <w:hideMark/>
          </w:tcPr>
          <w:p w14:paraId="133C1AD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03DF353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2509BA9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tcBorders>
              <w:top w:val="nil"/>
              <w:left w:val="nil"/>
              <w:bottom w:val="single" w:sz="8" w:space="0" w:color="auto"/>
              <w:right w:val="single" w:sz="4" w:space="0" w:color="auto"/>
            </w:tcBorders>
            <w:shd w:val="clear" w:color="auto" w:fill="808080"/>
            <w:noWrap/>
            <w:vAlign w:val="center"/>
            <w:hideMark/>
          </w:tcPr>
          <w:p w14:paraId="0148793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545E1F1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39DAE050"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55105A4B" w14:textId="77777777" w:rsidTr="00EA0FD7">
        <w:trPr>
          <w:trHeight w:val="240"/>
        </w:trPr>
        <w:tc>
          <w:tcPr>
            <w:tcW w:w="1177" w:type="dxa"/>
            <w:tcBorders>
              <w:top w:val="nil"/>
              <w:left w:val="single" w:sz="8" w:space="0" w:color="auto"/>
              <w:bottom w:val="single" w:sz="4" w:space="0" w:color="auto"/>
              <w:right w:val="single" w:sz="4" w:space="0" w:color="auto"/>
            </w:tcBorders>
            <w:noWrap/>
            <w:vAlign w:val="bottom"/>
            <w:hideMark/>
          </w:tcPr>
          <w:p w14:paraId="47FC448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60" w:type="dxa"/>
            <w:tcBorders>
              <w:top w:val="nil"/>
              <w:left w:val="nil"/>
              <w:bottom w:val="single" w:sz="4" w:space="0" w:color="auto"/>
              <w:right w:val="single" w:sz="4" w:space="0" w:color="auto"/>
            </w:tcBorders>
            <w:noWrap/>
            <w:vAlign w:val="bottom"/>
            <w:hideMark/>
          </w:tcPr>
          <w:p w14:paraId="33DE279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411" w:type="dxa"/>
            <w:tcBorders>
              <w:top w:val="nil"/>
              <w:left w:val="nil"/>
              <w:bottom w:val="single" w:sz="4" w:space="0" w:color="auto"/>
              <w:right w:val="single" w:sz="4" w:space="0" w:color="auto"/>
            </w:tcBorders>
            <w:noWrap/>
            <w:vAlign w:val="bottom"/>
            <w:hideMark/>
          </w:tcPr>
          <w:p w14:paraId="6CA1B44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08" w:type="dxa"/>
            <w:tcBorders>
              <w:top w:val="nil"/>
              <w:left w:val="nil"/>
              <w:bottom w:val="single" w:sz="4" w:space="0" w:color="auto"/>
              <w:right w:val="single" w:sz="4" w:space="0" w:color="auto"/>
            </w:tcBorders>
            <w:noWrap/>
            <w:vAlign w:val="bottom"/>
            <w:hideMark/>
          </w:tcPr>
          <w:p w14:paraId="128EF61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68" w:type="dxa"/>
            <w:tcBorders>
              <w:top w:val="nil"/>
              <w:left w:val="nil"/>
              <w:bottom w:val="single" w:sz="4" w:space="0" w:color="auto"/>
              <w:right w:val="single" w:sz="4" w:space="0" w:color="auto"/>
            </w:tcBorders>
            <w:noWrap/>
            <w:vAlign w:val="bottom"/>
            <w:hideMark/>
          </w:tcPr>
          <w:p w14:paraId="1184B86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2BA27F7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1401A9D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1EDE59C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53260C1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75ABADE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8" w:space="0" w:color="auto"/>
            </w:tcBorders>
            <w:noWrap/>
            <w:vAlign w:val="bottom"/>
            <w:hideMark/>
          </w:tcPr>
          <w:p w14:paraId="563BF41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4A1D8AD6" w14:textId="77777777" w:rsidTr="00EA0FD7">
        <w:trPr>
          <w:trHeight w:val="480"/>
        </w:trPr>
        <w:tc>
          <w:tcPr>
            <w:tcW w:w="1177" w:type="dxa"/>
            <w:tcBorders>
              <w:top w:val="nil"/>
              <w:left w:val="single" w:sz="8" w:space="0" w:color="auto"/>
              <w:bottom w:val="single" w:sz="4" w:space="0" w:color="auto"/>
              <w:right w:val="single" w:sz="4" w:space="0" w:color="auto"/>
            </w:tcBorders>
            <w:vAlign w:val="bottom"/>
            <w:hideMark/>
          </w:tcPr>
          <w:p w14:paraId="6F64C8B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460" w:type="dxa"/>
            <w:tcBorders>
              <w:top w:val="nil"/>
              <w:left w:val="nil"/>
              <w:bottom w:val="single" w:sz="4" w:space="0" w:color="auto"/>
              <w:right w:val="single" w:sz="4" w:space="0" w:color="auto"/>
            </w:tcBorders>
            <w:vAlign w:val="bottom"/>
            <w:hideMark/>
          </w:tcPr>
          <w:p w14:paraId="0874C350"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411" w:type="dxa"/>
            <w:tcBorders>
              <w:top w:val="nil"/>
              <w:left w:val="nil"/>
              <w:bottom w:val="single" w:sz="4" w:space="0" w:color="auto"/>
              <w:right w:val="single" w:sz="4" w:space="0" w:color="auto"/>
            </w:tcBorders>
            <w:noWrap/>
            <w:vAlign w:val="bottom"/>
            <w:hideMark/>
          </w:tcPr>
          <w:p w14:paraId="02759BC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9,109,294.82</w:t>
            </w:r>
          </w:p>
        </w:tc>
        <w:tc>
          <w:tcPr>
            <w:tcW w:w="1408" w:type="dxa"/>
            <w:tcBorders>
              <w:top w:val="nil"/>
              <w:left w:val="nil"/>
              <w:bottom w:val="single" w:sz="4" w:space="0" w:color="auto"/>
              <w:right w:val="single" w:sz="4" w:space="0" w:color="auto"/>
            </w:tcBorders>
            <w:noWrap/>
            <w:vAlign w:val="bottom"/>
            <w:hideMark/>
          </w:tcPr>
          <w:p w14:paraId="74E5A7E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8,721,249.69</w:t>
            </w:r>
          </w:p>
        </w:tc>
        <w:tc>
          <w:tcPr>
            <w:tcW w:w="1368" w:type="dxa"/>
            <w:tcBorders>
              <w:top w:val="nil"/>
              <w:left w:val="nil"/>
              <w:bottom w:val="single" w:sz="4" w:space="0" w:color="auto"/>
              <w:right w:val="single" w:sz="4" w:space="0" w:color="auto"/>
            </w:tcBorders>
            <w:noWrap/>
            <w:vAlign w:val="bottom"/>
            <w:hideMark/>
          </w:tcPr>
          <w:p w14:paraId="296688B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9,654,819.83</w:t>
            </w:r>
          </w:p>
        </w:tc>
        <w:tc>
          <w:tcPr>
            <w:tcW w:w="1316" w:type="dxa"/>
            <w:tcBorders>
              <w:top w:val="nil"/>
              <w:left w:val="nil"/>
              <w:bottom w:val="single" w:sz="4" w:space="0" w:color="auto"/>
              <w:right w:val="single" w:sz="4" w:space="0" w:color="auto"/>
            </w:tcBorders>
            <w:noWrap/>
            <w:vAlign w:val="bottom"/>
            <w:hideMark/>
          </w:tcPr>
          <w:p w14:paraId="5D975F0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9,735,660</w:t>
            </w:r>
          </w:p>
        </w:tc>
        <w:tc>
          <w:tcPr>
            <w:tcW w:w="1316" w:type="dxa"/>
            <w:tcBorders>
              <w:top w:val="nil"/>
              <w:left w:val="nil"/>
              <w:bottom w:val="single" w:sz="4" w:space="0" w:color="auto"/>
              <w:right w:val="single" w:sz="4" w:space="0" w:color="auto"/>
            </w:tcBorders>
            <w:noWrap/>
            <w:vAlign w:val="bottom"/>
            <w:hideMark/>
          </w:tcPr>
          <w:p w14:paraId="13261A4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9,796,527</w:t>
            </w:r>
          </w:p>
        </w:tc>
        <w:tc>
          <w:tcPr>
            <w:tcW w:w="1316" w:type="dxa"/>
            <w:tcBorders>
              <w:top w:val="nil"/>
              <w:left w:val="nil"/>
              <w:bottom w:val="single" w:sz="4" w:space="0" w:color="auto"/>
              <w:right w:val="single" w:sz="4" w:space="0" w:color="auto"/>
            </w:tcBorders>
            <w:noWrap/>
            <w:vAlign w:val="bottom"/>
            <w:hideMark/>
          </w:tcPr>
          <w:p w14:paraId="37CB54F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9,956,858</w:t>
            </w:r>
          </w:p>
        </w:tc>
        <w:tc>
          <w:tcPr>
            <w:tcW w:w="1316" w:type="dxa"/>
            <w:tcBorders>
              <w:top w:val="nil"/>
              <w:left w:val="nil"/>
              <w:bottom w:val="single" w:sz="4" w:space="0" w:color="auto"/>
              <w:right w:val="single" w:sz="4" w:space="0" w:color="auto"/>
            </w:tcBorders>
            <w:noWrap/>
            <w:vAlign w:val="bottom"/>
            <w:hideMark/>
          </w:tcPr>
          <w:p w14:paraId="0E863CA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9,735,660</w:t>
            </w:r>
          </w:p>
        </w:tc>
        <w:tc>
          <w:tcPr>
            <w:tcW w:w="1316" w:type="dxa"/>
            <w:tcBorders>
              <w:top w:val="nil"/>
              <w:left w:val="nil"/>
              <w:bottom w:val="single" w:sz="4" w:space="0" w:color="auto"/>
              <w:right w:val="single" w:sz="4" w:space="0" w:color="auto"/>
            </w:tcBorders>
            <w:noWrap/>
            <w:vAlign w:val="bottom"/>
            <w:hideMark/>
          </w:tcPr>
          <w:p w14:paraId="4ED2893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9,796,527</w:t>
            </w:r>
          </w:p>
        </w:tc>
        <w:tc>
          <w:tcPr>
            <w:tcW w:w="1316" w:type="dxa"/>
            <w:tcBorders>
              <w:top w:val="nil"/>
              <w:left w:val="nil"/>
              <w:bottom w:val="single" w:sz="4" w:space="0" w:color="auto"/>
              <w:right w:val="single" w:sz="4" w:space="0" w:color="auto"/>
            </w:tcBorders>
            <w:noWrap/>
            <w:vAlign w:val="bottom"/>
            <w:hideMark/>
          </w:tcPr>
          <w:p w14:paraId="7DE80BE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9,956,858</w:t>
            </w:r>
          </w:p>
        </w:tc>
      </w:tr>
      <w:tr w:rsidR="00EA0FD7" w:rsidRPr="00EA0FD7" w14:paraId="59B22EEB" w14:textId="77777777" w:rsidTr="00EA0FD7">
        <w:trPr>
          <w:trHeight w:val="480"/>
        </w:trPr>
        <w:tc>
          <w:tcPr>
            <w:tcW w:w="1177" w:type="dxa"/>
            <w:tcBorders>
              <w:top w:val="nil"/>
              <w:left w:val="single" w:sz="8" w:space="0" w:color="auto"/>
              <w:bottom w:val="single" w:sz="4" w:space="0" w:color="auto"/>
              <w:right w:val="single" w:sz="4" w:space="0" w:color="auto"/>
            </w:tcBorders>
            <w:noWrap/>
            <w:vAlign w:val="bottom"/>
            <w:hideMark/>
          </w:tcPr>
          <w:p w14:paraId="6A641F9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611200</w:t>
            </w:r>
          </w:p>
        </w:tc>
        <w:tc>
          <w:tcPr>
            <w:tcW w:w="2460" w:type="dxa"/>
            <w:tcBorders>
              <w:top w:val="nil"/>
              <w:left w:val="nil"/>
              <w:bottom w:val="single" w:sz="4" w:space="0" w:color="auto"/>
              <w:right w:val="single" w:sz="4" w:space="0" w:color="auto"/>
            </w:tcBorders>
            <w:vAlign w:val="bottom"/>
            <w:hideMark/>
          </w:tcPr>
          <w:p w14:paraId="1E1BBFC4"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411" w:type="dxa"/>
            <w:tcBorders>
              <w:top w:val="nil"/>
              <w:left w:val="nil"/>
              <w:bottom w:val="single" w:sz="4" w:space="0" w:color="auto"/>
              <w:right w:val="single" w:sz="4" w:space="0" w:color="auto"/>
            </w:tcBorders>
            <w:noWrap/>
            <w:vAlign w:val="bottom"/>
            <w:hideMark/>
          </w:tcPr>
          <w:p w14:paraId="29987D9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595,500.00</w:t>
            </w:r>
          </w:p>
        </w:tc>
        <w:tc>
          <w:tcPr>
            <w:tcW w:w="1408" w:type="dxa"/>
            <w:tcBorders>
              <w:top w:val="nil"/>
              <w:left w:val="nil"/>
              <w:bottom w:val="single" w:sz="4" w:space="0" w:color="auto"/>
              <w:right w:val="single" w:sz="4" w:space="0" w:color="auto"/>
            </w:tcBorders>
            <w:noWrap/>
            <w:vAlign w:val="bottom"/>
            <w:hideMark/>
          </w:tcPr>
          <w:p w14:paraId="5A18182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406,955.86</w:t>
            </w:r>
          </w:p>
        </w:tc>
        <w:tc>
          <w:tcPr>
            <w:tcW w:w="1368" w:type="dxa"/>
            <w:tcBorders>
              <w:top w:val="nil"/>
              <w:left w:val="nil"/>
              <w:bottom w:val="single" w:sz="4" w:space="0" w:color="auto"/>
              <w:right w:val="single" w:sz="4" w:space="0" w:color="auto"/>
            </w:tcBorders>
            <w:noWrap/>
            <w:vAlign w:val="bottom"/>
            <w:hideMark/>
          </w:tcPr>
          <w:p w14:paraId="696440E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820,400.00</w:t>
            </w:r>
          </w:p>
        </w:tc>
        <w:tc>
          <w:tcPr>
            <w:tcW w:w="1316" w:type="dxa"/>
            <w:tcBorders>
              <w:top w:val="nil"/>
              <w:left w:val="nil"/>
              <w:bottom w:val="single" w:sz="4" w:space="0" w:color="auto"/>
              <w:right w:val="single" w:sz="4" w:space="0" w:color="auto"/>
            </w:tcBorders>
            <w:noWrap/>
            <w:vAlign w:val="bottom"/>
            <w:hideMark/>
          </w:tcPr>
          <w:p w14:paraId="461AAD7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764,132</w:t>
            </w:r>
          </w:p>
        </w:tc>
        <w:tc>
          <w:tcPr>
            <w:tcW w:w="1316" w:type="dxa"/>
            <w:tcBorders>
              <w:top w:val="nil"/>
              <w:left w:val="nil"/>
              <w:bottom w:val="single" w:sz="4" w:space="0" w:color="auto"/>
              <w:right w:val="single" w:sz="4" w:space="0" w:color="auto"/>
            </w:tcBorders>
            <w:noWrap/>
            <w:vAlign w:val="bottom"/>
            <w:hideMark/>
          </w:tcPr>
          <w:p w14:paraId="087E90D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764,132</w:t>
            </w:r>
          </w:p>
        </w:tc>
        <w:tc>
          <w:tcPr>
            <w:tcW w:w="1316" w:type="dxa"/>
            <w:tcBorders>
              <w:top w:val="nil"/>
              <w:left w:val="nil"/>
              <w:bottom w:val="single" w:sz="4" w:space="0" w:color="auto"/>
              <w:right w:val="single" w:sz="4" w:space="0" w:color="auto"/>
            </w:tcBorders>
            <w:noWrap/>
            <w:vAlign w:val="bottom"/>
            <w:hideMark/>
          </w:tcPr>
          <w:p w14:paraId="7A88632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764,132</w:t>
            </w:r>
          </w:p>
        </w:tc>
        <w:tc>
          <w:tcPr>
            <w:tcW w:w="1316" w:type="dxa"/>
            <w:tcBorders>
              <w:top w:val="nil"/>
              <w:left w:val="nil"/>
              <w:bottom w:val="single" w:sz="4" w:space="0" w:color="auto"/>
              <w:right w:val="single" w:sz="4" w:space="0" w:color="auto"/>
            </w:tcBorders>
            <w:noWrap/>
            <w:vAlign w:val="bottom"/>
            <w:hideMark/>
          </w:tcPr>
          <w:p w14:paraId="5D51769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764,132</w:t>
            </w:r>
          </w:p>
        </w:tc>
        <w:tc>
          <w:tcPr>
            <w:tcW w:w="1316" w:type="dxa"/>
            <w:tcBorders>
              <w:top w:val="nil"/>
              <w:left w:val="nil"/>
              <w:bottom w:val="single" w:sz="4" w:space="0" w:color="auto"/>
              <w:right w:val="single" w:sz="4" w:space="0" w:color="auto"/>
            </w:tcBorders>
            <w:noWrap/>
            <w:vAlign w:val="bottom"/>
            <w:hideMark/>
          </w:tcPr>
          <w:p w14:paraId="1940209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764,132</w:t>
            </w:r>
          </w:p>
        </w:tc>
        <w:tc>
          <w:tcPr>
            <w:tcW w:w="1316" w:type="dxa"/>
            <w:tcBorders>
              <w:top w:val="nil"/>
              <w:left w:val="nil"/>
              <w:bottom w:val="single" w:sz="4" w:space="0" w:color="auto"/>
              <w:right w:val="single" w:sz="4" w:space="0" w:color="auto"/>
            </w:tcBorders>
            <w:noWrap/>
            <w:vAlign w:val="bottom"/>
            <w:hideMark/>
          </w:tcPr>
          <w:p w14:paraId="4C2F9D4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764,132</w:t>
            </w:r>
          </w:p>
        </w:tc>
      </w:tr>
      <w:tr w:rsidR="00EA0FD7" w:rsidRPr="00EA0FD7" w14:paraId="47E096E6" w14:textId="77777777" w:rsidTr="00EA0FD7">
        <w:trPr>
          <w:trHeight w:val="480"/>
        </w:trPr>
        <w:tc>
          <w:tcPr>
            <w:tcW w:w="1177" w:type="dxa"/>
            <w:tcBorders>
              <w:top w:val="nil"/>
              <w:left w:val="single" w:sz="8" w:space="0" w:color="auto"/>
              <w:bottom w:val="single" w:sz="4" w:space="0" w:color="auto"/>
              <w:right w:val="single" w:sz="4" w:space="0" w:color="auto"/>
            </w:tcBorders>
            <w:noWrap/>
            <w:vAlign w:val="bottom"/>
            <w:hideMark/>
          </w:tcPr>
          <w:p w14:paraId="23BEE40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460" w:type="dxa"/>
            <w:tcBorders>
              <w:top w:val="nil"/>
              <w:left w:val="nil"/>
              <w:bottom w:val="single" w:sz="4" w:space="0" w:color="auto"/>
              <w:right w:val="single" w:sz="4" w:space="0" w:color="auto"/>
            </w:tcBorders>
            <w:vAlign w:val="bottom"/>
            <w:hideMark/>
          </w:tcPr>
          <w:p w14:paraId="6D3FE27F"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411" w:type="dxa"/>
            <w:tcBorders>
              <w:top w:val="nil"/>
              <w:left w:val="nil"/>
              <w:bottom w:val="single" w:sz="4" w:space="0" w:color="auto"/>
              <w:right w:val="single" w:sz="4" w:space="0" w:color="auto"/>
            </w:tcBorders>
            <w:noWrap/>
            <w:vAlign w:val="bottom"/>
            <w:hideMark/>
          </w:tcPr>
          <w:p w14:paraId="46E1142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2,678,370.00</w:t>
            </w:r>
          </w:p>
        </w:tc>
        <w:tc>
          <w:tcPr>
            <w:tcW w:w="1408" w:type="dxa"/>
            <w:tcBorders>
              <w:top w:val="nil"/>
              <w:left w:val="nil"/>
              <w:bottom w:val="single" w:sz="4" w:space="0" w:color="auto"/>
              <w:right w:val="single" w:sz="4" w:space="0" w:color="auto"/>
            </w:tcBorders>
            <w:noWrap/>
            <w:vAlign w:val="bottom"/>
            <w:hideMark/>
          </w:tcPr>
          <w:p w14:paraId="43CFEDD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2,310,714.92</w:t>
            </w:r>
          </w:p>
        </w:tc>
        <w:tc>
          <w:tcPr>
            <w:tcW w:w="1368" w:type="dxa"/>
            <w:tcBorders>
              <w:top w:val="nil"/>
              <w:left w:val="nil"/>
              <w:bottom w:val="single" w:sz="4" w:space="0" w:color="auto"/>
              <w:right w:val="single" w:sz="4" w:space="0" w:color="auto"/>
            </w:tcBorders>
            <w:noWrap/>
            <w:vAlign w:val="bottom"/>
            <w:hideMark/>
          </w:tcPr>
          <w:p w14:paraId="1AE5509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2,621,690.00</w:t>
            </w:r>
          </w:p>
        </w:tc>
        <w:tc>
          <w:tcPr>
            <w:tcW w:w="1316" w:type="dxa"/>
            <w:tcBorders>
              <w:top w:val="nil"/>
              <w:left w:val="nil"/>
              <w:bottom w:val="single" w:sz="4" w:space="0" w:color="auto"/>
              <w:right w:val="single" w:sz="4" w:space="0" w:color="auto"/>
            </w:tcBorders>
            <w:noWrap/>
            <w:vAlign w:val="bottom"/>
            <w:hideMark/>
          </w:tcPr>
          <w:p w14:paraId="6A517CC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2,614,715</w:t>
            </w:r>
          </w:p>
        </w:tc>
        <w:tc>
          <w:tcPr>
            <w:tcW w:w="1316" w:type="dxa"/>
            <w:tcBorders>
              <w:top w:val="nil"/>
              <w:left w:val="nil"/>
              <w:bottom w:val="single" w:sz="4" w:space="0" w:color="auto"/>
              <w:right w:val="single" w:sz="4" w:space="0" w:color="auto"/>
            </w:tcBorders>
            <w:noWrap/>
            <w:vAlign w:val="bottom"/>
            <w:hideMark/>
          </w:tcPr>
          <w:p w14:paraId="532BF86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2,614,715</w:t>
            </w:r>
          </w:p>
        </w:tc>
        <w:tc>
          <w:tcPr>
            <w:tcW w:w="1316" w:type="dxa"/>
            <w:tcBorders>
              <w:top w:val="nil"/>
              <w:left w:val="nil"/>
              <w:bottom w:val="single" w:sz="4" w:space="0" w:color="auto"/>
              <w:right w:val="single" w:sz="4" w:space="0" w:color="auto"/>
            </w:tcBorders>
            <w:noWrap/>
            <w:vAlign w:val="bottom"/>
            <w:hideMark/>
          </w:tcPr>
          <w:p w14:paraId="58E4ECF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2,614,715</w:t>
            </w:r>
          </w:p>
        </w:tc>
        <w:tc>
          <w:tcPr>
            <w:tcW w:w="1316" w:type="dxa"/>
            <w:tcBorders>
              <w:top w:val="nil"/>
              <w:left w:val="nil"/>
              <w:bottom w:val="single" w:sz="4" w:space="0" w:color="auto"/>
              <w:right w:val="single" w:sz="4" w:space="0" w:color="auto"/>
            </w:tcBorders>
            <w:noWrap/>
            <w:vAlign w:val="bottom"/>
            <w:hideMark/>
          </w:tcPr>
          <w:p w14:paraId="6163BB5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2,614,715</w:t>
            </w:r>
          </w:p>
        </w:tc>
        <w:tc>
          <w:tcPr>
            <w:tcW w:w="1316" w:type="dxa"/>
            <w:tcBorders>
              <w:top w:val="nil"/>
              <w:left w:val="nil"/>
              <w:bottom w:val="single" w:sz="4" w:space="0" w:color="auto"/>
              <w:right w:val="single" w:sz="4" w:space="0" w:color="auto"/>
            </w:tcBorders>
            <w:noWrap/>
            <w:vAlign w:val="bottom"/>
            <w:hideMark/>
          </w:tcPr>
          <w:p w14:paraId="4A17AD6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2,614,715</w:t>
            </w:r>
          </w:p>
        </w:tc>
        <w:tc>
          <w:tcPr>
            <w:tcW w:w="1316" w:type="dxa"/>
            <w:tcBorders>
              <w:top w:val="nil"/>
              <w:left w:val="nil"/>
              <w:bottom w:val="single" w:sz="4" w:space="0" w:color="auto"/>
              <w:right w:val="single" w:sz="4" w:space="0" w:color="auto"/>
            </w:tcBorders>
            <w:noWrap/>
            <w:vAlign w:val="bottom"/>
            <w:hideMark/>
          </w:tcPr>
          <w:p w14:paraId="0963773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2,614,715</w:t>
            </w:r>
          </w:p>
        </w:tc>
      </w:tr>
      <w:tr w:rsidR="00EA0FD7" w:rsidRPr="00EA0FD7" w14:paraId="3B025937" w14:textId="77777777" w:rsidTr="00EA0FD7">
        <w:trPr>
          <w:trHeight w:val="480"/>
        </w:trPr>
        <w:tc>
          <w:tcPr>
            <w:tcW w:w="1177" w:type="dxa"/>
            <w:tcBorders>
              <w:top w:val="nil"/>
              <w:left w:val="single" w:sz="8" w:space="0" w:color="auto"/>
              <w:bottom w:val="single" w:sz="4" w:space="0" w:color="auto"/>
              <w:right w:val="single" w:sz="4" w:space="0" w:color="auto"/>
            </w:tcBorders>
            <w:vAlign w:val="bottom"/>
            <w:hideMark/>
          </w:tcPr>
          <w:p w14:paraId="0E09D85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614000</w:t>
            </w:r>
          </w:p>
        </w:tc>
        <w:tc>
          <w:tcPr>
            <w:tcW w:w="2460" w:type="dxa"/>
            <w:tcBorders>
              <w:top w:val="nil"/>
              <w:left w:val="nil"/>
              <w:bottom w:val="single" w:sz="4" w:space="0" w:color="auto"/>
              <w:right w:val="single" w:sz="4" w:space="0" w:color="auto"/>
            </w:tcBorders>
            <w:vAlign w:val="bottom"/>
            <w:hideMark/>
          </w:tcPr>
          <w:p w14:paraId="2ABC37FA"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411" w:type="dxa"/>
            <w:tcBorders>
              <w:top w:val="nil"/>
              <w:left w:val="nil"/>
              <w:bottom w:val="single" w:sz="4" w:space="0" w:color="auto"/>
              <w:right w:val="single" w:sz="4" w:space="0" w:color="auto"/>
            </w:tcBorders>
            <w:noWrap/>
            <w:vAlign w:val="bottom"/>
            <w:hideMark/>
          </w:tcPr>
          <w:p w14:paraId="11BC2D2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408" w:type="dxa"/>
            <w:tcBorders>
              <w:top w:val="nil"/>
              <w:left w:val="nil"/>
              <w:bottom w:val="single" w:sz="4" w:space="0" w:color="auto"/>
              <w:right w:val="single" w:sz="4" w:space="0" w:color="auto"/>
            </w:tcBorders>
            <w:noWrap/>
            <w:vAlign w:val="bottom"/>
            <w:hideMark/>
          </w:tcPr>
          <w:p w14:paraId="7B1D78B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68" w:type="dxa"/>
            <w:tcBorders>
              <w:top w:val="nil"/>
              <w:left w:val="nil"/>
              <w:bottom w:val="single" w:sz="4" w:space="0" w:color="auto"/>
              <w:right w:val="single" w:sz="4" w:space="0" w:color="auto"/>
            </w:tcBorders>
            <w:noWrap/>
            <w:vAlign w:val="bottom"/>
            <w:hideMark/>
          </w:tcPr>
          <w:p w14:paraId="34AC601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single" w:sz="4" w:space="0" w:color="auto"/>
              <w:right w:val="single" w:sz="4" w:space="0" w:color="auto"/>
            </w:tcBorders>
            <w:noWrap/>
            <w:vAlign w:val="bottom"/>
            <w:hideMark/>
          </w:tcPr>
          <w:p w14:paraId="53EE3B8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single" w:sz="4" w:space="0" w:color="auto"/>
              <w:right w:val="single" w:sz="4" w:space="0" w:color="auto"/>
            </w:tcBorders>
            <w:noWrap/>
            <w:vAlign w:val="bottom"/>
            <w:hideMark/>
          </w:tcPr>
          <w:p w14:paraId="756E6B3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single" w:sz="4" w:space="0" w:color="auto"/>
              <w:right w:val="single" w:sz="4" w:space="0" w:color="auto"/>
            </w:tcBorders>
            <w:noWrap/>
            <w:vAlign w:val="bottom"/>
            <w:hideMark/>
          </w:tcPr>
          <w:p w14:paraId="2814915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single" w:sz="4" w:space="0" w:color="auto"/>
              <w:right w:val="single" w:sz="4" w:space="0" w:color="auto"/>
            </w:tcBorders>
            <w:noWrap/>
            <w:vAlign w:val="bottom"/>
            <w:hideMark/>
          </w:tcPr>
          <w:p w14:paraId="3817DD5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06942C2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single" w:sz="4" w:space="0" w:color="auto"/>
              <w:right w:val="single" w:sz="4" w:space="0" w:color="auto"/>
            </w:tcBorders>
            <w:noWrap/>
            <w:vAlign w:val="bottom"/>
            <w:hideMark/>
          </w:tcPr>
          <w:p w14:paraId="7D6F89B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r>
      <w:tr w:rsidR="00EA0FD7" w:rsidRPr="00EA0FD7" w14:paraId="0D0718C8" w14:textId="77777777" w:rsidTr="00EA0FD7">
        <w:trPr>
          <w:trHeight w:val="240"/>
        </w:trPr>
        <w:tc>
          <w:tcPr>
            <w:tcW w:w="1177" w:type="dxa"/>
            <w:tcBorders>
              <w:top w:val="nil"/>
              <w:left w:val="single" w:sz="8" w:space="0" w:color="auto"/>
              <w:bottom w:val="nil"/>
              <w:right w:val="single" w:sz="4" w:space="0" w:color="auto"/>
            </w:tcBorders>
            <w:vAlign w:val="bottom"/>
            <w:hideMark/>
          </w:tcPr>
          <w:p w14:paraId="64256E0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615000</w:t>
            </w:r>
          </w:p>
        </w:tc>
        <w:tc>
          <w:tcPr>
            <w:tcW w:w="2460" w:type="dxa"/>
            <w:tcBorders>
              <w:top w:val="nil"/>
              <w:left w:val="nil"/>
              <w:bottom w:val="nil"/>
              <w:right w:val="single" w:sz="4" w:space="0" w:color="auto"/>
            </w:tcBorders>
            <w:vAlign w:val="bottom"/>
            <w:hideMark/>
          </w:tcPr>
          <w:p w14:paraId="0AFA83E5"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411" w:type="dxa"/>
            <w:tcBorders>
              <w:top w:val="nil"/>
              <w:left w:val="nil"/>
              <w:bottom w:val="nil"/>
              <w:right w:val="single" w:sz="4" w:space="0" w:color="auto"/>
            </w:tcBorders>
            <w:noWrap/>
            <w:vAlign w:val="bottom"/>
            <w:hideMark/>
          </w:tcPr>
          <w:p w14:paraId="47A2A60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408" w:type="dxa"/>
            <w:tcBorders>
              <w:top w:val="nil"/>
              <w:left w:val="nil"/>
              <w:bottom w:val="nil"/>
              <w:right w:val="single" w:sz="4" w:space="0" w:color="auto"/>
            </w:tcBorders>
            <w:noWrap/>
            <w:vAlign w:val="bottom"/>
            <w:hideMark/>
          </w:tcPr>
          <w:p w14:paraId="45C76EF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68" w:type="dxa"/>
            <w:tcBorders>
              <w:top w:val="nil"/>
              <w:left w:val="nil"/>
              <w:bottom w:val="nil"/>
              <w:right w:val="single" w:sz="4" w:space="0" w:color="auto"/>
            </w:tcBorders>
            <w:noWrap/>
            <w:vAlign w:val="bottom"/>
            <w:hideMark/>
          </w:tcPr>
          <w:p w14:paraId="0EF81A0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nil"/>
              <w:right w:val="single" w:sz="4" w:space="0" w:color="auto"/>
            </w:tcBorders>
            <w:noWrap/>
            <w:vAlign w:val="bottom"/>
            <w:hideMark/>
          </w:tcPr>
          <w:p w14:paraId="5F0C19E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nil"/>
              <w:right w:val="single" w:sz="4" w:space="0" w:color="auto"/>
            </w:tcBorders>
            <w:noWrap/>
            <w:vAlign w:val="bottom"/>
            <w:hideMark/>
          </w:tcPr>
          <w:p w14:paraId="6E4B4B3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nil"/>
              <w:right w:val="single" w:sz="4" w:space="0" w:color="auto"/>
            </w:tcBorders>
            <w:noWrap/>
            <w:vAlign w:val="bottom"/>
            <w:hideMark/>
          </w:tcPr>
          <w:p w14:paraId="5991B76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nil"/>
              <w:right w:val="single" w:sz="4" w:space="0" w:color="auto"/>
            </w:tcBorders>
            <w:noWrap/>
            <w:vAlign w:val="bottom"/>
            <w:hideMark/>
          </w:tcPr>
          <w:p w14:paraId="4635C14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1743EED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nil"/>
              <w:right w:val="single" w:sz="4" w:space="0" w:color="auto"/>
            </w:tcBorders>
            <w:noWrap/>
            <w:vAlign w:val="bottom"/>
            <w:hideMark/>
          </w:tcPr>
          <w:p w14:paraId="242DD31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r>
      <w:tr w:rsidR="00EA0FD7" w:rsidRPr="00EA0FD7" w14:paraId="2CA9FF80" w14:textId="77777777" w:rsidTr="00EA0FD7">
        <w:trPr>
          <w:trHeight w:val="480"/>
        </w:trPr>
        <w:tc>
          <w:tcPr>
            <w:tcW w:w="1177" w:type="dxa"/>
            <w:tcBorders>
              <w:top w:val="single" w:sz="4" w:space="0" w:color="auto"/>
              <w:left w:val="single" w:sz="8" w:space="0" w:color="auto"/>
              <w:bottom w:val="nil"/>
              <w:right w:val="single" w:sz="4" w:space="0" w:color="auto"/>
            </w:tcBorders>
            <w:noWrap/>
            <w:vAlign w:val="bottom"/>
            <w:hideMark/>
          </w:tcPr>
          <w:p w14:paraId="644E6FD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821000</w:t>
            </w:r>
          </w:p>
        </w:tc>
        <w:tc>
          <w:tcPr>
            <w:tcW w:w="2460" w:type="dxa"/>
            <w:tcBorders>
              <w:top w:val="single" w:sz="4" w:space="0" w:color="auto"/>
              <w:left w:val="nil"/>
              <w:bottom w:val="nil"/>
              <w:right w:val="single" w:sz="4" w:space="0" w:color="auto"/>
            </w:tcBorders>
            <w:vAlign w:val="bottom"/>
            <w:hideMark/>
          </w:tcPr>
          <w:p w14:paraId="3024A9DA"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411" w:type="dxa"/>
            <w:tcBorders>
              <w:top w:val="single" w:sz="4" w:space="0" w:color="auto"/>
              <w:left w:val="nil"/>
              <w:bottom w:val="nil"/>
              <w:right w:val="single" w:sz="4" w:space="0" w:color="auto"/>
            </w:tcBorders>
            <w:noWrap/>
            <w:vAlign w:val="bottom"/>
            <w:hideMark/>
          </w:tcPr>
          <w:p w14:paraId="0994CC8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159,100.00</w:t>
            </w:r>
          </w:p>
        </w:tc>
        <w:tc>
          <w:tcPr>
            <w:tcW w:w="1408" w:type="dxa"/>
            <w:tcBorders>
              <w:top w:val="single" w:sz="4" w:space="0" w:color="auto"/>
              <w:left w:val="nil"/>
              <w:bottom w:val="nil"/>
              <w:right w:val="single" w:sz="4" w:space="0" w:color="auto"/>
            </w:tcBorders>
            <w:noWrap/>
            <w:vAlign w:val="bottom"/>
            <w:hideMark/>
          </w:tcPr>
          <w:p w14:paraId="2C769FE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4,718.16</w:t>
            </w:r>
          </w:p>
        </w:tc>
        <w:tc>
          <w:tcPr>
            <w:tcW w:w="1368" w:type="dxa"/>
            <w:tcBorders>
              <w:top w:val="single" w:sz="4" w:space="0" w:color="auto"/>
              <w:left w:val="nil"/>
              <w:bottom w:val="nil"/>
              <w:right w:val="single" w:sz="4" w:space="0" w:color="auto"/>
            </w:tcBorders>
            <w:noWrap/>
            <w:vAlign w:val="bottom"/>
            <w:hideMark/>
          </w:tcPr>
          <w:p w14:paraId="5DE0FA0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420,000.00</w:t>
            </w:r>
          </w:p>
        </w:tc>
        <w:tc>
          <w:tcPr>
            <w:tcW w:w="1316" w:type="dxa"/>
            <w:tcBorders>
              <w:top w:val="single" w:sz="4" w:space="0" w:color="auto"/>
              <w:left w:val="nil"/>
              <w:bottom w:val="nil"/>
              <w:right w:val="single" w:sz="4" w:space="0" w:color="auto"/>
            </w:tcBorders>
            <w:noWrap/>
            <w:vAlign w:val="bottom"/>
            <w:hideMark/>
          </w:tcPr>
          <w:p w14:paraId="1AE465E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3,620,000</w:t>
            </w:r>
          </w:p>
        </w:tc>
        <w:tc>
          <w:tcPr>
            <w:tcW w:w="1316" w:type="dxa"/>
            <w:tcBorders>
              <w:top w:val="single" w:sz="4" w:space="0" w:color="auto"/>
              <w:left w:val="nil"/>
              <w:bottom w:val="nil"/>
              <w:right w:val="single" w:sz="4" w:space="0" w:color="auto"/>
            </w:tcBorders>
            <w:noWrap/>
            <w:vAlign w:val="bottom"/>
            <w:hideMark/>
          </w:tcPr>
          <w:p w14:paraId="472587A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600,000</w:t>
            </w:r>
          </w:p>
        </w:tc>
        <w:tc>
          <w:tcPr>
            <w:tcW w:w="1316" w:type="dxa"/>
            <w:tcBorders>
              <w:top w:val="single" w:sz="4" w:space="0" w:color="auto"/>
              <w:left w:val="nil"/>
              <w:bottom w:val="nil"/>
              <w:right w:val="single" w:sz="4" w:space="0" w:color="auto"/>
            </w:tcBorders>
            <w:noWrap/>
            <w:vAlign w:val="bottom"/>
            <w:hideMark/>
          </w:tcPr>
          <w:p w14:paraId="05D2423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440,000</w:t>
            </w:r>
          </w:p>
        </w:tc>
        <w:tc>
          <w:tcPr>
            <w:tcW w:w="1316" w:type="dxa"/>
            <w:tcBorders>
              <w:top w:val="single" w:sz="4" w:space="0" w:color="auto"/>
              <w:left w:val="nil"/>
              <w:bottom w:val="nil"/>
              <w:right w:val="single" w:sz="4" w:space="0" w:color="auto"/>
            </w:tcBorders>
            <w:noWrap/>
            <w:vAlign w:val="bottom"/>
            <w:hideMark/>
          </w:tcPr>
          <w:p w14:paraId="6E42764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1,340,000</w:t>
            </w:r>
          </w:p>
        </w:tc>
        <w:tc>
          <w:tcPr>
            <w:tcW w:w="1316" w:type="dxa"/>
            <w:tcBorders>
              <w:top w:val="single" w:sz="4" w:space="0" w:color="auto"/>
              <w:left w:val="nil"/>
              <w:bottom w:val="nil"/>
              <w:right w:val="single" w:sz="4" w:space="0" w:color="auto"/>
            </w:tcBorders>
            <w:noWrap/>
            <w:vAlign w:val="bottom"/>
            <w:hideMark/>
          </w:tcPr>
          <w:p w14:paraId="06C0037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600,000</w:t>
            </w:r>
          </w:p>
        </w:tc>
        <w:tc>
          <w:tcPr>
            <w:tcW w:w="1316" w:type="dxa"/>
            <w:tcBorders>
              <w:top w:val="single" w:sz="4" w:space="0" w:color="auto"/>
              <w:left w:val="nil"/>
              <w:bottom w:val="nil"/>
              <w:right w:val="single" w:sz="4" w:space="0" w:color="auto"/>
            </w:tcBorders>
            <w:noWrap/>
            <w:vAlign w:val="bottom"/>
            <w:hideMark/>
          </w:tcPr>
          <w:p w14:paraId="0F50DFE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440,000</w:t>
            </w:r>
          </w:p>
        </w:tc>
      </w:tr>
      <w:tr w:rsidR="00EA0FD7" w:rsidRPr="00EA0FD7" w14:paraId="18268A8E" w14:textId="77777777" w:rsidTr="00EA0FD7">
        <w:trPr>
          <w:trHeight w:val="285"/>
        </w:trPr>
        <w:tc>
          <w:tcPr>
            <w:tcW w:w="1177" w:type="dxa"/>
            <w:tcBorders>
              <w:top w:val="single" w:sz="8" w:space="0" w:color="auto"/>
              <w:left w:val="single" w:sz="8" w:space="0" w:color="auto"/>
              <w:bottom w:val="single" w:sz="8" w:space="0" w:color="auto"/>
              <w:right w:val="single" w:sz="8" w:space="0" w:color="auto"/>
            </w:tcBorders>
            <w:noWrap/>
            <w:vAlign w:val="bottom"/>
            <w:hideMark/>
          </w:tcPr>
          <w:p w14:paraId="10BBAAE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60" w:type="dxa"/>
            <w:tcBorders>
              <w:top w:val="single" w:sz="8" w:space="0" w:color="auto"/>
              <w:left w:val="nil"/>
              <w:bottom w:val="single" w:sz="8" w:space="0" w:color="auto"/>
              <w:right w:val="single" w:sz="8" w:space="0" w:color="auto"/>
            </w:tcBorders>
            <w:noWrap/>
            <w:vAlign w:val="bottom"/>
            <w:hideMark/>
          </w:tcPr>
          <w:p w14:paraId="0A97BB0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411" w:type="dxa"/>
            <w:tcBorders>
              <w:top w:val="single" w:sz="8" w:space="0" w:color="auto"/>
              <w:left w:val="nil"/>
              <w:bottom w:val="single" w:sz="8" w:space="0" w:color="auto"/>
              <w:right w:val="single" w:sz="8" w:space="0" w:color="auto"/>
            </w:tcBorders>
            <w:noWrap/>
            <w:vAlign w:val="bottom"/>
            <w:hideMark/>
          </w:tcPr>
          <w:p w14:paraId="79EFD3D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12,542,264.82</w:t>
            </w:r>
          </w:p>
        </w:tc>
        <w:tc>
          <w:tcPr>
            <w:tcW w:w="1408" w:type="dxa"/>
            <w:tcBorders>
              <w:top w:val="single" w:sz="8" w:space="0" w:color="auto"/>
              <w:left w:val="nil"/>
              <w:bottom w:val="single" w:sz="8" w:space="0" w:color="auto"/>
              <w:right w:val="single" w:sz="8" w:space="0" w:color="auto"/>
            </w:tcBorders>
            <w:noWrap/>
            <w:vAlign w:val="bottom"/>
            <w:hideMark/>
          </w:tcPr>
          <w:p w14:paraId="009EAB1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11,443,638.63</w:t>
            </w:r>
          </w:p>
        </w:tc>
        <w:tc>
          <w:tcPr>
            <w:tcW w:w="1368" w:type="dxa"/>
            <w:tcBorders>
              <w:top w:val="single" w:sz="8" w:space="0" w:color="auto"/>
              <w:left w:val="nil"/>
              <w:bottom w:val="single" w:sz="8" w:space="0" w:color="auto"/>
              <w:right w:val="single" w:sz="8" w:space="0" w:color="auto"/>
            </w:tcBorders>
            <w:noWrap/>
            <w:vAlign w:val="bottom"/>
            <w:hideMark/>
          </w:tcPr>
          <w:p w14:paraId="621625A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13,516,909.83</w:t>
            </w:r>
          </w:p>
        </w:tc>
        <w:tc>
          <w:tcPr>
            <w:tcW w:w="1316" w:type="dxa"/>
            <w:tcBorders>
              <w:top w:val="single" w:sz="8" w:space="0" w:color="auto"/>
              <w:left w:val="nil"/>
              <w:bottom w:val="single" w:sz="8" w:space="0" w:color="auto"/>
              <w:right w:val="single" w:sz="8" w:space="0" w:color="auto"/>
            </w:tcBorders>
            <w:noWrap/>
            <w:vAlign w:val="bottom"/>
            <w:hideMark/>
          </w:tcPr>
          <w:p w14:paraId="06AFA6D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16,734,507</w:t>
            </w:r>
          </w:p>
        </w:tc>
        <w:tc>
          <w:tcPr>
            <w:tcW w:w="1316" w:type="dxa"/>
            <w:tcBorders>
              <w:top w:val="single" w:sz="8" w:space="0" w:color="auto"/>
              <w:left w:val="nil"/>
              <w:bottom w:val="single" w:sz="8" w:space="0" w:color="auto"/>
              <w:right w:val="single" w:sz="8" w:space="0" w:color="auto"/>
            </w:tcBorders>
            <w:noWrap/>
            <w:vAlign w:val="bottom"/>
            <w:hideMark/>
          </w:tcPr>
          <w:p w14:paraId="1BA0D21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13,775,374</w:t>
            </w:r>
          </w:p>
        </w:tc>
        <w:tc>
          <w:tcPr>
            <w:tcW w:w="1316" w:type="dxa"/>
            <w:tcBorders>
              <w:top w:val="single" w:sz="8" w:space="0" w:color="auto"/>
              <w:left w:val="nil"/>
              <w:bottom w:val="single" w:sz="8" w:space="0" w:color="auto"/>
              <w:right w:val="single" w:sz="8" w:space="0" w:color="auto"/>
            </w:tcBorders>
            <w:noWrap/>
            <w:vAlign w:val="bottom"/>
            <w:hideMark/>
          </w:tcPr>
          <w:p w14:paraId="03A773A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13,775,705</w:t>
            </w:r>
          </w:p>
        </w:tc>
        <w:tc>
          <w:tcPr>
            <w:tcW w:w="1316" w:type="dxa"/>
            <w:tcBorders>
              <w:top w:val="single" w:sz="8" w:space="0" w:color="auto"/>
              <w:left w:val="nil"/>
              <w:bottom w:val="single" w:sz="8" w:space="0" w:color="auto"/>
              <w:right w:val="single" w:sz="8" w:space="0" w:color="auto"/>
            </w:tcBorders>
            <w:noWrap/>
            <w:vAlign w:val="bottom"/>
            <w:hideMark/>
          </w:tcPr>
          <w:p w14:paraId="4A0B835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14,454,507</w:t>
            </w:r>
          </w:p>
        </w:tc>
        <w:tc>
          <w:tcPr>
            <w:tcW w:w="1316" w:type="dxa"/>
            <w:tcBorders>
              <w:top w:val="single" w:sz="8" w:space="0" w:color="auto"/>
              <w:left w:val="nil"/>
              <w:bottom w:val="single" w:sz="8" w:space="0" w:color="auto"/>
              <w:right w:val="single" w:sz="8" w:space="0" w:color="auto"/>
            </w:tcBorders>
            <w:noWrap/>
            <w:vAlign w:val="bottom"/>
            <w:hideMark/>
          </w:tcPr>
          <w:p w14:paraId="36BB502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13,775,374</w:t>
            </w:r>
          </w:p>
        </w:tc>
        <w:tc>
          <w:tcPr>
            <w:tcW w:w="1316" w:type="dxa"/>
            <w:tcBorders>
              <w:top w:val="single" w:sz="8" w:space="0" w:color="auto"/>
              <w:left w:val="nil"/>
              <w:bottom w:val="single" w:sz="8" w:space="0" w:color="auto"/>
              <w:right w:val="single" w:sz="8" w:space="0" w:color="auto"/>
            </w:tcBorders>
            <w:noWrap/>
            <w:vAlign w:val="bottom"/>
            <w:hideMark/>
          </w:tcPr>
          <w:p w14:paraId="4AFE484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13,775,705</w:t>
            </w:r>
          </w:p>
        </w:tc>
      </w:tr>
      <w:tr w:rsidR="00EA0FD7" w:rsidRPr="00EA0FD7" w14:paraId="1F42678E" w14:textId="77777777" w:rsidTr="00EA0FD7">
        <w:trPr>
          <w:trHeight w:val="63"/>
        </w:trPr>
        <w:tc>
          <w:tcPr>
            <w:tcW w:w="1177" w:type="dxa"/>
            <w:tcBorders>
              <w:top w:val="nil"/>
              <w:left w:val="single" w:sz="8" w:space="0" w:color="auto"/>
              <w:bottom w:val="single" w:sz="8" w:space="0" w:color="auto"/>
              <w:right w:val="nil"/>
            </w:tcBorders>
            <w:noWrap/>
            <w:vAlign w:val="bottom"/>
            <w:hideMark/>
          </w:tcPr>
          <w:p w14:paraId="199E321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60" w:type="dxa"/>
            <w:tcBorders>
              <w:top w:val="nil"/>
              <w:left w:val="nil"/>
              <w:bottom w:val="single" w:sz="8" w:space="0" w:color="auto"/>
              <w:right w:val="nil"/>
            </w:tcBorders>
            <w:noWrap/>
            <w:vAlign w:val="bottom"/>
            <w:hideMark/>
          </w:tcPr>
          <w:p w14:paraId="64F57C2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11" w:type="dxa"/>
            <w:tcBorders>
              <w:top w:val="nil"/>
              <w:left w:val="nil"/>
              <w:bottom w:val="single" w:sz="8" w:space="0" w:color="auto"/>
              <w:right w:val="nil"/>
            </w:tcBorders>
            <w:noWrap/>
            <w:vAlign w:val="bottom"/>
            <w:hideMark/>
          </w:tcPr>
          <w:p w14:paraId="38A869B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08" w:type="dxa"/>
            <w:tcBorders>
              <w:top w:val="nil"/>
              <w:left w:val="nil"/>
              <w:bottom w:val="single" w:sz="8" w:space="0" w:color="auto"/>
              <w:right w:val="nil"/>
            </w:tcBorders>
            <w:noWrap/>
            <w:vAlign w:val="bottom"/>
            <w:hideMark/>
          </w:tcPr>
          <w:p w14:paraId="2FEC55E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68" w:type="dxa"/>
            <w:tcBorders>
              <w:top w:val="nil"/>
              <w:left w:val="nil"/>
              <w:bottom w:val="single" w:sz="8" w:space="0" w:color="auto"/>
              <w:right w:val="nil"/>
            </w:tcBorders>
            <w:noWrap/>
            <w:vAlign w:val="bottom"/>
            <w:hideMark/>
          </w:tcPr>
          <w:p w14:paraId="18A7DF7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7B340D8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16F7CA3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3B154F4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3B8E886B"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nil"/>
            </w:tcBorders>
            <w:noWrap/>
            <w:vAlign w:val="bottom"/>
            <w:hideMark/>
          </w:tcPr>
          <w:p w14:paraId="66144AD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single" w:sz="8" w:space="0" w:color="auto"/>
            </w:tcBorders>
            <w:noWrap/>
            <w:vAlign w:val="bottom"/>
            <w:hideMark/>
          </w:tcPr>
          <w:p w14:paraId="3388B98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67014625" w14:textId="77777777" w:rsidTr="00EA0FD7">
        <w:trPr>
          <w:trHeight w:val="240"/>
        </w:trPr>
        <w:tc>
          <w:tcPr>
            <w:tcW w:w="1177" w:type="dxa"/>
            <w:tcBorders>
              <w:top w:val="nil"/>
              <w:left w:val="single" w:sz="8" w:space="0" w:color="auto"/>
              <w:bottom w:val="single" w:sz="8" w:space="0" w:color="auto"/>
              <w:right w:val="single" w:sz="8" w:space="0" w:color="auto"/>
            </w:tcBorders>
            <w:noWrap/>
            <w:vAlign w:val="bottom"/>
            <w:hideMark/>
          </w:tcPr>
          <w:p w14:paraId="518B818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60" w:type="dxa"/>
            <w:tcBorders>
              <w:top w:val="nil"/>
              <w:left w:val="nil"/>
              <w:bottom w:val="single" w:sz="8" w:space="0" w:color="auto"/>
              <w:right w:val="single" w:sz="8" w:space="0" w:color="auto"/>
            </w:tcBorders>
            <w:noWrap/>
            <w:vAlign w:val="bottom"/>
            <w:hideMark/>
          </w:tcPr>
          <w:p w14:paraId="6FF6360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411" w:type="dxa"/>
            <w:tcBorders>
              <w:top w:val="nil"/>
              <w:left w:val="nil"/>
              <w:bottom w:val="single" w:sz="8" w:space="0" w:color="auto"/>
              <w:right w:val="single" w:sz="8" w:space="0" w:color="auto"/>
            </w:tcBorders>
            <w:noWrap/>
            <w:vAlign w:val="bottom"/>
            <w:hideMark/>
          </w:tcPr>
          <w:p w14:paraId="53834D4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260</w:t>
            </w:r>
          </w:p>
        </w:tc>
        <w:tc>
          <w:tcPr>
            <w:tcW w:w="1408" w:type="dxa"/>
            <w:tcBorders>
              <w:top w:val="nil"/>
              <w:left w:val="nil"/>
              <w:bottom w:val="single" w:sz="8" w:space="0" w:color="auto"/>
              <w:right w:val="single" w:sz="8" w:space="0" w:color="auto"/>
            </w:tcBorders>
            <w:noWrap/>
            <w:vAlign w:val="bottom"/>
            <w:hideMark/>
          </w:tcPr>
          <w:p w14:paraId="6F39B45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236</w:t>
            </w:r>
          </w:p>
        </w:tc>
        <w:tc>
          <w:tcPr>
            <w:tcW w:w="1368" w:type="dxa"/>
            <w:tcBorders>
              <w:top w:val="nil"/>
              <w:left w:val="nil"/>
              <w:bottom w:val="single" w:sz="8" w:space="0" w:color="auto"/>
              <w:right w:val="single" w:sz="8" w:space="0" w:color="auto"/>
            </w:tcBorders>
            <w:noWrap/>
            <w:vAlign w:val="bottom"/>
            <w:hideMark/>
          </w:tcPr>
          <w:p w14:paraId="13C7D22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260</w:t>
            </w:r>
          </w:p>
        </w:tc>
        <w:tc>
          <w:tcPr>
            <w:tcW w:w="1316" w:type="dxa"/>
            <w:tcBorders>
              <w:top w:val="nil"/>
              <w:left w:val="nil"/>
              <w:bottom w:val="single" w:sz="8" w:space="0" w:color="auto"/>
              <w:right w:val="single" w:sz="8" w:space="0" w:color="auto"/>
            </w:tcBorders>
            <w:noWrap/>
            <w:vAlign w:val="bottom"/>
            <w:hideMark/>
          </w:tcPr>
          <w:p w14:paraId="73D71CA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261</w:t>
            </w:r>
          </w:p>
        </w:tc>
        <w:tc>
          <w:tcPr>
            <w:tcW w:w="1316" w:type="dxa"/>
            <w:tcBorders>
              <w:top w:val="nil"/>
              <w:left w:val="nil"/>
              <w:bottom w:val="single" w:sz="8" w:space="0" w:color="auto"/>
              <w:right w:val="single" w:sz="8" w:space="0" w:color="auto"/>
            </w:tcBorders>
            <w:noWrap/>
            <w:vAlign w:val="bottom"/>
            <w:hideMark/>
          </w:tcPr>
          <w:p w14:paraId="1E72383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261</w:t>
            </w:r>
          </w:p>
        </w:tc>
        <w:tc>
          <w:tcPr>
            <w:tcW w:w="1316" w:type="dxa"/>
            <w:tcBorders>
              <w:top w:val="nil"/>
              <w:left w:val="nil"/>
              <w:bottom w:val="single" w:sz="8" w:space="0" w:color="auto"/>
              <w:right w:val="single" w:sz="8" w:space="0" w:color="auto"/>
            </w:tcBorders>
            <w:noWrap/>
            <w:vAlign w:val="bottom"/>
            <w:hideMark/>
          </w:tcPr>
          <w:p w14:paraId="1EE4376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261</w:t>
            </w:r>
          </w:p>
        </w:tc>
        <w:tc>
          <w:tcPr>
            <w:tcW w:w="1316" w:type="dxa"/>
            <w:tcBorders>
              <w:top w:val="nil"/>
              <w:left w:val="nil"/>
              <w:bottom w:val="single" w:sz="8" w:space="0" w:color="auto"/>
              <w:right w:val="single" w:sz="8" w:space="0" w:color="auto"/>
            </w:tcBorders>
            <w:noWrap/>
            <w:vAlign w:val="bottom"/>
            <w:hideMark/>
          </w:tcPr>
          <w:p w14:paraId="342F447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261</w:t>
            </w:r>
          </w:p>
        </w:tc>
        <w:tc>
          <w:tcPr>
            <w:tcW w:w="1316" w:type="dxa"/>
            <w:tcBorders>
              <w:top w:val="nil"/>
              <w:left w:val="nil"/>
              <w:bottom w:val="single" w:sz="8" w:space="0" w:color="auto"/>
              <w:right w:val="single" w:sz="8" w:space="0" w:color="auto"/>
            </w:tcBorders>
            <w:noWrap/>
            <w:vAlign w:val="bottom"/>
            <w:hideMark/>
          </w:tcPr>
          <w:p w14:paraId="14614F7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261</w:t>
            </w:r>
          </w:p>
        </w:tc>
        <w:tc>
          <w:tcPr>
            <w:tcW w:w="1316" w:type="dxa"/>
            <w:tcBorders>
              <w:top w:val="nil"/>
              <w:left w:val="nil"/>
              <w:bottom w:val="single" w:sz="8" w:space="0" w:color="auto"/>
              <w:right w:val="single" w:sz="8" w:space="0" w:color="auto"/>
            </w:tcBorders>
            <w:noWrap/>
            <w:vAlign w:val="bottom"/>
            <w:hideMark/>
          </w:tcPr>
          <w:p w14:paraId="743316D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261</w:t>
            </w:r>
          </w:p>
        </w:tc>
      </w:tr>
      <w:tr w:rsidR="00EA0FD7" w:rsidRPr="00EA0FD7" w14:paraId="687243AA" w14:textId="77777777" w:rsidTr="00EA0FD7">
        <w:trPr>
          <w:trHeight w:val="240"/>
        </w:trPr>
        <w:tc>
          <w:tcPr>
            <w:tcW w:w="1177" w:type="dxa"/>
            <w:noWrap/>
            <w:vAlign w:val="bottom"/>
          </w:tcPr>
          <w:p w14:paraId="36ECF141"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2460" w:type="dxa"/>
            <w:noWrap/>
            <w:vAlign w:val="bottom"/>
          </w:tcPr>
          <w:p w14:paraId="3AF00F19"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411" w:type="dxa"/>
            <w:noWrap/>
            <w:vAlign w:val="bottom"/>
          </w:tcPr>
          <w:p w14:paraId="26800CAC"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408" w:type="dxa"/>
            <w:noWrap/>
            <w:vAlign w:val="bottom"/>
          </w:tcPr>
          <w:p w14:paraId="1972ED1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p>
        </w:tc>
        <w:tc>
          <w:tcPr>
            <w:tcW w:w="1368" w:type="dxa"/>
            <w:noWrap/>
            <w:vAlign w:val="bottom"/>
          </w:tcPr>
          <w:p w14:paraId="68FF4813"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247CF93D"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6972680F"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650EEB8D"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086F73D7"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36BBBCFF"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5B4E5DD3" w14:textId="77777777" w:rsidR="00EA0FD7" w:rsidRPr="00EA0FD7" w:rsidRDefault="00EA0FD7" w:rsidP="00EA0FD7">
            <w:pPr>
              <w:spacing w:after="0" w:line="240" w:lineRule="auto"/>
              <w:rPr>
                <w:rFonts w:ascii="Arial" w:eastAsia="Times New Roman" w:hAnsi="Arial" w:cs="Arial"/>
                <w:b/>
                <w:bCs/>
                <w:sz w:val="18"/>
                <w:szCs w:val="18"/>
                <w:lang w:val="sr-Cyrl-RS"/>
              </w:rPr>
            </w:pPr>
          </w:p>
        </w:tc>
      </w:tr>
      <w:tr w:rsidR="00EA0FD7" w:rsidRPr="00EA0FD7" w14:paraId="01E9CD90" w14:textId="77777777" w:rsidTr="00EA0FD7">
        <w:trPr>
          <w:trHeight w:val="375"/>
        </w:trPr>
        <w:tc>
          <w:tcPr>
            <w:tcW w:w="5048" w:type="dxa"/>
            <w:gridSpan w:val="3"/>
            <w:tcBorders>
              <w:top w:val="nil"/>
              <w:left w:val="nil"/>
              <w:bottom w:val="single" w:sz="8" w:space="0" w:color="auto"/>
              <w:right w:val="nil"/>
            </w:tcBorders>
            <w:noWrap/>
            <w:vAlign w:val="bottom"/>
            <w:hideMark/>
          </w:tcPr>
          <w:p w14:paraId="029AACB3" w14:textId="604F839C"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13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ПОЛИЦИЈА ДИСТРИКТА </w:t>
            </w:r>
          </w:p>
        </w:tc>
        <w:tc>
          <w:tcPr>
            <w:tcW w:w="1408" w:type="dxa"/>
            <w:noWrap/>
            <w:vAlign w:val="bottom"/>
          </w:tcPr>
          <w:p w14:paraId="02DFFDA3"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68" w:type="dxa"/>
            <w:noWrap/>
            <w:vAlign w:val="bottom"/>
          </w:tcPr>
          <w:p w14:paraId="661208F1"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5CEDF543"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2FE6FD3B"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4B8D9DDE"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12EE3AE6"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58563696"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7E78F8B2"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7BED3E1F" w14:textId="77777777" w:rsidTr="00EA0FD7">
        <w:trPr>
          <w:trHeight w:val="300"/>
        </w:trPr>
        <w:tc>
          <w:tcPr>
            <w:tcW w:w="1177" w:type="dxa"/>
            <w:vMerge w:val="restart"/>
            <w:tcBorders>
              <w:top w:val="nil"/>
              <w:left w:val="single" w:sz="8" w:space="0" w:color="auto"/>
              <w:bottom w:val="single" w:sz="8" w:space="0" w:color="000000"/>
              <w:right w:val="single" w:sz="8" w:space="0" w:color="auto"/>
            </w:tcBorders>
            <w:shd w:val="clear" w:color="auto" w:fill="808080"/>
            <w:vAlign w:val="center"/>
            <w:hideMark/>
          </w:tcPr>
          <w:p w14:paraId="017FBB6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460" w:type="dxa"/>
            <w:vMerge w:val="restart"/>
            <w:tcBorders>
              <w:top w:val="nil"/>
              <w:left w:val="single" w:sz="8" w:space="0" w:color="auto"/>
              <w:bottom w:val="single" w:sz="8" w:space="0" w:color="000000"/>
              <w:right w:val="single" w:sz="8" w:space="0" w:color="auto"/>
            </w:tcBorders>
            <w:shd w:val="clear" w:color="auto" w:fill="808080"/>
            <w:vAlign w:val="center"/>
            <w:hideMark/>
          </w:tcPr>
          <w:p w14:paraId="1C44E05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411" w:type="dxa"/>
            <w:vMerge w:val="restart"/>
            <w:tcBorders>
              <w:top w:val="nil"/>
              <w:left w:val="single" w:sz="8" w:space="0" w:color="auto"/>
              <w:bottom w:val="single" w:sz="8" w:space="0" w:color="000000"/>
              <w:right w:val="single" w:sz="8" w:space="0" w:color="auto"/>
            </w:tcBorders>
            <w:shd w:val="clear" w:color="auto" w:fill="808080"/>
            <w:vAlign w:val="center"/>
            <w:hideMark/>
          </w:tcPr>
          <w:p w14:paraId="19605C5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408"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20C37FB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68"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070836B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6128ADE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70A4C38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0AFEB27E"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57751AAE"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428D62F2"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4519C0AB"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8014966"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698966"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tcBorders>
              <w:top w:val="nil"/>
              <w:left w:val="nil"/>
              <w:bottom w:val="single" w:sz="8" w:space="0" w:color="auto"/>
              <w:right w:val="single" w:sz="4" w:space="0" w:color="auto"/>
            </w:tcBorders>
            <w:shd w:val="clear" w:color="auto" w:fill="808080"/>
            <w:noWrap/>
            <w:vAlign w:val="center"/>
            <w:hideMark/>
          </w:tcPr>
          <w:p w14:paraId="4FC8E280"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68A6172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46D3E88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tcBorders>
              <w:top w:val="nil"/>
              <w:left w:val="nil"/>
              <w:bottom w:val="single" w:sz="8" w:space="0" w:color="auto"/>
              <w:right w:val="single" w:sz="4" w:space="0" w:color="auto"/>
            </w:tcBorders>
            <w:shd w:val="clear" w:color="auto" w:fill="808080"/>
            <w:noWrap/>
            <w:vAlign w:val="center"/>
            <w:hideMark/>
          </w:tcPr>
          <w:p w14:paraId="4A8D1C7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228A311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2A89FEB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31FA59E5" w14:textId="77777777" w:rsidTr="00EA0FD7">
        <w:trPr>
          <w:trHeight w:val="240"/>
        </w:trPr>
        <w:tc>
          <w:tcPr>
            <w:tcW w:w="1177" w:type="dxa"/>
            <w:tcBorders>
              <w:top w:val="nil"/>
              <w:left w:val="single" w:sz="8" w:space="0" w:color="auto"/>
              <w:bottom w:val="single" w:sz="4" w:space="0" w:color="auto"/>
              <w:right w:val="single" w:sz="4" w:space="0" w:color="auto"/>
            </w:tcBorders>
            <w:noWrap/>
            <w:vAlign w:val="bottom"/>
            <w:hideMark/>
          </w:tcPr>
          <w:p w14:paraId="68123BB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60" w:type="dxa"/>
            <w:tcBorders>
              <w:top w:val="nil"/>
              <w:left w:val="nil"/>
              <w:bottom w:val="single" w:sz="4" w:space="0" w:color="auto"/>
              <w:right w:val="single" w:sz="4" w:space="0" w:color="auto"/>
            </w:tcBorders>
            <w:noWrap/>
            <w:vAlign w:val="bottom"/>
            <w:hideMark/>
          </w:tcPr>
          <w:p w14:paraId="1E8A320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411" w:type="dxa"/>
            <w:tcBorders>
              <w:top w:val="nil"/>
              <w:left w:val="nil"/>
              <w:bottom w:val="single" w:sz="4" w:space="0" w:color="auto"/>
              <w:right w:val="single" w:sz="4" w:space="0" w:color="auto"/>
            </w:tcBorders>
            <w:noWrap/>
            <w:vAlign w:val="bottom"/>
            <w:hideMark/>
          </w:tcPr>
          <w:p w14:paraId="36AD054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08" w:type="dxa"/>
            <w:tcBorders>
              <w:top w:val="nil"/>
              <w:left w:val="nil"/>
              <w:bottom w:val="single" w:sz="4" w:space="0" w:color="auto"/>
              <w:right w:val="single" w:sz="4" w:space="0" w:color="auto"/>
            </w:tcBorders>
            <w:noWrap/>
            <w:vAlign w:val="bottom"/>
            <w:hideMark/>
          </w:tcPr>
          <w:p w14:paraId="26AFBE5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68" w:type="dxa"/>
            <w:tcBorders>
              <w:top w:val="nil"/>
              <w:left w:val="nil"/>
              <w:bottom w:val="single" w:sz="4" w:space="0" w:color="auto"/>
              <w:right w:val="single" w:sz="4" w:space="0" w:color="auto"/>
            </w:tcBorders>
            <w:noWrap/>
            <w:vAlign w:val="bottom"/>
            <w:hideMark/>
          </w:tcPr>
          <w:p w14:paraId="3F25279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0F6D3AA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6C6FEE3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1D135E4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0B145B4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26FD8C7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8" w:space="0" w:color="auto"/>
            </w:tcBorders>
            <w:noWrap/>
            <w:vAlign w:val="bottom"/>
            <w:hideMark/>
          </w:tcPr>
          <w:p w14:paraId="68020EB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122D3FDE" w14:textId="77777777" w:rsidTr="00EA0FD7">
        <w:trPr>
          <w:trHeight w:val="480"/>
        </w:trPr>
        <w:tc>
          <w:tcPr>
            <w:tcW w:w="1177" w:type="dxa"/>
            <w:tcBorders>
              <w:top w:val="nil"/>
              <w:left w:val="single" w:sz="8" w:space="0" w:color="auto"/>
              <w:bottom w:val="single" w:sz="4" w:space="0" w:color="auto"/>
              <w:right w:val="single" w:sz="4" w:space="0" w:color="auto"/>
            </w:tcBorders>
            <w:vAlign w:val="bottom"/>
            <w:hideMark/>
          </w:tcPr>
          <w:p w14:paraId="6C57658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460" w:type="dxa"/>
            <w:tcBorders>
              <w:top w:val="nil"/>
              <w:left w:val="nil"/>
              <w:bottom w:val="single" w:sz="4" w:space="0" w:color="auto"/>
              <w:right w:val="single" w:sz="4" w:space="0" w:color="auto"/>
            </w:tcBorders>
            <w:vAlign w:val="bottom"/>
            <w:hideMark/>
          </w:tcPr>
          <w:p w14:paraId="6FDDF25B"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411" w:type="dxa"/>
            <w:tcBorders>
              <w:top w:val="nil"/>
              <w:left w:val="nil"/>
              <w:bottom w:val="single" w:sz="4" w:space="0" w:color="auto"/>
              <w:right w:val="single" w:sz="4" w:space="0" w:color="auto"/>
            </w:tcBorders>
            <w:noWrap/>
            <w:vAlign w:val="bottom"/>
            <w:hideMark/>
          </w:tcPr>
          <w:p w14:paraId="30A78DD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10,793,942.29</w:t>
            </w:r>
          </w:p>
        </w:tc>
        <w:tc>
          <w:tcPr>
            <w:tcW w:w="1408" w:type="dxa"/>
            <w:tcBorders>
              <w:top w:val="nil"/>
              <w:left w:val="nil"/>
              <w:bottom w:val="single" w:sz="4" w:space="0" w:color="auto"/>
              <w:right w:val="single" w:sz="4" w:space="0" w:color="auto"/>
            </w:tcBorders>
            <w:noWrap/>
            <w:vAlign w:val="bottom"/>
            <w:hideMark/>
          </w:tcPr>
          <w:p w14:paraId="26FA140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10,416,248.69</w:t>
            </w:r>
          </w:p>
        </w:tc>
        <w:tc>
          <w:tcPr>
            <w:tcW w:w="1368" w:type="dxa"/>
            <w:tcBorders>
              <w:top w:val="nil"/>
              <w:left w:val="nil"/>
              <w:bottom w:val="single" w:sz="4" w:space="0" w:color="auto"/>
              <w:right w:val="single" w:sz="4" w:space="0" w:color="auto"/>
            </w:tcBorders>
            <w:noWrap/>
            <w:vAlign w:val="bottom"/>
            <w:hideMark/>
          </w:tcPr>
          <w:p w14:paraId="62E01C7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11,013,580.44</w:t>
            </w:r>
          </w:p>
        </w:tc>
        <w:tc>
          <w:tcPr>
            <w:tcW w:w="1316" w:type="dxa"/>
            <w:tcBorders>
              <w:top w:val="nil"/>
              <w:left w:val="nil"/>
              <w:bottom w:val="single" w:sz="4" w:space="0" w:color="auto"/>
              <w:right w:val="single" w:sz="4" w:space="0" w:color="auto"/>
            </w:tcBorders>
            <w:noWrap/>
            <w:vAlign w:val="bottom"/>
            <w:hideMark/>
          </w:tcPr>
          <w:p w14:paraId="4AB1416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11,543,570</w:t>
            </w:r>
          </w:p>
        </w:tc>
        <w:tc>
          <w:tcPr>
            <w:tcW w:w="1316" w:type="dxa"/>
            <w:tcBorders>
              <w:top w:val="nil"/>
              <w:left w:val="nil"/>
              <w:bottom w:val="single" w:sz="4" w:space="0" w:color="auto"/>
              <w:right w:val="single" w:sz="4" w:space="0" w:color="auto"/>
            </w:tcBorders>
            <w:noWrap/>
            <w:vAlign w:val="bottom"/>
            <w:hideMark/>
          </w:tcPr>
          <w:p w14:paraId="0D27A28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11,543,570</w:t>
            </w:r>
          </w:p>
        </w:tc>
        <w:tc>
          <w:tcPr>
            <w:tcW w:w="1316" w:type="dxa"/>
            <w:tcBorders>
              <w:top w:val="nil"/>
              <w:left w:val="nil"/>
              <w:bottom w:val="single" w:sz="4" w:space="0" w:color="auto"/>
              <w:right w:val="single" w:sz="4" w:space="0" w:color="auto"/>
            </w:tcBorders>
            <w:noWrap/>
            <w:vAlign w:val="bottom"/>
            <w:hideMark/>
          </w:tcPr>
          <w:p w14:paraId="4493DEA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11,543,570</w:t>
            </w:r>
          </w:p>
        </w:tc>
        <w:tc>
          <w:tcPr>
            <w:tcW w:w="1316" w:type="dxa"/>
            <w:tcBorders>
              <w:top w:val="nil"/>
              <w:left w:val="nil"/>
              <w:bottom w:val="single" w:sz="4" w:space="0" w:color="auto"/>
              <w:right w:val="single" w:sz="4" w:space="0" w:color="auto"/>
            </w:tcBorders>
            <w:noWrap/>
            <w:vAlign w:val="bottom"/>
            <w:hideMark/>
          </w:tcPr>
          <w:p w14:paraId="77D187E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11,543,570</w:t>
            </w:r>
          </w:p>
        </w:tc>
        <w:tc>
          <w:tcPr>
            <w:tcW w:w="1316" w:type="dxa"/>
            <w:tcBorders>
              <w:top w:val="nil"/>
              <w:left w:val="nil"/>
              <w:bottom w:val="single" w:sz="4" w:space="0" w:color="auto"/>
              <w:right w:val="single" w:sz="4" w:space="0" w:color="auto"/>
            </w:tcBorders>
            <w:noWrap/>
            <w:vAlign w:val="bottom"/>
            <w:hideMark/>
          </w:tcPr>
          <w:p w14:paraId="3C58987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11,543,570</w:t>
            </w:r>
          </w:p>
        </w:tc>
        <w:tc>
          <w:tcPr>
            <w:tcW w:w="1316" w:type="dxa"/>
            <w:tcBorders>
              <w:top w:val="nil"/>
              <w:left w:val="nil"/>
              <w:bottom w:val="single" w:sz="4" w:space="0" w:color="auto"/>
              <w:right w:val="single" w:sz="4" w:space="0" w:color="auto"/>
            </w:tcBorders>
            <w:noWrap/>
            <w:vAlign w:val="bottom"/>
            <w:hideMark/>
          </w:tcPr>
          <w:p w14:paraId="2DDCFEF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11,543,570</w:t>
            </w:r>
          </w:p>
        </w:tc>
      </w:tr>
      <w:tr w:rsidR="00EA0FD7" w:rsidRPr="00EA0FD7" w14:paraId="0243CA32" w14:textId="77777777" w:rsidTr="00EA0FD7">
        <w:trPr>
          <w:trHeight w:val="240"/>
        </w:trPr>
        <w:tc>
          <w:tcPr>
            <w:tcW w:w="1177" w:type="dxa"/>
            <w:tcBorders>
              <w:top w:val="nil"/>
              <w:left w:val="single" w:sz="8" w:space="0" w:color="auto"/>
              <w:bottom w:val="single" w:sz="4" w:space="0" w:color="auto"/>
              <w:right w:val="single" w:sz="4" w:space="0" w:color="auto"/>
            </w:tcBorders>
            <w:noWrap/>
            <w:vAlign w:val="bottom"/>
            <w:hideMark/>
          </w:tcPr>
          <w:p w14:paraId="6CF7D2B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611200</w:t>
            </w:r>
          </w:p>
        </w:tc>
        <w:tc>
          <w:tcPr>
            <w:tcW w:w="2460" w:type="dxa"/>
            <w:tcBorders>
              <w:top w:val="nil"/>
              <w:left w:val="nil"/>
              <w:bottom w:val="single" w:sz="4" w:space="0" w:color="auto"/>
              <w:right w:val="single" w:sz="4" w:space="0" w:color="auto"/>
            </w:tcBorders>
            <w:vAlign w:val="bottom"/>
            <w:hideMark/>
          </w:tcPr>
          <w:p w14:paraId="7A5C3AC7"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411" w:type="dxa"/>
            <w:tcBorders>
              <w:top w:val="nil"/>
              <w:left w:val="nil"/>
              <w:bottom w:val="single" w:sz="4" w:space="0" w:color="auto"/>
              <w:right w:val="single" w:sz="4" w:space="0" w:color="auto"/>
            </w:tcBorders>
            <w:noWrap/>
            <w:vAlign w:val="bottom"/>
            <w:hideMark/>
          </w:tcPr>
          <w:p w14:paraId="3F47E56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328,438.00</w:t>
            </w:r>
          </w:p>
        </w:tc>
        <w:tc>
          <w:tcPr>
            <w:tcW w:w="1408" w:type="dxa"/>
            <w:tcBorders>
              <w:top w:val="nil"/>
              <w:left w:val="nil"/>
              <w:bottom w:val="single" w:sz="4" w:space="0" w:color="auto"/>
              <w:right w:val="single" w:sz="4" w:space="0" w:color="auto"/>
            </w:tcBorders>
            <w:noWrap/>
            <w:vAlign w:val="bottom"/>
            <w:hideMark/>
          </w:tcPr>
          <w:p w14:paraId="44382C5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253,088.00</w:t>
            </w:r>
          </w:p>
        </w:tc>
        <w:tc>
          <w:tcPr>
            <w:tcW w:w="1368" w:type="dxa"/>
            <w:tcBorders>
              <w:top w:val="nil"/>
              <w:left w:val="nil"/>
              <w:bottom w:val="single" w:sz="4" w:space="0" w:color="auto"/>
              <w:right w:val="single" w:sz="4" w:space="0" w:color="auto"/>
            </w:tcBorders>
            <w:noWrap/>
            <w:vAlign w:val="bottom"/>
            <w:hideMark/>
          </w:tcPr>
          <w:p w14:paraId="3A098E2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679,260.00</w:t>
            </w:r>
          </w:p>
        </w:tc>
        <w:tc>
          <w:tcPr>
            <w:tcW w:w="1316" w:type="dxa"/>
            <w:tcBorders>
              <w:top w:val="nil"/>
              <w:left w:val="nil"/>
              <w:bottom w:val="single" w:sz="4" w:space="0" w:color="auto"/>
              <w:right w:val="single" w:sz="4" w:space="0" w:color="auto"/>
            </w:tcBorders>
            <w:noWrap/>
            <w:vAlign w:val="bottom"/>
            <w:hideMark/>
          </w:tcPr>
          <w:p w14:paraId="1B9F166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783,173</w:t>
            </w:r>
          </w:p>
        </w:tc>
        <w:tc>
          <w:tcPr>
            <w:tcW w:w="1316" w:type="dxa"/>
            <w:tcBorders>
              <w:top w:val="nil"/>
              <w:left w:val="nil"/>
              <w:bottom w:val="single" w:sz="4" w:space="0" w:color="auto"/>
              <w:right w:val="single" w:sz="4" w:space="0" w:color="auto"/>
            </w:tcBorders>
            <w:noWrap/>
            <w:vAlign w:val="bottom"/>
            <w:hideMark/>
          </w:tcPr>
          <w:p w14:paraId="412B5C0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783,173</w:t>
            </w:r>
          </w:p>
        </w:tc>
        <w:tc>
          <w:tcPr>
            <w:tcW w:w="1316" w:type="dxa"/>
            <w:tcBorders>
              <w:top w:val="nil"/>
              <w:left w:val="nil"/>
              <w:bottom w:val="single" w:sz="4" w:space="0" w:color="auto"/>
              <w:right w:val="single" w:sz="4" w:space="0" w:color="auto"/>
            </w:tcBorders>
            <w:noWrap/>
            <w:vAlign w:val="bottom"/>
            <w:hideMark/>
          </w:tcPr>
          <w:p w14:paraId="3775BCD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783,173</w:t>
            </w:r>
          </w:p>
        </w:tc>
        <w:tc>
          <w:tcPr>
            <w:tcW w:w="1316" w:type="dxa"/>
            <w:tcBorders>
              <w:top w:val="nil"/>
              <w:left w:val="nil"/>
              <w:bottom w:val="single" w:sz="4" w:space="0" w:color="auto"/>
              <w:right w:val="single" w:sz="4" w:space="0" w:color="auto"/>
            </w:tcBorders>
            <w:noWrap/>
            <w:vAlign w:val="bottom"/>
            <w:hideMark/>
          </w:tcPr>
          <w:p w14:paraId="3AD9CD6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783,173</w:t>
            </w:r>
          </w:p>
        </w:tc>
        <w:tc>
          <w:tcPr>
            <w:tcW w:w="1316" w:type="dxa"/>
            <w:tcBorders>
              <w:top w:val="nil"/>
              <w:left w:val="nil"/>
              <w:bottom w:val="single" w:sz="4" w:space="0" w:color="auto"/>
              <w:right w:val="single" w:sz="4" w:space="0" w:color="auto"/>
            </w:tcBorders>
            <w:noWrap/>
            <w:vAlign w:val="bottom"/>
            <w:hideMark/>
          </w:tcPr>
          <w:p w14:paraId="50A9F80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783,173</w:t>
            </w:r>
          </w:p>
        </w:tc>
        <w:tc>
          <w:tcPr>
            <w:tcW w:w="1316" w:type="dxa"/>
            <w:tcBorders>
              <w:top w:val="nil"/>
              <w:left w:val="nil"/>
              <w:bottom w:val="single" w:sz="4" w:space="0" w:color="auto"/>
              <w:right w:val="single" w:sz="4" w:space="0" w:color="auto"/>
            </w:tcBorders>
            <w:noWrap/>
            <w:vAlign w:val="bottom"/>
            <w:hideMark/>
          </w:tcPr>
          <w:p w14:paraId="239E12C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783,173</w:t>
            </w:r>
          </w:p>
        </w:tc>
      </w:tr>
      <w:tr w:rsidR="00EA0FD7" w:rsidRPr="00EA0FD7" w14:paraId="47C09D88" w14:textId="77777777" w:rsidTr="00EA0FD7">
        <w:trPr>
          <w:trHeight w:val="480"/>
        </w:trPr>
        <w:tc>
          <w:tcPr>
            <w:tcW w:w="1177" w:type="dxa"/>
            <w:tcBorders>
              <w:top w:val="nil"/>
              <w:left w:val="single" w:sz="8" w:space="0" w:color="auto"/>
              <w:bottom w:val="single" w:sz="4" w:space="0" w:color="auto"/>
              <w:right w:val="single" w:sz="4" w:space="0" w:color="auto"/>
            </w:tcBorders>
            <w:noWrap/>
            <w:vAlign w:val="bottom"/>
            <w:hideMark/>
          </w:tcPr>
          <w:p w14:paraId="7DB0887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460" w:type="dxa"/>
            <w:tcBorders>
              <w:top w:val="nil"/>
              <w:left w:val="nil"/>
              <w:bottom w:val="single" w:sz="4" w:space="0" w:color="auto"/>
              <w:right w:val="single" w:sz="4" w:space="0" w:color="auto"/>
            </w:tcBorders>
            <w:vAlign w:val="bottom"/>
            <w:hideMark/>
          </w:tcPr>
          <w:p w14:paraId="78707F85"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411" w:type="dxa"/>
            <w:tcBorders>
              <w:top w:val="nil"/>
              <w:left w:val="nil"/>
              <w:bottom w:val="single" w:sz="4" w:space="0" w:color="auto"/>
              <w:right w:val="single" w:sz="4" w:space="0" w:color="auto"/>
            </w:tcBorders>
            <w:noWrap/>
            <w:vAlign w:val="bottom"/>
            <w:hideMark/>
          </w:tcPr>
          <w:p w14:paraId="0ED901F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2,018,550.00</w:t>
            </w:r>
          </w:p>
        </w:tc>
        <w:tc>
          <w:tcPr>
            <w:tcW w:w="1408" w:type="dxa"/>
            <w:tcBorders>
              <w:top w:val="nil"/>
              <w:left w:val="nil"/>
              <w:bottom w:val="single" w:sz="4" w:space="0" w:color="auto"/>
              <w:right w:val="single" w:sz="4" w:space="0" w:color="auto"/>
            </w:tcBorders>
            <w:noWrap/>
            <w:vAlign w:val="bottom"/>
            <w:hideMark/>
          </w:tcPr>
          <w:p w14:paraId="362C07F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1,585,913.25</w:t>
            </w:r>
          </w:p>
        </w:tc>
        <w:tc>
          <w:tcPr>
            <w:tcW w:w="1368" w:type="dxa"/>
            <w:tcBorders>
              <w:top w:val="nil"/>
              <w:left w:val="nil"/>
              <w:bottom w:val="single" w:sz="4" w:space="0" w:color="auto"/>
              <w:right w:val="single" w:sz="4" w:space="0" w:color="auto"/>
            </w:tcBorders>
            <w:noWrap/>
            <w:vAlign w:val="bottom"/>
            <w:hideMark/>
          </w:tcPr>
          <w:p w14:paraId="523A55E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1,469,491.00</w:t>
            </w:r>
          </w:p>
        </w:tc>
        <w:tc>
          <w:tcPr>
            <w:tcW w:w="1316" w:type="dxa"/>
            <w:tcBorders>
              <w:top w:val="nil"/>
              <w:left w:val="nil"/>
              <w:bottom w:val="single" w:sz="4" w:space="0" w:color="auto"/>
              <w:right w:val="single" w:sz="4" w:space="0" w:color="auto"/>
            </w:tcBorders>
            <w:noWrap/>
            <w:vAlign w:val="bottom"/>
            <w:hideMark/>
          </w:tcPr>
          <w:p w14:paraId="22FEBAE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3,206,586</w:t>
            </w:r>
          </w:p>
        </w:tc>
        <w:tc>
          <w:tcPr>
            <w:tcW w:w="1316" w:type="dxa"/>
            <w:tcBorders>
              <w:top w:val="nil"/>
              <w:left w:val="nil"/>
              <w:bottom w:val="single" w:sz="4" w:space="0" w:color="auto"/>
              <w:right w:val="single" w:sz="4" w:space="0" w:color="auto"/>
            </w:tcBorders>
            <w:noWrap/>
            <w:vAlign w:val="bottom"/>
            <w:hideMark/>
          </w:tcPr>
          <w:p w14:paraId="215572B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3,206,586</w:t>
            </w:r>
          </w:p>
        </w:tc>
        <w:tc>
          <w:tcPr>
            <w:tcW w:w="1316" w:type="dxa"/>
            <w:tcBorders>
              <w:top w:val="nil"/>
              <w:left w:val="nil"/>
              <w:bottom w:val="single" w:sz="4" w:space="0" w:color="auto"/>
              <w:right w:val="single" w:sz="4" w:space="0" w:color="auto"/>
            </w:tcBorders>
            <w:noWrap/>
            <w:vAlign w:val="bottom"/>
            <w:hideMark/>
          </w:tcPr>
          <w:p w14:paraId="661F53F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3,206,586</w:t>
            </w:r>
          </w:p>
        </w:tc>
        <w:tc>
          <w:tcPr>
            <w:tcW w:w="1316" w:type="dxa"/>
            <w:tcBorders>
              <w:top w:val="nil"/>
              <w:left w:val="nil"/>
              <w:bottom w:val="single" w:sz="4" w:space="0" w:color="auto"/>
              <w:right w:val="single" w:sz="4" w:space="0" w:color="auto"/>
            </w:tcBorders>
            <w:noWrap/>
            <w:vAlign w:val="bottom"/>
            <w:hideMark/>
          </w:tcPr>
          <w:p w14:paraId="5AE4F10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2,206,586</w:t>
            </w:r>
          </w:p>
        </w:tc>
        <w:tc>
          <w:tcPr>
            <w:tcW w:w="1316" w:type="dxa"/>
            <w:tcBorders>
              <w:top w:val="nil"/>
              <w:left w:val="nil"/>
              <w:bottom w:val="single" w:sz="4" w:space="0" w:color="auto"/>
              <w:right w:val="single" w:sz="4" w:space="0" w:color="auto"/>
            </w:tcBorders>
            <w:noWrap/>
            <w:vAlign w:val="bottom"/>
            <w:hideMark/>
          </w:tcPr>
          <w:p w14:paraId="1BFEE87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3,206,586</w:t>
            </w:r>
          </w:p>
        </w:tc>
        <w:tc>
          <w:tcPr>
            <w:tcW w:w="1316" w:type="dxa"/>
            <w:tcBorders>
              <w:top w:val="nil"/>
              <w:left w:val="nil"/>
              <w:bottom w:val="single" w:sz="4" w:space="0" w:color="auto"/>
              <w:right w:val="single" w:sz="4" w:space="0" w:color="auto"/>
            </w:tcBorders>
            <w:noWrap/>
            <w:vAlign w:val="bottom"/>
            <w:hideMark/>
          </w:tcPr>
          <w:p w14:paraId="1D28F80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3,206,586</w:t>
            </w:r>
          </w:p>
        </w:tc>
      </w:tr>
      <w:tr w:rsidR="00EA0FD7" w:rsidRPr="00EA0FD7" w14:paraId="0FD09DEF" w14:textId="77777777" w:rsidTr="00EA0FD7">
        <w:trPr>
          <w:trHeight w:val="480"/>
        </w:trPr>
        <w:tc>
          <w:tcPr>
            <w:tcW w:w="1177" w:type="dxa"/>
            <w:tcBorders>
              <w:top w:val="nil"/>
              <w:left w:val="single" w:sz="8" w:space="0" w:color="auto"/>
              <w:bottom w:val="single" w:sz="4" w:space="0" w:color="auto"/>
              <w:right w:val="single" w:sz="4" w:space="0" w:color="auto"/>
            </w:tcBorders>
            <w:vAlign w:val="bottom"/>
            <w:hideMark/>
          </w:tcPr>
          <w:p w14:paraId="4368349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614000</w:t>
            </w:r>
          </w:p>
        </w:tc>
        <w:tc>
          <w:tcPr>
            <w:tcW w:w="2460" w:type="dxa"/>
            <w:tcBorders>
              <w:top w:val="nil"/>
              <w:left w:val="nil"/>
              <w:bottom w:val="single" w:sz="4" w:space="0" w:color="auto"/>
              <w:right w:val="single" w:sz="4" w:space="0" w:color="auto"/>
            </w:tcBorders>
            <w:vAlign w:val="bottom"/>
            <w:hideMark/>
          </w:tcPr>
          <w:p w14:paraId="0FB63197"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411" w:type="dxa"/>
            <w:tcBorders>
              <w:top w:val="nil"/>
              <w:left w:val="nil"/>
              <w:bottom w:val="single" w:sz="4" w:space="0" w:color="auto"/>
              <w:right w:val="single" w:sz="4" w:space="0" w:color="auto"/>
            </w:tcBorders>
            <w:noWrap/>
            <w:vAlign w:val="bottom"/>
            <w:hideMark/>
          </w:tcPr>
          <w:p w14:paraId="5B99323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80,000.00</w:t>
            </w:r>
          </w:p>
        </w:tc>
        <w:tc>
          <w:tcPr>
            <w:tcW w:w="1408" w:type="dxa"/>
            <w:tcBorders>
              <w:top w:val="nil"/>
              <w:left w:val="nil"/>
              <w:bottom w:val="single" w:sz="4" w:space="0" w:color="auto"/>
              <w:right w:val="single" w:sz="4" w:space="0" w:color="auto"/>
            </w:tcBorders>
            <w:noWrap/>
            <w:vAlign w:val="bottom"/>
            <w:hideMark/>
          </w:tcPr>
          <w:p w14:paraId="1F274E7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56,835.70</w:t>
            </w:r>
          </w:p>
        </w:tc>
        <w:tc>
          <w:tcPr>
            <w:tcW w:w="1368" w:type="dxa"/>
            <w:tcBorders>
              <w:top w:val="nil"/>
              <w:left w:val="nil"/>
              <w:bottom w:val="single" w:sz="4" w:space="0" w:color="auto"/>
              <w:right w:val="single" w:sz="4" w:space="0" w:color="auto"/>
            </w:tcBorders>
            <w:noWrap/>
            <w:vAlign w:val="bottom"/>
            <w:hideMark/>
          </w:tcPr>
          <w:p w14:paraId="41F98B0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80,000.00</w:t>
            </w:r>
          </w:p>
        </w:tc>
        <w:tc>
          <w:tcPr>
            <w:tcW w:w="1316" w:type="dxa"/>
            <w:tcBorders>
              <w:top w:val="nil"/>
              <w:left w:val="nil"/>
              <w:bottom w:val="single" w:sz="4" w:space="0" w:color="auto"/>
              <w:right w:val="single" w:sz="4" w:space="0" w:color="auto"/>
            </w:tcBorders>
            <w:noWrap/>
            <w:vAlign w:val="bottom"/>
            <w:hideMark/>
          </w:tcPr>
          <w:p w14:paraId="1D56C7E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80,000</w:t>
            </w:r>
          </w:p>
        </w:tc>
        <w:tc>
          <w:tcPr>
            <w:tcW w:w="1316" w:type="dxa"/>
            <w:tcBorders>
              <w:top w:val="nil"/>
              <w:left w:val="nil"/>
              <w:bottom w:val="single" w:sz="4" w:space="0" w:color="auto"/>
              <w:right w:val="single" w:sz="4" w:space="0" w:color="auto"/>
            </w:tcBorders>
            <w:noWrap/>
            <w:vAlign w:val="bottom"/>
            <w:hideMark/>
          </w:tcPr>
          <w:p w14:paraId="253F021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80,000</w:t>
            </w:r>
          </w:p>
        </w:tc>
        <w:tc>
          <w:tcPr>
            <w:tcW w:w="1316" w:type="dxa"/>
            <w:tcBorders>
              <w:top w:val="nil"/>
              <w:left w:val="nil"/>
              <w:bottom w:val="single" w:sz="4" w:space="0" w:color="auto"/>
              <w:right w:val="single" w:sz="4" w:space="0" w:color="auto"/>
            </w:tcBorders>
            <w:noWrap/>
            <w:vAlign w:val="bottom"/>
            <w:hideMark/>
          </w:tcPr>
          <w:p w14:paraId="7D410AA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80,000</w:t>
            </w:r>
          </w:p>
        </w:tc>
        <w:tc>
          <w:tcPr>
            <w:tcW w:w="1316" w:type="dxa"/>
            <w:tcBorders>
              <w:top w:val="nil"/>
              <w:left w:val="nil"/>
              <w:bottom w:val="single" w:sz="4" w:space="0" w:color="auto"/>
              <w:right w:val="single" w:sz="4" w:space="0" w:color="auto"/>
            </w:tcBorders>
            <w:noWrap/>
            <w:vAlign w:val="bottom"/>
            <w:hideMark/>
          </w:tcPr>
          <w:p w14:paraId="43423C4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80,000</w:t>
            </w:r>
          </w:p>
        </w:tc>
        <w:tc>
          <w:tcPr>
            <w:tcW w:w="1316" w:type="dxa"/>
            <w:tcBorders>
              <w:top w:val="nil"/>
              <w:left w:val="nil"/>
              <w:bottom w:val="single" w:sz="4" w:space="0" w:color="auto"/>
              <w:right w:val="single" w:sz="4" w:space="0" w:color="auto"/>
            </w:tcBorders>
            <w:noWrap/>
            <w:vAlign w:val="bottom"/>
            <w:hideMark/>
          </w:tcPr>
          <w:p w14:paraId="5F10203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80,000</w:t>
            </w:r>
          </w:p>
        </w:tc>
        <w:tc>
          <w:tcPr>
            <w:tcW w:w="1316" w:type="dxa"/>
            <w:tcBorders>
              <w:top w:val="nil"/>
              <w:left w:val="nil"/>
              <w:bottom w:val="single" w:sz="4" w:space="0" w:color="auto"/>
              <w:right w:val="single" w:sz="4" w:space="0" w:color="auto"/>
            </w:tcBorders>
            <w:noWrap/>
            <w:vAlign w:val="bottom"/>
            <w:hideMark/>
          </w:tcPr>
          <w:p w14:paraId="08B12B2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80,000</w:t>
            </w:r>
          </w:p>
        </w:tc>
      </w:tr>
      <w:tr w:rsidR="00EA0FD7" w:rsidRPr="00EA0FD7" w14:paraId="7B041539" w14:textId="77777777" w:rsidTr="00EA0FD7">
        <w:trPr>
          <w:trHeight w:val="240"/>
        </w:trPr>
        <w:tc>
          <w:tcPr>
            <w:tcW w:w="1177" w:type="dxa"/>
            <w:tcBorders>
              <w:top w:val="nil"/>
              <w:left w:val="single" w:sz="8" w:space="0" w:color="auto"/>
              <w:bottom w:val="nil"/>
              <w:right w:val="single" w:sz="4" w:space="0" w:color="auto"/>
            </w:tcBorders>
            <w:vAlign w:val="bottom"/>
            <w:hideMark/>
          </w:tcPr>
          <w:p w14:paraId="5147807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615000</w:t>
            </w:r>
          </w:p>
        </w:tc>
        <w:tc>
          <w:tcPr>
            <w:tcW w:w="2460" w:type="dxa"/>
            <w:tcBorders>
              <w:top w:val="nil"/>
              <w:left w:val="nil"/>
              <w:bottom w:val="nil"/>
              <w:right w:val="single" w:sz="4" w:space="0" w:color="auto"/>
            </w:tcBorders>
            <w:vAlign w:val="bottom"/>
            <w:hideMark/>
          </w:tcPr>
          <w:p w14:paraId="3F190AC2"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411" w:type="dxa"/>
            <w:tcBorders>
              <w:top w:val="nil"/>
              <w:left w:val="nil"/>
              <w:bottom w:val="nil"/>
              <w:right w:val="single" w:sz="4" w:space="0" w:color="auto"/>
            </w:tcBorders>
            <w:noWrap/>
            <w:vAlign w:val="bottom"/>
            <w:hideMark/>
          </w:tcPr>
          <w:p w14:paraId="3EBE9C0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408" w:type="dxa"/>
            <w:tcBorders>
              <w:top w:val="nil"/>
              <w:left w:val="nil"/>
              <w:bottom w:val="nil"/>
              <w:right w:val="single" w:sz="4" w:space="0" w:color="auto"/>
            </w:tcBorders>
            <w:noWrap/>
            <w:vAlign w:val="bottom"/>
            <w:hideMark/>
          </w:tcPr>
          <w:p w14:paraId="3174936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68" w:type="dxa"/>
            <w:tcBorders>
              <w:top w:val="nil"/>
              <w:left w:val="nil"/>
              <w:bottom w:val="nil"/>
              <w:right w:val="single" w:sz="4" w:space="0" w:color="auto"/>
            </w:tcBorders>
            <w:noWrap/>
            <w:vAlign w:val="bottom"/>
            <w:hideMark/>
          </w:tcPr>
          <w:p w14:paraId="6048C97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single" w:sz="4" w:space="0" w:color="auto"/>
              <w:right w:val="single" w:sz="4" w:space="0" w:color="auto"/>
            </w:tcBorders>
            <w:noWrap/>
            <w:vAlign w:val="bottom"/>
            <w:hideMark/>
          </w:tcPr>
          <w:p w14:paraId="6365A04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4CC30A5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717105D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17FB1A6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173175FB"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5F87E25E"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w:t>
            </w:r>
          </w:p>
        </w:tc>
      </w:tr>
      <w:tr w:rsidR="00EA0FD7" w:rsidRPr="00EA0FD7" w14:paraId="38183A58" w14:textId="77777777" w:rsidTr="00EA0FD7">
        <w:trPr>
          <w:trHeight w:val="480"/>
        </w:trPr>
        <w:tc>
          <w:tcPr>
            <w:tcW w:w="1177" w:type="dxa"/>
            <w:tcBorders>
              <w:top w:val="single" w:sz="4" w:space="0" w:color="auto"/>
              <w:left w:val="single" w:sz="8" w:space="0" w:color="auto"/>
              <w:bottom w:val="nil"/>
              <w:right w:val="single" w:sz="4" w:space="0" w:color="auto"/>
            </w:tcBorders>
            <w:noWrap/>
            <w:vAlign w:val="bottom"/>
            <w:hideMark/>
          </w:tcPr>
          <w:p w14:paraId="66AF2D2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821000</w:t>
            </w:r>
          </w:p>
        </w:tc>
        <w:tc>
          <w:tcPr>
            <w:tcW w:w="2460" w:type="dxa"/>
            <w:tcBorders>
              <w:top w:val="single" w:sz="4" w:space="0" w:color="auto"/>
              <w:left w:val="nil"/>
              <w:bottom w:val="nil"/>
              <w:right w:val="single" w:sz="4" w:space="0" w:color="auto"/>
            </w:tcBorders>
            <w:vAlign w:val="bottom"/>
            <w:hideMark/>
          </w:tcPr>
          <w:p w14:paraId="6965391E"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411" w:type="dxa"/>
            <w:tcBorders>
              <w:top w:val="single" w:sz="4" w:space="0" w:color="auto"/>
              <w:left w:val="nil"/>
              <w:bottom w:val="nil"/>
              <w:right w:val="single" w:sz="4" w:space="0" w:color="auto"/>
            </w:tcBorders>
            <w:noWrap/>
            <w:vAlign w:val="bottom"/>
            <w:hideMark/>
          </w:tcPr>
          <w:p w14:paraId="6B4D13F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2,556,654.42</w:t>
            </w:r>
          </w:p>
        </w:tc>
        <w:tc>
          <w:tcPr>
            <w:tcW w:w="1408" w:type="dxa"/>
            <w:tcBorders>
              <w:top w:val="single" w:sz="4" w:space="0" w:color="auto"/>
              <w:left w:val="nil"/>
              <w:bottom w:val="nil"/>
              <w:right w:val="single" w:sz="4" w:space="0" w:color="auto"/>
            </w:tcBorders>
            <w:noWrap/>
            <w:vAlign w:val="bottom"/>
            <w:hideMark/>
          </w:tcPr>
          <w:p w14:paraId="0703729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18,238.50</w:t>
            </w:r>
          </w:p>
        </w:tc>
        <w:tc>
          <w:tcPr>
            <w:tcW w:w="1368" w:type="dxa"/>
            <w:tcBorders>
              <w:top w:val="single" w:sz="4" w:space="0" w:color="auto"/>
              <w:left w:val="nil"/>
              <w:bottom w:val="nil"/>
              <w:right w:val="single" w:sz="4" w:space="0" w:color="auto"/>
            </w:tcBorders>
            <w:noWrap/>
            <w:vAlign w:val="bottom"/>
            <w:hideMark/>
          </w:tcPr>
          <w:p w14:paraId="2A50344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1,967,100.00</w:t>
            </w:r>
          </w:p>
        </w:tc>
        <w:tc>
          <w:tcPr>
            <w:tcW w:w="1316" w:type="dxa"/>
            <w:tcBorders>
              <w:top w:val="nil"/>
              <w:left w:val="nil"/>
              <w:bottom w:val="nil"/>
              <w:right w:val="single" w:sz="4" w:space="0" w:color="auto"/>
            </w:tcBorders>
            <w:noWrap/>
            <w:vAlign w:val="bottom"/>
            <w:hideMark/>
          </w:tcPr>
          <w:p w14:paraId="61F208F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4,584,000</w:t>
            </w:r>
          </w:p>
        </w:tc>
        <w:tc>
          <w:tcPr>
            <w:tcW w:w="1316" w:type="dxa"/>
            <w:tcBorders>
              <w:top w:val="nil"/>
              <w:left w:val="nil"/>
              <w:bottom w:val="nil"/>
              <w:right w:val="single" w:sz="4" w:space="0" w:color="auto"/>
            </w:tcBorders>
            <w:noWrap/>
            <w:vAlign w:val="bottom"/>
            <w:hideMark/>
          </w:tcPr>
          <w:p w14:paraId="1D4FCE8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517,000</w:t>
            </w:r>
          </w:p>
        </w:tc>
        <w:tc>
          <w:tcPr>
            <w:tcW w:w="1316" w:type="dxa"/>
            <w:tcBorders>
              <w:top w:val="nil"/>
              <w:left w:val="nil"/>
              <w:bottom w:val="nil"/>
              <w:right w:val="single" w:sz="4" w:space="0" w:color="auto"/>
            </w:tcBorders>
            <w:noWrap/>
            <w:vAlign w:val="bottom"/>
            <w:hideMark/>
          </w:tcPr>
          <w:p w14:paraId="19B27A6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411,000</w:t>
            </w:r>
          </w:p>
        </w:tc>
        <w:tc>
          <w:tcPr>
            <w:tcW w:w="1316" w:type="dxa"/>
            <w:tcBorders>
              <w:top w:val="nil"/>
              <w:left w:val="nil"/>
              <w:bottom w:val="nil"/>
              <w:right w:val="single" w:sz="4" w:space="0" w:color="auto"/>
            </w:tcBorders>
            <w:noWrap/>
            <w:vAlign w:val="bottom"/>
            <w:hideMark/>
          </w:tcPr>
          <w:p w14:paraId="6F0F13E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3,084,000</w:t>
            </w:r>
          </w:p>
        </w:tc>
        <w:tc>
          <w:tcPr>
            <w:tcW w:w="1316" w:type="dxa"/>
            <w:tcBorders>
              <w:top w:val="nil"/>
              <w:left w:val="nil"/>
              <w:bottom w:val="nil"/>
              <w:right w:val="single" w:sz="4" w:space="0" w:color="auto"/>
            </w:tcBorders>
            <w:noWrap/>
            <w:vAlign w:val="bottom"/>
            <w:hideMark/>
          </w:tcPr>
          <w:p w14:paraId="307AF46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517,000</w:t>
            </w:r>
          </w:p>
        </w:tc>
        <w:tc>
          <w:tcPr>
            <w:tcW w:w="1316" w:type="dxa"/>
            <w:tcBorders>
              <w:top w:val="nil"/>
              <w:left w:val="nil"/>
              <w:bottom w:val="nil"/>
              <w:right w:val="single" w:sz="4" w:space="0" w:color="auto"/>
            </w:tcBorders>
            <w:noWrap/>
            <w:vAlign w:val="bottom"/>
            <w:hideMark/>
          </w:tcPr>
          <w:p w14:paraId="780021A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411,000</w:t>
            </w:r>
          </w:p>
        </w:tc>
      </w:tr>
      <w:tr w:rsidR="00EA0FD7" w:rsidRPr="00EA0FD7" w14:paraId="5112B341" w14:textId="77777777" w:rsidTr="00EA0FD7">
        <w:trPr>
          <w:trHeight w:val="285"/>
        </w:trPr>
        <w:tc>
          <w:tcPr>
            <w:tcW w:w="1177" w:type="dxa"/>
            <w:tcBorders>
              <w:top w:val="single" w:sz="8" w:space="0" w:color="auto"/>
              <w:left w:val="single" w:sz="8" w:space="0" w:color="auto"/>
              <w:bottom w:val="single" w:sz="8" w:space="0" w:color="auto"/>
              <w:right w:val="single" w:sz="8" w:space="0" w:color="auto"/>
            </w:tcBorders>
            <w:noWrap/>
            <w:vAlign w:val="bottom"/>
            <w:hideMark/>
          </w:tcPr>
          <w:p w14:paraId="148315D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lastRenderedPageBreak/>
              <w:t> </w:t>
            </w:r>
          </w:p>
        </w:tc>
        <w:tc>
          <w:tcPr>
            <w:tcW w:w="2460" w:type="dxa"/>
            <w:tcBorders>
              <w:top w:val="single" w:sz="8" w:space="0" w:color="auto"/>
              <w:left w:val="nil"/>
              <w:bottom w:val="single" w:sz="8" w:space="0" w:color="auto"/>
              <w:right w:val="single" w:sz="8" w:space="0" w:color="auto"/>
            </w:tcBorders>
            <w:noWrap/>
            <w:vAlign w:val="bottom"/>
            <w:hideMark/>
          </w:tcPr>
          <w:p w14:paraId="03E8B03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411" w:type="dxa"/>
            <w:tcBorders>
              <w:top w:val="single" w:sz="8" w:space="0" w:color="auto"/>
              <w:left w:val="nil"/>
              <w:bottom w:val="single" w:sz="8" w:space="0" w:color="auto"/>
              <w:right w:val="single" w:sz="8" w:space="0" w:color="auto"/>
            </w:tcBorders>
            <w:noWrap/>
            <w:vAlign w:val="bottom"/>
            <w:hideMark/>
          </w:tcPr>
          <w:p w14:paraId="10BD1E2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15,777,584.71</w:t>
            </w:r>
          </w:p>
        </w:tc>
        <w:tc>
          <w:tcPr>
            <w:tcW w:w="1408" w:type="dxa"/>
            <w:tcBorders>
              <w:top w:val="single" w:sz="8" w:space="0" w:color="auto"/>
              <w:left w:val="nil"/>
              <w:bottom w:val="single" w:sz="8" w:space="0" w:color="auto"/>
              <w:right w:val="single" w:sz="8" w:space="0" w:color="auto"/>
            </w:tcBorders>
            <w:noWrap/>
            <w:vAlign w:val="bottom"/>
            <w:hideMark/>
          </w:tcPr>
          <w:p w14:paraId="423A6E6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12,330,324.14</w:t>
            </w:r>
          </w:p>
        </w:tc>
        <w:tc>
          <w:tcPr>
            <w:tcW w:w="1368" w:type="dxa"/>
            <w:tcBorders>
              <w:top w:val="single" w:sz="8" w:space="0" w:color="auto"/>
              <w:left w:val="nil"/>
              <w:bottom w:val="single" w:sz="8" w:space="0" w:color="auto"/>
              <w:right w:val="single" w:sz="8" w:space="0" w:color="auto"/>
            </w:tcBorders>
            <w:noWrap/>
            <w:vAlign w:val="bottom"/>
            <w:hideMark/>
          </w:tcPr>
          <w:p w14:paraId="56AAFE2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15,209,431.44</w:t>
            </w:r>
          </w:p>
        </w:tc>
        <w:tc>
          <w:tcPr>
            <w:tcW w:w="1316" w:type="dxa"/>
            <w:tcBorders>
              <w:top w:val="single" w:sz="8" w:space="0" w:color="auto"/>
              <w:left w:val="nil"/>
              <w:bottom w:val="single" w:sz="8" w:space="0" w:color="auto"/>
              <w:right w:val="single" w:sz="8" w:space="0" w:color="auto"/>
            </w:tcBorders>
            <w:noWrap/>
            <w:vAlign w:val="bottom"/>
            <w:hideMark/>
          </w:tcPr>
          <w:p w14:paraId="78E5CF1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20,197,329</w:t>
            </w:r>
          </w:p>
        </w:tc>
        <w:tc>
          <w:tcPr>
            <w:tcW w:w="1316" w:type="dxa"/>
            <w:tcBorders>
              <w:top w:val="single" w:sz="8" w:space="0" w:color="auto"/>
              <w:left w:val="nil"/>
              <w:bottom w:val="single" w:sz="8" w:space="0" w:color="auto"/>
              <w:right w:val="single" w:sz="8" w:space="0" w:color="auto"/>
            </w:tcBorders>
            <w:noWrap/>
            <w:vAlign w:val="bottom"/>
            <w:hideMark/>
          </w:tcPr>
          <w:p w14:paraId="2347E31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16,130,329</w:t>
            </w:r>
          </w:p>
        </w:tc>
        <w:tc>
          <w:tcPr>
            <w:tcW w:w="1316" w:type="dxa"/>
            <w:tcBorders>
              <w:top w:val="single" w:sz="8" w:space="0" w:color="auto"/>
              <w:left w:val="nil"/>
              <w:bottom w:val="single" w:sz="8" w:space="0" w:color="auto"/>
              <w:right w:val="single" w:sz="8" w:space="0" w:color="auto"/>
            </w:tcBorders>
            <w:noWrap/>
            <w:vAlign w:val="bottom"/>
            <w:hideMark/>
          </w:tcPr>
          <w:p w14:paraId="17E04C9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16,024,329</w:t>
            </w:r>
          </w:p>
        </w:tc>
        <w:tc>
          <w:tcPr>
            <w:tcW w:w="1316" w:type="dxa"/>
            <w:tcBorders>
              <w:top w:val="single" w:sz="8" w:space="0" w:color="auto"/>
              <w:left w:val="nil"/>
              <w:bottom w:val="single" w:sz="8" w:space="0" w:color="auto"/>
              <w:right w:val="single" w:sz="8" w:space="0" w:color="auto"/>
            </w:tcBorders>
            <w:noWrap/>
            <w:vAlign w:val="bottom"/>
            <w:hideMark/>
          </w:tcPr>
          <w:p w14:paraId="12E7F9A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17,697,329</w:t>
            </w:r>
          </w:p>
        </w:tc>
        <w:tc>
          <w:tcPr>
            <w:tcW w:w="1316" w:type="dxa"/>
            <w:tcBorders>
              <w:top w:val="single" w:sz="8" w:space="0" w:color="auto"/>
              <w:left w:val="nil"/>
              <w:bottom w:val="single" w:sz="8" w:space="0" w:color="auto"/>
              <w:right w:val="single" w:sz="8" w:space="0" w:color="auto"/>
            </w:tcBorders>
            <w:noWrap/>
            <w:vAlign w:val="bottom"/>
            <w:hideMark/>
          </w:tcPr>
          <w:p w14:paraId="6861549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16,130,329</w:t>
            </w:r>
          </w:p>
        </w:tc>
        <w:tc>
          <w:tcPr>
            <w:tcW w:w="1316" w:type="dxa"/>
            <w:tcBorders>
              <w:top w:val="single" w:sz="8" w:space="0" w:color="auto"/>
              <w:left w:val="nil"/>
              <w:bottom w:val="single" w:sz="8" w:space="0" w:color="auto"/>
              <w:right w:val="single" w:sz="8" w:space="0" w:color="auto"/>
            </w:tcBorders>
            <w:noWrap/>
            <w:vAlign w:val="bottom"/>
            <w:hideMark/>
          </w:tcPr>
          <w:p w14:paraId="78F7AF7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16,024,329</w:t>
            </w:r>
          </w:p>
        </w:tc>
      </w:tr>
      <w:tr w:rsidR="00EA0FD7" w:rsidRPr="00EA0FD7" w14:paraId="3937DF12" w14:textId="77777777" w:rsidTr="00EA0FD7">
        <w:trPr>
          <w:trHeight w:val="210"/>
        </w:trPr>
        <w:tc>
          <w:tcPr>
            <w:tcW w:w="1177" w:type="dxa"/>
            <w:tcBorders>
              <w:top w:val="nil"/>
              <w:left w:val="single" w:sz="8" w:space="0" w:color="auto"/>
              <w:bottom w:val="single" w:sz="8" w:space="0" w:color="auto"/>
              <w:right w:val="nil"/>
            </w:tcBorders>
            <w:noWrap/>
            <w:vAlign w:val="bottom"/>
            <w:hideMark/>
          </w:tcPr>
          <w:p w14:paraId="5573B4C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60" w:type="dxa"/>
            <w:tcBorders>
              <w:top w:val="nil"/>
              <w:left w:val="nil"/>
              <w:bottom w:val="single" w:sz="8" w:space="0" w:color="auto"/>
              <w:right w:val="nil"/>
            </w:tcBorders>
            <w:noWrap/>
            <w:vAlign w:val="bottom"/>
            <w:hideMark/>
          </w:tcPr>
          <w:p w14:paraId="52EB334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11" w:type="dxa"/>
            <w:tcBorders>
              <w:top w:val="nil"/>
              <w:left w:val="nil"/>
              <w:bottom w:val="single" w:sz="8" w:space="0" w:color="auto"/>
              <w:right w:val="nil"/>
            </w:tcBorders>
            <w:noWrap/>
            <w:vAlign w:val="bottom"/>
            <w:hideMark/>
          </w:tcPr>
          <w:p w14:paraId="241ADD5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08" w:type="dxa"/>
            <w:tcBorders>
              <w:top w:val="nil"/>
              <w:left w:val="nil"/>
              <w:bottom w:val="single" w:sz="8" w:space="0" w:color="auto"/>
              <w:right w:val="nil"/>
            </w:tcBorders>
            <w:noWrap/>
            <w:vAlign w:val="bottom"/>
            <w:hideMark/>
          </w:tcPr>
          <w:p w14:paraId="35AB504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68" w:type="dxa"/>
            <w:tcBorders>
              <w:top w:val="nil"/>
              <w:left w:val="nil"/>
              <w:bottom w:val="single" w:sz="8" w:space="0" w:color="auto"/>
              <w:right w:val="nil"/>
            </w:tcBorders>
            <w:noWrap/>
            <w:vAlign w:val="bottom"/>
            <w:hideMark/>
          </w:tcPr>
          <w:p w14:paraId="08340B5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4FA4B88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7D476F9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3891440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37EACB48"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nil"/>
            </w:tcBorders>
            <w:noWrap/>
            <w:vAlign w:val="bottom"/>
            <w:hideMark/>
          </w:tcPr>
          <w:p w14:paraId="458558BB"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single" w:sz="8" w:space="0" w:color="auto"/>
            </w:tcBorders>
            <w:noWrap/>
            <w:vAlign w:val="bottom"/>
            <w:hideMark/>
          </w:tcPr>
          <w:p w14:paraId="27A9D407"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1E5756D4" w14:textId="77777777" w:rsidTr="00EA0FD7">
        <w:trPr>
          <w:trHeight w:val="240"/>
        </w:trPr>
        <w:tc>
          <w:tcPr>
            <w:tcW w:w="1177" w:type="dxa"/>
            <w:tcBorders>
              <w:top w:val="nil"/>
              <w:left w:val="single" w:sz="8" w:space="0" w:color="auto"/>
              <w:bottom w:val="single" w:sz="8" w:space="0" w:color="auto"/>
              <w:right w:val="single" w:sz="8" w:space="0" w:color="auto"/>
            </w:tcBorders>
            <w:noWrap/>
            <w:vAlign w:val="bottom"/>
            <w:hideMark/>
          </w:tcPr>
          <w:p w14:paraId="2F7576C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60" w:type="dxa"/>
            <w:tcBorders>
              <w:top w:val="nil"/>
              <w:left w:val="nil"/>
              <w:bottom w:val="single" w:sz="8" w:space="0" w:color="auto"/>
              <w:right w:val="single" w:sz="8" w:space="0" w:color="auto"/>
            </w:tcBorders>
            <w:noWrap/>
            <w:vAlign w:val="bottom"/>
            <w:hideMark/>
          </w:tcPr>
          <w:p w14:paraId="485B785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411" w:type="dxa"/>
            <w:tcBorders>
              <w:top w:val="nil"/>
              <w:left w:val="nil"/>
              <w:bottom w:val="single" w:sz="8" w:space="0" w:color="auto"/>
              <w:right w:val="single" w:sz="8" w:space="0" w:color="auto"/>
            </w:tcBorders>
            <w:noWrap/>
            <w:vAlign w:val="bottom"/>
            <w:hideMark/>
          </w:tcPr>
          <w:p w14:paraId="782410E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333</w:t>
            </w:r>
          </w:p>
        </w:tc>
        <w:tc>
          <w:tcPr>
            <w:tcW w:w="1408" w:type="dxa"/>
            <w:tcBorders>
              <w:top w:val="nil"/>
              <w:left w:val="nil"/>
              <w:bottom w:val="single" w:sz="8" w:space="0" w:color="auto"/>
              <w:right w:val="single" w:sz="8" w:space="0" w:color="auto"/>
            </w:tcBorders>
            <w:noWrap/>
            <w:vAlign w:val="bottom"/>
            <w:hideMark/>
          </w:tcPr>
          <w:p w14:paraId="1AA90DF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321</w:t>
            </w:r>
          </w:p>
        </w:tc>
        <w:tc>
          <w:tcPr>
            <w:tcW w:w="1368" w:type="dxa"/>
            <w:tcBorders>
              <w:top w:val="nil"/>
              <w:left w:val="nil"/>
              <w:bottom w:val="single" w:sz="8" w:space="0" w:color="auto"/>
              <w:right w:val="single" w:sz="8" w:space="0" w:color="auto"/>
            </w:tcBorders>
            <w:noWrap/>
            <w:vAlign w:val="bottom"/>
            <w:hideMark/>
          </w:tcPr>
          <w:p w14:paraId="628A72D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333</w:t>
            </w:r>
          </w:p>
        </w:tc>
        <w:tc>
          <w:tcPr>
            <w:tcW w:w="1316" w:type="dxa"/>
            <w:tcBorders>
              <w:top w:val="nil"/>
              <w:left w:val="nil"/>
              <w:bottom w:val="single" w:sz="8" w:space="0" w:color="auto"/>
              <w:right w:val="single" w:sz="8" w:space="0" w:color="auto"/>
            </w:tcBorders>
            <w:noWrap/>
            <w:vAlign w:val="bottom"/>
            <w:hideMark/>
          </w:tcPr>
          <w:p w14:paraId="7465347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333</w:t>
            </w:r>
          </w:p>
        </w:tc>
        <w:tc>
          <w:tcPr>
            <w:tcW w:w="1316" w:type="dxa"/>
            <w:tcBorders>
              <w:top w:val="nil"/>
              <w:left w:val="nil"/>
              <w:bottom w:val="single" w:sz="8" w:space="0" w:color="auto"/>
              <w:right w:val="single" w:sz="8" w:space="0" w:color="auto"/>
            </w:tcBorders>
            <w:noWrap/>
            <w:vAlign w:val="bottom"/>
            <w:hideMark/>
          </w:tcPr>
          <w:p w14:paraId="699BA60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333</w:t>
            </w:r>
          </w:p>
        </w:tc>
        <w:tc>
          <w:tcPr>
            <w:tcW w:w="1316" w:type="dxa"/>
            <w:tcBorders>
              <w:top w:val="nil"/>
              <w:left w:val="nil"/>
              <w:bottom w:val="single" w:sz="8" w:space="0" w:color="auto"/>
              <w:right w:val="single" w:sz="8" w:space="0" w:color="auto"/>
            </w:tcBorders>
            <w:noWrap/>
            <w:vAlign w:val="bottom"/>
            <w:hideMark/>
          </w:tcPr>
          <w:p w14:paraId="133E50A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333</w:t>
            </w:r>
          </w:p>
        </w:tc>
        <w:tc>
          <w:tcPr>
            <w:tcW w:w="1316" w:type="dxa"/>
            <w:tcBorders>
              <w:top w:val="nil"/>
              <w:left w:val="nil"/>
              <w:bottom w:val="single" w:sz="8" w:space="0" w:color="auto"/>
              <w:right w:val="single" w:sz="8" w:space="0" w:color="auto"/>
            </w:tcBorders>
            <w:noWrap/>
            <w:vAlign w:val="bottom"/>
            <w:hideMark/>
          </w:tcPr>
          <w:p w14:paraId="58A93A9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333</w:t>
            </w:r>
          </w:p>
        </w:tc>
        <w:tc>
          <w:tcPr>
            <w:tcW w:w="1316" w:type="dxa"/>
            <w:tcBorders>
              <w:top w:val="nil"/>
              <w:left w:val="nil"/>
              <w:bottom w:val="single" w:sz="8" w:space="0" w:color="auto"/>
              <w:right w:val="single" w:sz="8" w:space="0" w:color="auto"/>
            </w:tcBorders>
            <w:noWrap/>
            <w:vAlign w:val="bottom"/>
            <w:hideMark/>
          </w:tcPr>
          <w:p w14:paraId="6F3A5CF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333</w:t>
            </w:r>
          </w:p>
        </w:tc>
        <w:tc>
          <w:tcPr>
            <w:tcW w:w="1316" w:type="dxa"/>
            <w:tcBorders>
              <w:top w:val="nil"/>
              <w:left w:val="nil"/>
              <w:bottom w:val="single" w:sz="8" w:space="0" w:color="auto"/>
              <w:right w:val="single" w:sz="8" w:space="0" w:color="auto"/>
            </w:tcBorders>
            <w:noWrap/>
            <w:vAlign w:val="bottom"/>
            <w:hideMark/>
          </w:tcPr>
          <w:p w14:paraId="2D0E72D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333</w:t>
            </w:r>
          </w:p>
        </w:tc>
      </w:tr>
    </w:tbl>
    <w:p w14:paraId="17AABE83" w14:textId="77777777" w:rsidR="00EA0FD7" w:rsidRPr="00EA0FD7" w:rsidRDefault="00EA0FD7" w:rsidP="00EA0FD7">
      <w:pPr>
        <w:spacing w:after="0" w:line="240" w:lineRule="auto"/>
        <w:jc w:val="both"/>
        <w:rPr>
          <w:rFonts w:ascii="Times New Roman" w:eastAsia="Times New Roman" w:hAnsi="Times New Roman" w:cs="Times New Roman"/>
          <w:bCs/>
          <w:sz w:val="24"/>
          <w:lang w:val="sr-Cyrl-RS" w:eastAsia="hr-HR"/>
        </w:rPr>
      </w:pPr>
    </w:p>
    <w:tbl>
      <w:tblPr>
        <w:tblW w:w="15688" w:type="dxa"/>
        <w:tblInd w:w="108" w:type="dxa"/>
        <w:tblLook w:val="04A0" w:firstRow="1" w:lastRow="0" w:firstColumn="1" w:lastColumn="0" w:noHBand="0" w:noVBand="1"/>
      </w:tblPr>
      <w:tblGrid>
        <w:gridCol w:w="1212"/>
        <w:gridCol w:w="2544"/>
        <w:gridCol w:w="1352"/>
        <w:gridCol w:w="1348"/>
        <w:gridCol w:w="1336"/>
        <w:gridCol w:w="1316"/>
        <w:gridCol w:w="1316"/>
        <w:gridCol w:w="1316"/>
        <w:gridCol w:w="1316"/>
        <w:gridCol w:w="1316"/>
        <w:gridCol w:w="1316"/>
      </w:tblGrid>
      <w:tr w:rsidR="00EA0FD7" w:rsidRPr="00EA0FD7" w14:paraId="599CB711" w14:textId="77777777" w:rsidTr="00EA0FD7">
        <w:trPr>
          <w:trHeight w:val="345"/>
        </w:trPr>
        <w:tc>
          <w:tcPr>
            <w:tcW w:w="6456" w:type="dxa"/>
            <w:gridSpan w:val="4"/>
            <w:tcBorders>
              <w:top w:val="nil"/>
              <w:left w:val="nil"/>
              <w:bottom w:val="single" w:sz="8" w:space="0" w:color="auto"/>
              <w:right w:val="nil"/>
            </w:tcBorders>
            <w:noWrap/>
            <w:vAlign w:val="bottom"/>
            <w:hideMark/>
          </w:tcPr>
          <w:p w14:paraId="0C5B639C" w14:textId="6D5F0A6C"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14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ОДЈЕЉЕЊЕ ЗА ЈАВНУ </w:t>
            </w:r>
            <w:r w:rsidR="00752F04">
              <w:rPr>
                <w:rFonts w:ascii="Arial" w:eastAsia="Times New Roman" w:hAnsi="Arial" w:cs="Arial"/>
                <w:b/>
                <w:bCs/>
                <w:sz w:val="20"/>
                <w:szCs w:val="20"/>
                <w:lang w:val="sr-Cyrl-RS"/>
              </w:rPr>
              <w:t>БЕЗБЈЕДНОСТ</w:t>
            </w:r>
          </w:p>
        </w:tc>
        <w:tc>
          <w:tcPr>
            <w:tcW w:w="1336" w:type="dxa"/>
            <w:noWrap/>
            <w:vAlign w:val="bottom"/>
          </w:tcPr>
          <w:p w14:paraId="29091E1B"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5DD4C1C1"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461A020C"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6ECD66A4"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58E78B13"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45CF4E84"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3D03E609"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1B11D109" w14:textId="77777777" w:rsidTr="00EA0FD7">
        <w:trPr>
          <w:trHeight w:val="300"/>
        </w:trPr>
        <w:tc>
          <w:tcPr>
            <w:tcW w:w="1212" w:type="dxa"/>
            <w:vMerge w:val="restart"/>
            <w:tcBorders>
              <w:top w:val="nil"/>
              <w:left w:val="single" w:sz="8" w:space="0" w:color="auto"/>
              <w:bottom w:val="single" w:sz="8" w:space="0" w:color="000000"/>
              <w:right w:val="single" w:sz="8" w:space="0" w:color="auto"/>
            </w:tcBorders>
            <w:shd w:val="clear" w:color="auto" w:fill="808080"/>
            <w:vAlign w:val="center"/>
            <w:hideMark/>
          </w:tcPr>
          <w:p w14:paraId="6C27F22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544" w:type="dxa"/>
            <w:vMerge w:val="restart"/>
            <w:tcBorders>
              <w:top w:val="nil"/>
              <w:left w:val="single" w:sz="8" w:space="0" w:color="auto"/>
              <w:bottom w:val="single" w:sz="8" w:space="0" w:color="000000"/>
              <w:right w:val="single" w:sz="8" w:space="0" w:color="auto"/>
            </w:tcBorders>
            <w:shd w:val="clear" w:color="auto" w:fill="808080"/>
            <w:vAlign w:val="center"/>
            <w:hideMark/>
          </w:tcPr>
          <w:p w14:paraId="53826A8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352" w:type="dxa"/>
            <w:vMerge w:val="restart"/>
            <w:tcBorders>
              <w:top w:val="nil"/>
              <w:left w:val="single" w:sz="8" w:space="0" w:color="auto"/>
              <w:bottom w:val="single" w:sz="8" w:space="0" w:color="000000"/>
              <w:right w:val="single" w:sz="8" w:space="0" w:color="auto"/>
            </w:tcBorders>
            <w:shd w:val="clear" w:color="auto" w:fill="808080"/>
            <w:vAlign w:val="center"/>
            <w:hideMark/>
          </w:tcPr>
          <w:p w14:paraId="4D3CE60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348" w:type="dxa"/>
            <w:vMerge w:val="restart"/>
            <w:tcBorders>
              <w:top w:val="nil"/>
              <w:left w:val="single" w:sz="8" w:space="0" w:color="auto"/>
              <w:bottom w:val="single" w:sz="8" w:space="0" w:color="000000"/>
              <w:right w:val="single" w:sz="8" w:space="0" w:color="auto"/>
            </w:tcBorders>
            <w:shd w:val="clear" w:color="auto" w:fill="808080"/>
            <w:vAlign w:val="center"/>
            <w:hideMark/>
          </w:tcPr>
          <w:p w14:paraId="34525EF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36"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5712B05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03045F7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59CFFC60"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2D20C1EC"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158D0ECE"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5F7DA1B7"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71B1E21D"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503C5D4F"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D47365"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tcBorders>
              <w:top w:val="nil"/>
              <w:left w:val="nil"/>
              <w:bottom w:val="single" w:sz="8" w:space="0" w:color="auto"/>
              <w:right w:val="single" w:sz="4" w:space="0" w:color="auto"/>
            </w:tcBorders>
            <w:shd w:val="clear" w:color="auto" w:fill="808080"/>
            <w:noWrap/>
            <w:vAlign w:val="center"/>
            <w:hideMark/>
          </w:tcPr>
          <w:p w14:paraId="0F5BBF6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4DCAF131"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7D93BAA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tcBorders>
              <w:top w:val="nil"/>
              <w:left w:val="nil"/>
              <w:bottom w:val="single" w:sz="8" w:space="0" w:color="auto"/>
              <w:right w:val="single" w:sz="4" w:space="0" w:color="auto"/>
            </w:tcBorders>
            <w:shd w:val="clear" w:color="auto" w:fill="808080"/>
            <w:noWrap/>
            <w:vAlign w:val="center"/>
            <w:hideMark/>
          </w:tcPr>
          <w:p w14:paraId="276D121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1E5C638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596259E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62FA232F" w14:textId="77777777" w:rsidTr="00EA0FD7">
        <w:trPr>
          <w:trHeight w:val="240"/>
        </w:trPr>
        <w:tc>
          <w:tcPr>
            <w:tcW w:w="1212" w:type="dxa"/>
            <w:tcBorders>
              <w:top w:val="nil"/>
              <w:left w:val="single" w:sz="8" w:space="0" w:color="auto"/>
              <w:bottom w:val="single" w:sz="4" w:space="0" w:color="auto"/>
              <w:right w:val="single" w:sz="4" w:space="0" w:color="auto"/>
            </w:tcBorders>
            <w:noWrap/>
            <w:vAlign w:val="bottom"/>
            <w:hideMark/>
          </w:tcPr>
          <w:p w14:paraId="5CBC58F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44" w:type="dxa"/>
            <w:tcBorders>
              <w:top w:val="nil"/>
              <w:left w:val="nil"/>
              <w:bottom w:val="single" w:sz="4" w:space="0" w:color="auto"/>
              <w:right w:val="single" w:sz="4" w:space="0" w:color="auto"/>
            </w:tcBorders>
            <w:noWrap/>
            <w:vAlign w:val="bottom"/>
            <w:hideMark/>
          </w:tcPr>
          <w:p w14:paraId="40AEF57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352" w:type="dxa"/>
            <w:tcBorders>
              <w:top w:val="nil"/>
              <w:left w:val="nil"/>
              <w:bottom w:val="single" w:sz="4" w:space="0" w:color="auto"/>
              <w:right w:val="single" w:sz="4" w:space="0" w:color="auto"/>
            </w:tcBorders>
            <w:noWrap/>
            <w:vAlign w:val="bottom"/>
            <w:hideMark/>
          </w:tcPr>
          <w:p w14:paraId="130AE2D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48" w:type="dxa"/>
            <w:tcBorders>
              <w:top w:val="nil"/>
              <w:left w:val="nil"/>
              <w:bottom w:val="single" w:sz="4" w:space="0" w:color="auto"/>
              <w:right w:val="single" w:sz="4" w:space="0" w:color="auto"/>
            </w:tcBorders>
            <w:noWrap/>
            <w:vAlign w:val="bottom"/>
            <w:hideMark/>
          </w:tcPr>
          <w:p w14:paraId="23AD367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tcBorders>
              <w:top w:val="nil"/>
              <w:left w:val="nil"/>
              <w:bottom w:val="single" w:sz="4" w:space="0" w:color="auto"/>
              <w:right w:val="single" w:sz="4" w:space="0" w:color="auto"/>
            </w:tcBorders>
            <w:noWrap/>
            <w:vAlign w:val="bottom"/>
            <w:hideMark/>
          </w:tcPr>
          <w:p w14:paraId="470E227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044DA09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311603B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349954E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795BF2F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5784088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8" w:space="0" w:color="auto"/>
            </w:tcBorders>
            <w:noWrap/>
            <w:vAlign w:val="bottom"/>
            <w:hideMark/>
          </w:tcPr>
          <w:p w14:paraId="7F47079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745A1024" w14:textId="77777777" w:rsidTr="00EA0FD7">
        <w:trPr>
          <w:trHeight w:val="480"/>
        </w:trPr>
        <w:tc>
          <w:tcPr>
            <w:tcW w:w="1212" w:type="dxa"/>
            <w:tcBorders>
              <w:top w:val="nil"/>
              <w:left w:val="single" w:sz="8" w:space="0" w:color="auto"/>
              <w:bottom w:val="single" w:sz="4" w:space="0" w:color="auto"/>
              <w:right w:val="single" w:sz="4" w:space="0" w:color="auto"/>
            </w:tcBorders>
            <w:vAlign w:val="bottom"/>
            <w:hideMark/>
          </w:tcPr>
          <w:p w14:paraId="3124B64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544" w:type="dxa"/>
            <w:tcBorders>
              <w:top w:val="nil"/>
              <w:left w:val="nil"/>
              <w:bottom w:val="single" w:sz="4" w:space="0" w:color="auto"/>
              <w:right w:val="single" w:sz="4" w:space="0" w:color="auto"/>
            </w:tcBorders>
            <w:vAlign w:val="bottom"/>
            <w:hideMark/>
          </w:tcPr>
          <w:p w14:paraId="68720428"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352" w:type="dxa"/>
            <w:tcBorders>
              <w:top w:val="nil"/>
              <w:left w:val="nil"/>
              <w:bottom w:val="single" w:sz="4" w:space="0" w:color="auto"/>
              <w:right w:val="single" w:sz="4" w:space="0" w:color="auto"/>
            </w:tcBorders>
            <w:noWrap/>
            <w:vAlign w:val="bottom"/>
            <w:hideMark/>
          </w:tcPr>
          <w:p w14:paraId="7916531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4,287,275.73</w:t>
            </w:r>
          </w:p>
        </w:tc>
        <w:tc>
          <w:tcPr>
            <w:tcW w:w="1348" w:type="dxa"/>
            <w:tcBorders>
              <w:top w:val="nil"/>
              <w:left w:val="nil"/>
              <w:bottom w:val="single" w:sz="4" w:space="0" w:color="auto"/>
              <w:right w:val="single" w:sz="4" w:space="0" w:color="auto"/>
            </w:tcBorders>
            <w:noWrap/>
            <w:vAlign w:val="bottom"/>
            <w:hideMark/>
          </w:tcPr>
          <w:p w14:paraId="687F5E8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3,994,509.33</w:t>
            </w:r>
          </w:p>
        </w:tc>
        <w:tc>
          <w:tcPr>
            <w:tcW w:w="1336" w:type="dxa"/>
            <w:tcBorders>
              <w:top w:val="nil"/>
              <w:left w:val="nil"/>
              <w:bottom w:val="single" w:sz="4" w:space="0" w:color="auto"/>
              <w:right w:val="single" w:sz="4" w:space="0" w:color="auto"/>
            </w:tcBorders>
            <w:noWrap/>
            <w:vAlign w:val="bottom"/>
            <w:hideMark/>
          </w:tcPr>
          <w:p w14:paraId="795AE09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4,857,096.22</w:t>
            </w:r>
          </w:p>
        </w:tc>
        <w:tc>
          <w:tcPr>
            <w:tcW w:w="1316" w:type="dxa"/>
            <w:tcBorders>
              <w:top w:val="nil"/>
              <w:left w:val="nil"/>
              <w:bottom w:val="single" w:sz="4" w:space="0" w:color="auto"/>
              <w:right w:val="single" w:sz="4" w:space="0" w:color="auto"/>
            </w:tcBorders>
            <w:noWrap/>
            <w:vAlign w:val="bottom"/>
            <w:hideMark/>
          </w:tcPr>
          <w:p w14:paraId="2E6823B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5,336,983</w:t>
            </w:r>
          </w:p>
        </w:tc>
        <w:tc>
          <w:tcPr>
            <w:tcW w:w="1316" w:type="dxa"/>
            <w:tcBorders>
              <w:top w:val="nil"/>
              <w:left w:val="nil"/>
              <w:bottom w:val="single" w:sz="4" w:space="0" w:color="auto"/>
              <w:right w:val="single" w:sz="4" w:space="0" w:color="auto"/>
            </w:tcBorders>
            <w:noWrap/>
            <w:vAlign w:val="bottom"/>
            <w:hideMark/>
          </w:tcPr>
          <w:p w14:paraId="6C2E989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5,336,983</w:t>
            </w:r>
          </w:p>
        </w:tc>
        <w:tc>
          <w:tcPr>
            <w:tcW w:w="1316" w:type="dxa"/>
            <w:tcBorders>
              <w:top w:val="nil"/>
              <w:left w:val="nil"/>
              <w:bottom w:val="single" w:sz="4" w:space="0" w:color="auto"/>
              <w:right w:val="single" w:sz="4" w:space="0" w:color="auto"/>
            </w:tcBorders>
            <w:noWrap/>
            <w:vAlign w:val="bottom"/>
            <w:hideMark/>
          </w:tcPr>
          <w:p w14:paraId="52A1B24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5,336,983</w:t>
            </w:r>
          </w:p>
        </w:tc>
        <w:tc>
          <w:tcPr>
            <w:tcW w:w="1316" w:type="dxa"/>
            <w:tcBorders>
              <w:top w:val="nil"/>
              <w:left w:val="nil"/>
              <w:bottom w:val="single" w:sz="4" w:space="0" w:color="auto"/>
              <w:right w:val="single" w:sz="4" w:space="0" w:color="auto"/>
            </w:tcBorders>
            <w:noWrap/>
            <w:vAlign w:val="bottom"/>
            <w:hideMark/>
          </w:tcPr>
          <w:p w14:paraId="20410F5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5,336,983</w:t>
            </w:r>
          </w:p>
        </w:tc>
        <w:tc>
          <w:tcPr>
            <w:tcW w:w="1316" w:type="dxa"/>
            <w:tcBorders>
              <w:top w:val="nil"/>
              <w:left w:val="nil"/>
              <w:bottom w:val="single" w:sz="4" w:space="0" w:color="auto"/>
              <w:right w:val="single" w:sz="4" w:space="0" w:color="auto"/>
            </w:tcBorders>
            <w:noWrap/>
            <w:vAlign w:val="bottom"/>
            <w:hideMark/>
          </w:tcPr>
          <w:p w14:paraId="7AF6ED6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5,336,983</w:t>
            </w:r>
          </w:p>
        </w:tc>
        <w:tc>
          <w:tcPr>
            <w:tcW w:w="1316" w:type="dxa"/>
            <w:tcBorders>
              <w:top w:val="nil"/>
              <w:left w:val="nil"/>
              <w:bottom w:val="single" w:sz="4" w:space="0" w:color="auto"/>
              <w:right w:val="single" w:sz="4" w:space="0" w:color="auto"/>
            </w:tcBorders>
            <w:noWrap/>
            <w:vAlign w:val="bottom"/>
            <w:hideMark/>
          </w:tcPr>
          <w:p w14:paraId="6DFF407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5,336,983</w:t>
            </w:r>
          </w:p>
        </w:tc>
      </w:tr>
      <w:tr w:rsidR="00EA0FD7" w:rsidRPr="00EA0FD7" w14:paraId="61DD6E0F" w14:textId="77777777" w:rsidTr="00EA0FD7">
        <w:trPr>
          <w:trHeight w:val="240"/>
        </w:trPr>
        <w:tc>
          <w:tcPr>
            <w:tcW w:w="1212" w:type="dxa"/>
            <w:tcBorders>
              <w:top w:val="nil"/>
              <w:left w:val="single" w:sz="8" w:space="0" w:color="auto"/>
              <w:bottom w:val="single" w:sz="4" w:space="0" w:color="auto"/>
              <w:right w:val="single" w:sz="4" w:space="0" w:color="auto"/>
            </w:tcBorders>
            <w:noWrap/>
            <w:vAlign w:val="bottom"/>
            <w:hideMark/>
          </w:tcPr>
          <w:p w14:paraId="3E2A245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611200</w:t>
            </w:r>
          </w:p>
        </w:tc>
        <w:tc>
          <w:tcPr>
            <w:tcW w:w="2544" w:type="dxa"/>
            <w:tcBorders>
              <w:top w:val="nil"/>
              <w:left w:val="nil"/>
              <w:bottom w:val="single" w:sz="4" w:space="0" w:color="auto"/>
              <w:right w:val="single" w:sz="4" w:space="0" w:color="auto"/>
            </w:tcBorders>
            <w:vAlign w:val="bottom"/>
            <w:hideMark/>
          </w:tcPr>
          <w:p w14:paraId="71C13A21"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352" w:type="dxa"/>
            <w:tcBorders>
              <w:top w:val="nil"/>
              <w:left w:val="nil"/>
              <w:bottom w:val="single" w:sz="4" w:space="0" w:color="auto"/>
              <w:right w:val="single" w:sz="4" w:space="0" w:color="auto"/>
            </w:tcBorders>
            <w:noWrap/>
            <w:vAlign w:val="bottom"/>
            <w:hideMark/>
          </w:tcPr>
          <w:p w14:paraId="1CDFEEF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98,440.00</w:t>
            </w:r>
          </w:p>
        </w:tc>
        <w:tc>
          <w:tcPr>
            <w:tcW w:w="1348" w:type="dxa"/>
            <w:tcBorders>
              <w:top w:val="nil"/>
              <w:left w:val="nil"/>
              <w:bottom w:val="single" w:sz="4" w:space="0" w:color="auto"/>
              <w:right w:val="single" w:sz="4" w:space="0" w:color="auto"/>
            </w:tcBorders>
            <w:noWrap/>
            <w:vAlign w:val="bottom"/>
            <w:hideMark/>
          </w:tcPr>
          <w:p w14:paraId="55E0221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64,059.22</w:t>
            </w:r>
          </w:p>
        </w:tc>
        <w:tc>
          <w:tcPr>
            <w:tcW w:w="1336" w:type="dxa"/>
            <w:tcBorders>
              <w:top w:val="nil"/>
              <w:left w:val="nil"/>
              <w:bottom w:val="single" w:sz="4" w:space="0" w:color="auto"/>
              <w:right w:val="single" w:sz="4" w:space="0" w:color="auto"/>
            </w:tcBorders>
            <w:noWrap/>
            <w:vAlign w:val="bottom"/>
            <w:hideMark/>
          </w:tcPr>
          <w:p w14:paraId="1287F54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298,560.00</w:t>
            </w:r>
          </w:p>
        </w:tc>
        <w:tc>
          <w:tcPr>
            <w:tcW w:w="1316" w:type="dxa"/>
            <w:tcBorders>
              <w:top w:val="nil"/>
              <w:left w:val="nil"/>
              <w:bottom w:val="single" w:sz="4" w:space="0" w:color="auto"/>
              <w:right w:val="single" w:sz="4" w:space="0" w:color="auto"/>
            </w:tcBorders>
            <w:noWrap/>
            <w:vAlign w:val="bottom"/>
            <w:hideMark/>
          </w:tcPr>
          <w:p w14:paraId="04D9EF2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299,900</w:t>
            </w:r>
          </w:p>
        </w:tc>
        <w:tc>
          <w:tcPr>
            <w:tcW w:w="1316" w:type="dxa"/>
            <w:tcBorders>
              <w:top w:val="nil"/>
              <w:left w:val="nil"/>
              <w:bottom w:val="single" w:sz="4" w:space="0" w:color="auto"/>
              <w:right w:val="single" w:sz="4" w:space="0" w:color="auto"/>
            </w:tcBorders>
            <w:noWrap/>
            <w:vAlign w:val="bottom"/>
            <w:hideMark/>
          </w:tcPr>
          <w:p w14:paraId="37B95C4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299,900</w:t>
            </w:r>
          </w:p>
        </w:tc>
        <w:tc>
          <w:tcPr>
            <w:tcW w:w="1316" w:type="dxa"/>
            <w:tcBorders>
              <w:top w:val="nil"/>
              <w:left w:val="nil"/>
              <w:bottom w:val="single" w:sz="4" w:space="0" w:color="auto"/>
              <w:right w:val="single" w:sz="4" w:space="0" w:color="auto"/>
            </w:tcBorders>
            <w:noWrap/>
            <w:vAlign w:val="bottom"/>
            <w:hideMark/>
          </w:tcPr>
          <w:p w14:paraId="5D15DBD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299,900</w:t>
            </w:r>
          </w:p>
        </w:tc>
        <w:tc>
          <w:tcPr>
            <w:tcW w:w="1316" w:type="dxa"/>
            <w:tcBorders>
              <w:top w:val="nil"/>
              <w:left w:val="nil"/>
              <w:bottom w:val="single" w:sz="4" w:space="0" w:color="auto"/>
              <w:right w:val="single" w:sz="4" w:space="0" w:color="auto"/>
            </w:tcBorders>
            <w:noWrap/>
            <w:vAlign w:val="bottom"/>
            <w:hideMark/>
          </w:tcPr>
          <w:p w14:paraId="2A9FD55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299,900</w:t>
            </w:r>
          </w:p>
        </w:tc>
        <w:tc>
          <w:tcPr>
            <w:tcW w:w="1316" w:type="dxa"/>
            <w:tcBorders>
              <w:top w:val="nil"/>
              <w:left w:val="nil"/>
              <w:bottom w:val="single" w:sz="4" w:space="0" w:color="auto"/>
              <w:right w:val="single" w:sz="4" w:space="0" w:color="auto"/>
            </w:tcBorders>
            <w:noWrap/>
            <w:vAlign w:val="bottom"/>
            <w:hideMark/>
          </w:tcPr>
          <w:p w14:paraId="50C77B3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299,900</w:t>
            </w:r>
          </w:p>
        </w:tc>
        <w:tc>
          <w:tcPr>
            <w:tcW w:w="1316" w:type="dxa"/>
            <w:tcBorders>
              <w:top w:val="nil"/>
              <w:left w:val="nil"/>
              <w:bottom w:val="single" w:sz="4" w:space="0" w:color="auto"/>
              <w:right w:val="single" w:sz="4" w:space="0" w:color="auto"/>
            </w:tcBorders>
            <w:noWrap/>
            <w:vAlign w:val="bottom"/>
            <w:hideMark/>
          </w:tcPr>
          <w:p w14:paraId="0FCDB67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299,900</w:t>
            </w:r>
          </w:p>
        </w:tc>
      </w:tr>
      <w:tr w:rsidR="00EA0FD7" w:rsidRPr="00EA0FD7" w14:paraId="3A304BF8" w14:textId="77777777" w:rsidTr="00EA0FD7">
        <w:trPr>
          <w:trHeight w:val="480"/>
        </w:trPr>
        <w:tc>
          <w:tcPr>
            <w:tcW w:w="1212" w:type="dxa"/>
            <w:tcBorders>
              <w:top w:val="nil"/>
              <w:left w:val="single" w:sz="8" w:space="0" w:color="auto"/>
              <w:bottom w:val="single" w:sz="4" w:space="0" w:color="auto"/>
              <w:right w:val="single" w:sz="4" w:space="0" w:color="auto"/>
            </w:tcBorders>
            <w:noWrap/>
            <w:vAlign w:val="bottom"/>
            <w:hideMark/>
          </w:tcPr>
          <w:p w14:paraId="06D4213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544" w:type="dxa"/>
            <w:tcBorders>
              <w:top w:val="nil"/>
              <w:left w:val="nil"/>
              <w:bottom w:val="single" w:sz="4" w:space="0" w:color="auto"/>
              <w:right w:val="single" w:sz="4" w:space="0" w:color="auto"/>
            </w:tcBorders>
            <w:vAlign w:val="bottom"/>
            <w:hideMark/>
          </w:tcPr>
          <w:p w14:paraId="130A5CA6"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352" w:type="dxa"/>
            <w:tcBorders>
              <w:top w:val="nil"/>
              <w:left w:val="nil"/>
              <w:bottom w:val="single" w:sz="4" w:space="0" w:color="auto"/>
              <w:right w:val="single" w:sz="4" w:space="0" w:color="auto"/>
            </w:tcBorders>
            <w:noWrap/>
            <w:vAlign w:val="bottom"/>
            <w:hideMark/>
          </w:tcPr>
          <w:p w14:paraId="0F910BD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1,467,983.00</w:t>
            </w:r>
          </w:p>
        </w:tc>
        <w:tc>
          <w:tcPr>
            <w:tcW w:w="1348" w:type="dxa"/>
            <w:tcBorders>
              <w:top w:val="nil"/>
              <w:left w:val="nil"/>
              <w:bottom w:val="single" w:sz="4" w:space="0" w:color="auto"/>
              <w:right w:val="single" w:sz="4" w:space="0" w:color="auto"/>
            </w:tcBorders>
            <w:noWrap/>
            <w:vAlign w:val="bottom"/>
            <w:hideMark/>
          </w:tcPr>
          <w:p w14:paraId="4A80388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1,159,428.66</w:t>
            </w:r>
          </w:p>
        </w:tc>
        <w:tc>
          <w:tcPr>
            <w:tcW w:w="1336" w:type="dxa"/>
            <w:tcBorders>
              <w:top w:val="nil"/>
              <w:left w:val="nil"/>
              <w:bottom w:val="single" w:sz="4" w:space="0" w:color="auto"/>
              <w:right w:val="single" w:sz="4" w:space="0" w:color="auto"/>
            </w:tcBorders>
            <w:noWrap/>
            <w:vAlign w:val="bottom"/>
            <w:hideMark/>
          </w:tcPr>
          <w:p w14:paraId="3404A14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1,824,475.00</w:t>
            </w:r>
          </w:p>
        </w:tc>
        <w:tc>
          <w:tcPr>
            <w:tcW w:w="1316" w:type="dxa"/>
            <w:tcBorders>
              <w:top w:val="nil"/>
              <w:left w:val="nil"/>
              <w:bottom w:val="single" w:sz="4" w:space="0" w:color="auto"/>
              <w:right w:val="single" w:sz="4" w:space="0" w:color="auto"/>
            </w:tcBorders>
            <w:noWrap/>
            <w:vAlign w:val="bottom"/>
            <w:hideMark/>
          </w:tcPr>
          <w:p w14:paraId="30ACEB2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2,224,429</w:t>
            </w:r>
          </w:p>
        </w:tc>
        <w:tc>
          <w:tcPr>
            <w:tcW w:w="1316" w:type="dxa"/>
            <w:tcBorders>
              <w:top w:val="nil"/>
              <w:left w:val="nil"/>
              <w:bottom w:val="single" w:sz="4" w:space="0" w:color="auto"/>
              <w:right w:val="single" w:sz="4" w:space="0" w:color="auto"/>
            </w:tcBorders>
            <w:noWrap/>
            <w:vAlign w:val="bottom"/>
            <w:hideMark/>
          </w:tcPr>
          <w:p w14:paraId="74C60B6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2,224,429</w:t>
            </w:r>
          </w:p>
        </w:tc>
        <w:tc>
          <w:tcPr>
            <w:tcW w:w="1316" w:type="dxa"/>
            <w:tcBorders>
              <w:top w:val="nil"/>
              <w:left w:val="nil"/>
              <w:bottom w:val="single" w:sz="4" w:space="0" w:color="auto"/>
              <w:right w:val="single" w:sz="4" w:space="0" w:color="auto"/>
            </w:tcBorders>
            <w:noWrap/>
            <w:vAlign w:val="bottom"/>
            <w:hideMark/>
          </w:tcPr>
          <w:p w14:paraId="6CAFB51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2,224,429</w:t>
            </w:r>
          </w:p>
        </w:tc>
        <w:tc>
          <w:tcPr>
            <w:tcW w:w="1316" w:type="dxa"/>
            <w:tcBorders>
              <w:top w:val="nil"/>
              <w:left w:val="nil"/>
              <w:bottom w:val="single" w:sz="4" w:space="0" w:color="auto"/>
              <w:right w:val="single" w:sz="4" w:space="0" w:color="auto"/>
            </w:tcBorders>
            <w:noWrap/>
            <w:vAlign w:val="bottom"/>
            <w:hideMark/>
          </w:tcPr>
          <w:p w14:paraId="2BC35BB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2,224,429</w:t>
            </w:r>
          </w:p>
        </w:tc>
        <w:tc>
          <w:tcPr>
            <w:tcW w:w="1316" w:type="dxa"/>
            <w:tcBorders>
              <w:top w:val="nil"/>
              <w:left w:val="nil"/>
              <w:bottom w:val="single" w:sz="4" w:space="0" w:color="auto"/>
              <w:right w:val="single" w:sz="4" w:space="0" w:color="auto"/>
            </w:tcBorders>
            <w:noWrap/>
            <w:vAlign w:val="bottom"/>
            <w:hideMark/>
          </w:tcPr>
          <w:p w14:paraId="00A2816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2,224,429</w:t>
            </w:r>
          </w:p>
        </w:tc>
        <w:tc>
          <w:tcPr>
            <w:tcW w:w="1316" w:type="dxa"/>
            <w:tcBorders>
              <w:top w:val="nil"/>
              <w:left w:val="nil"/>
              <w:bottom w:val="single" w:sz="4" w:space="0" w:color="auto"/>
              <w:right w:val="single" w:sz="4" w:space="0" w:color="auto"/>
            </w:tcBorders>
            <w:noWrap/>
            <w:vAlign w:val="bottom"/>
            <w:hideMark/>
          </w:tcPr>
          <w:p w14:paraId="754A306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2,224,429</w:t>
            </w:r>
          </w:p>
        </w:tc>
      </w:tr>
      <w:tr w:rsidR="00EA0FD7" w:rsidRPr="00EA0FD7" w14:paraId="478C1F2B" w14:textId="77777777" w:rsidTr="00EA0FD7">
        <w:trPr>
          <w:trHeight w:val="480"/>
        </w:trPr>
        <w:tc>
          <w:tcPr>
            <w:tcW w:w="1212" w:type="dxa"/>
            <w:tcBorders>
              <w:top w:val="nil"/>
              <w:left w:val="single" w:sz="8" w:space="0" w:color="auto"/>
              <w:bottom w:val="single" w:sz="4" w:space="0" w:color="auto"/>
              <w:right w:val="single" w:sz="4" w:space="0" w:color="auto"/>
            </w:tcBorders>
            <w:vAlign w:val="bottom"/>
            <w:hideMark/>
          </w:tcPr>
          <w:p w14:paraId="69DF390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614000</w:t>
            </w:r>
          </w:p>
        </w:tc>
        <w:tc>
          <w:tcPr>
            <w:tcW w:w="2544" w:type="dxa"/>
            <w:tcBorders>
              <w:top w:val="nil"/>
              <w:left w:val="nil"/>
              <w:bottom w:val="single" w:sz="4" w:space="0" w:color="auto"/>
              <w:right w:val="single" w:sz="4" w:space="0" w:color="auto"/>
            </w:tcBorders>
            <w:vAlign w:val="bottom"/>
            <w:hideMark/>
          </w:tcPr>
          <w:p w14:paraId="339C2D91"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352" w:type="dxa"/>
            <w:tcBorders>
              <w:top w:val="nil"/>
              <w:left w:val="nil"/>
              <w:bottom w:val="single" w:sz="4" w:space="0" w:color="auto"/>
              <w:right w:val="single" w:sz="4" w:space="0" w:color="auto"/>
            </w:tcBorders>
            <w:noWrap/>
            <w:vAlign w:val="bottom"/>
            <w:hideMark/>
          </w:tcPr>
          <w:p w14:paraId="098CF3F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90,000.00</w:t>
            </w:r>
          </w:p>
        </w:tc>
        <w:tc>
          <w:tcPr>
            <w:tcW w:w="1348" w:type="dxa"/>
            <w:tcBorders>
              <w:top w:val="nil"/>
              <w:left w:val="nil"/>
              <w:bottom w:val="single" w:sz="4" w:space="0" w:color="auto"/>
              <w:right w:val="single" w:sz="4" w:space="0" w:color="auto"/>
            </w:tcBorders>
            <w:noWrap/>
            <w:vAlign w:val="bottom"/>
            <w:hideMark/>
          </w:tcPr>
          <w:p w14:paraId="7F77E78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89,980.00</w:t>
            </w:r>
          </w:p>
        </w:tc>
        <w:tc>
          <w:tcPr>
            <w:tcW w:w="1336" w:type="dxa"/>
            <w:tcBorders>
              <w:top w:val="nil"/>
              <w:left w:val="nil"/>
              <w:bottom w:val="single" w:sz="4" w:space="0" w:color="auto"/>
              <w:right w:val="single" w:sz="4" w:space="0" w:color="auto"/>
            </w:tcBorders>
            <w:noWrap/>
            <w:vAlign w:val="bottom"/>
            <w:hideMark/>
          </w:tcPr>
          <w:p w14:paraId="35F9101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500,000.00</w:t>
            </w:r>
          </w:p>
        </w:tc>
        <w:tc>
          <w:tcPr>
            <w:tcW w:w="1316" w:type="dxa"/>
            <w:tcBorders>
              <w:top w:val="nil"/>
              <w:left w:val="nil"/>
              <w:bottom w:val="single" w:sz="4" w:space="0" w:color="auto"/>
              <w:right w:val="single" w:sz="4" w:space="0" w:color="auto"/>
            </w:tcBorders>
            <w:noWrap/>
            <w:vAlign w:val="bottom"/>
            <w:hideMark/>
          </w:tcPr>
          <w:p w14:paraId="2EEBF0B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300,000</w:t>
            </w:r>
          </w:p>
        </w:tc>
        <w:tc>
          <w:tcPr>
            <w:tcW w:w="1316" w:type="dxa"/>
            <w:tcBorders>
              <w:top w:val="nil"/>
              <w:left w:val="nil"/>
              <w:bottom w:val="single" w:sz="4" w:space="0" w:color="auto"/>
              <w:right w:val="single" w:sz="4" w:space="0" w:color="auto"/>
            </w:tcBorders>
            <w:noWrap/>
            <w:vAlign w:val="bottom"/>
            <w:hideMark/>
          </w:tcPr>
          <w:p w14:paraId="2C7D8D1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300,000</w:t>
            </w:r>
          </w:p>
        </w:tc>
        <w:tc>
          <w:tcPr>
            <w:tcW w:w="1316" w:type="dxa"/>
            <w:tcBorders>
              <w:top w:val="nil"/>
              <w:left w:val="nil"/>
              <w:bottom w:val="single" w:sz="4" w:space="0" w:color="auto"/>
              <w:right w:val="single" w:sz="4" w:space="0" w:color="auto"/>
            </w:tcBorders>
            <w:noWrap/>
            <w:vAlign w:val="bottom"/>
            <w:hideMark/>
          </w:tcPr>
          <w:p w14:paraId="6799AC0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300,000</w:t>
            </w:r>
          </w:p>
        </w:tc>
        <w:tc>
          <w:tcPr>
            <w:tcW w:w="1316" w:type="dxa"/>
            <w:tcBorders>
              <w:top w:val="nil"/>
              <w:left w:val="nil"/>
              <w:bottom w:val="single" w:sz="4" w:space="0" w:color="auto"/>
              <w:right w:val="single" w:sz="4" w:space="0" w:color="auto"/>
            </w:tcBorders>
            <w:noWrap/>
            <w:vAlign w:val="bottom"/>
            <w:hideMark/>
          </w:tcPr>
          <w:p w14:paraId="0D6A57A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100,000</w:t>
            </w:r>
          </w:p>
        </w:tc>
        <w:tc>
          <w:tcPr>
            <w:tcW w:w="1316" w:type="dxa"/>
            <w:tcBorders>
              <w:top w:val="nil"/>
              <w:left w:val="nil"/>
              <w:bottom w:val="single" w:sz="4" w:space="0" w:color="auto"/>
              <w:right w:val="single" w:sz="4" w:space="0" w:color="auto"/>
            </w:tcBorders>
            <w:noWrap/>
            <w:vAlign w:val="bottom"/>
            <w:hideMark/>
          </w:tcPr>
          <w:p w14:paraId="43B053F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300,000</w:t>
            </w:r>
          </w:p>
        </w:tc>
        <w:tc>
          <w:tcPr>
            <w:tcW w:w="1316" w:type="dxa"/>
            <w:tcBorders>
              <w:top w:val="nil"/>
              <w:left w:val="nil"/>
              <w:bottom w:val="single" w:sz="4" w:space="0" w:color="auto"/>
              <w:right w:val="single" w:sz="4" w:space="0" w:color="auto"/>
            </w:tcBorders>
            <w:noWrap/>
            <w:vAlign w:val="bottom"/>
            <w:hideMark/>
          </w:tcPr>
          <w:p w14:paraId="5E92F9F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300,000</w:t>
            </w:r>
          </w:p>
        </w:tc>
      </w:tr>
      <w:tr w:rsidR="00EA0FD7" w:rsidRPr="00EA0FD7" w14:paraId="7A174E21" w14:textId="77777777" w:rsidTr="00EA0FD7">
        <w:trPr>
          <w:trHeight w:val="240"/>
        </w:trPr>
        <w:tc>
          <w:tcPr>
            <w:tcW w:w="1212" w:type="dxa"/>
            <w:tcBorders>
              <w:top w:val="nil"/>
              <w:left w:val="single" w:sz="8" w:space="0" w:color="auto"/>
              <w:bottom w:val="nil"/>
              <w:right w:val="single" w:sz="4" w:space="0" w:color="auto"/>
            </w:tcBorders>
            <w:vAlign w:val="bottom"/>
            <w:hideMark/>
          </w:tcPr>
          <w:p w14:paraId="6594956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615000</w:t>
            </w:r>
          </w:p>
        </w:tc>
        <w:tc>
          <w:tcPr>
            <w:tcW w:w="2544" w:type="dxa"/>
            <w:tcBorders>
              <w:top w:val="nil"/>
              <w:left w:val="nil"/>
              <w:bottom w:val="nil"/>
              <w:right w:val="single" w:sz="4" w:space="0" w:color="auto"/>
            </w:tcBorders>
            <w:vAlign w:val="bottom"/>
            <w:hideMark/>
          </w:tcPr>
          <w:p w14:paraId="10356A84"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352" w:type="dxa"/>
            <w:tcBorders>
              <w:top w:val="nil"/>
              <w:left w:val="nil"/>
              <w:bottom w:val="nil"/>
              <w:right w:val="single" w:sz="4" w:space="0" w:color="auto"/>
            </w:tcBorders>
            <w:noWrap/>
            <w:vAlign w:val="bottom"/>
            <w:hideMark/>
          </w:tcPr>
          <w:p w14:paraId="6C43FD5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48" w:type="dxa"/>
            <w:tcBorders>
              <w:top w:val="nil"/>
              <w:left w:val="nil"/>
              <w:bottom w:val="nil"/>
              <w:right w:val="single" w:sz="4" w:space="0" w:color="auto"/>
            </w:tcBorders>
            <w:noWrap/>
            <w:vAlign w:val="bottom"/>
            <w:hideMark/>
          </w:tcPr>
          <w:p w14:paraId="075B56C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36" w:type="dxa"/>
            <w:tcBorders>
              <w:top w:val="nil"/>
              <w:left w:val="nil"/>
              <w:bottom w:val="nil"/>
              <w:right w:val="single" w:sz="4" w:space="0" w:color="auto"/>
            </w:tcBorders>
            <w:noWrap/>
            <w:vAlign w:val="bottom"/>
            <w:hideMark/>
          </w:tcPr>
          <w:p w14:paraId="561C546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single" w:sz="4" w:space="0" w:color="auto"/>
              <w:right w:val="single" w:sz="4" w:space="0" w:color="auto"/>
            </w:tcBorders>
            <w:noWrap/>
            <w:vAlign w:val="bottom"/>
            <w:hideMark/>
          </w:tcPr>
          <w:p w14:paraId="17DFAE6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7B330A0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7014692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5A123F5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09153F3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0F27849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1216B7DB" w14:textId="77777777" w:rsidTr="00EA0FD7">
        <w:trPr>
          <w:trHeight w:val="480"/>
        </w:trPr>
        <w:tc>
          <w:tcPr>
            <w:tcW w:w="1212" w:type="dxa"/>
            <w:tcBorders>
              <w:top w:val="single" w:sz="4" w:space="0" w:color="auto"/>
              <w:left w:val="single" w:sz="8" w:space="0" w:color="auto"/>
              <w:bottom w:val="nil"/>
              <w:right w:val="single" w:sz="4" w:space="0" w:color="auto"/>
            </w:tcBorders>
            <w:noWrap/>
            <w:vAlign w:val="bottom"/>
            <w:hideMark/>
          </w:tcPr>
          <w:p w14:paraId="6B1D32A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821000</w:t>
            </w:r>
          </w:p>
        </w:tc>
        <w:tc>
          <w:tcPr>
            <w:tcW w:w="2544" w:type="dxa"/>
            <w:tcBorders>
              <w:top w:val="single" w:sz="4" w:space="0" w:color="auto"/>
              <w:left w:val="nil"/>
              <w:bottom w:val="nil"/>
              <w:right w:val="single" w:sz="4" w:space="0" w:color="auto"/>
            </w:tcBorders>
            <w:vAlign w:val="bottom"/>
            <w:hideMark/>
          </w:tcPr>
          <w:p w14:paraId="5A2E5696"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352" w:type="dxa"/>
            <w:tcBorders>
              <w:top w:val="single" w:sz="4" w:space="0" w:color="auto"/>
              <w:left w:val="nil"/>
              <w:bottom w:val="nil"/>
              <w:right w:val="single" w:sz="4" w:space="0" w:color="auto"/>
            </w:tcBorders>
            <w:noWrap/>
            <w:vAlign w:val="bottom"/>
            <w:hideMark/>
          </w:tcPr>
          <w:p w14:paraId="3EBCB1C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1,556,725.00</w:t>
            </w:r>
          </w:p>
        </w:tc>
        <w:tc>
          <w:tcPr>
            <w:tcW w:w="1348" w:type="dxa"/>
            <w:tcBorders>
              <w:top w:val="single" w:sz="4" w:space="0" w:color="auto"/>
              <w:left w:val="nil"/>
              <w:bottom w:val="nil"/>
              <w:right w:val="single" w:sz="4" w:space="0" w:color="auto"/>
            </w:tcBorders>
            <w:noWrap/>
            <w:vAlign w:val="bottom"/>
            <w:hideMark/>
          </w:tcPr>
          <w:p w14:paraId="67FDE23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30,556.16</w:t>
            </w:r>
          </w:p>
        </w:tc>
        <w:tc>
          <w:tcPr>
            <w:tcW w:w="1336" w:type="dxa"/>
            <w:tcBorders>
              <w:top w:val="single" w:sz="4" w:space="0" w:color="auto"/>
              <w:left w:val="nil"/>
              <w:bottom w:val="nil"/>
              <w:right w:val="single" w:sz="4" w:space="0" w:color="auto"/>
            </w:tcBorders>
            <w:noWrap/>
            <w:vAlign w:val="bottom"/>
            <w:hideMark/>
          </w:tcPr>
          <w:p w14:paraId="11DCECB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540,000.00</w:t>
            </w:r>
          </w:p>
        </w:tc>
        <w:tc>
          <w:tcPr>
            <w:tcW w:w="1316" w:type="dxa"/>
            <w:tcBorders>
              <w:top w:val="nil"/>
              <w:left w:val="nil"/>
              <w:bottom w:val="nil"/>
              <w:right w:val="single" w:sz="4" w:space="0" w:color="auto"/>
            </w:tcBorders>
            <w:noWrap/>
            <w:vAlign w:val="bottom"/>
            <w:hideMark/>
          </w:tcPr>
          <w:p w14:paraId="6371146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1,880,000</w:t>
            </w:r>
          </w:p>
        </w:tc>
        <w:tc>
          <w:tcPr>
            <w:tcW w:w="1316" w:type="dxa"/>
            <w:tcBorders>
              <w:top w:val="nil"/>
              <w:left w:val="nil"/>
              <w:bottom w:val="nil"/>
              <w:right w:val="single" w:sz="4" w:space="0" w:color="auto"/>
            </w:tcBorders>
            <w:noWrap/>
            <w:vAlign w:val="bottom"/>
            <w:hideMark/>
          </w:tcPr>
          <w:p w14:paraId="0429501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380,000</w:t>
            </w:r>
          </w:p>
        </w:tc>
        <w:tc>
          <w:tcPr>
            <w:tcW w:w="1316" w:type="dxa"/>
            <w:tcBorders>
              <w:top w:val="nil"/>
              <w:left w:val="nil"/>
              <w:bottom w:val="nil"/>
              <w:right w:val="single" w:sz="4" w:space="0" w:color="auto"/>
            </w:tcBorders>
            <w:noWrap/>
            <w:vAlign w:val="bottom"/>
            <w:hideMark/>
          </w:tcPr>
          <w:p w14:paraId="3FF19E6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380,000</w:t>
            </w:r>
          </w:p>
        </w:tc>
        <w:tc>
          <w:tcPr>
            <w:tcW w:w="1316" w:type="dxa"/>
            <w:tcBorders>
              <w:top w:val="nil"/>
              <w:left w:val="nil"/>
              <w:bottom w:val="nil"/>
              <w:right w:val="single" w:sz="4" w:space="0" w:color="auto"/>
            </w:tcBorders>
            <w:noWrap/>
            <w:vAlign w:val="bottom"/>
            <w:hideMark/>
          </w:tcPr>
          <w:p w14:paraId="3356A36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380,000</w:t>
            </w:r>
          </w:p>
        </w:tc>
        <w:tc>
          <w:tcPr>
            <w:tcW w:w="1316" w:type="dxa"/>
            <w:tcBorders>
              <w:top w:val="nil"/>
              <w:left w:val="nil"/>
              <w:bottom w:val="nil"/>
              <w:right w:val="single" w:sz="4" w:space="0" w:color="auto"/>
            </w:tcBorders>
            <w:noWrap/>
            <w:vAlign w:val="bottom"/>
            <w:hideMark/>
          </w:tcPr>
          <w:p w14:paraId="1DC81D1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380,000</w:t>
            </w:r>
          </w:p>
        </w:tc>
        <w:tc>
          <w:tcPr>
            <w:tcW w:w="1316" w:type="dxa"/>
            <w:tcBorders>
              <w:top w:val="nil"/>
              <w:left w:val="nil"/>
              <w:bottom w:val="nil"/>
              <w:right w:val="single" w:sz="4" w:space="0" w:color="auto"/>
            </w:tcBorders>
            <w:noWrap/>
            <w:vAlign w:val="bottom"/>
            <w:hideMark/>
          </w:tcPr>
          <w:p w14:paraId="211086F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380,000</w:t>
            </w:r>
          </w:p>
        </w:tc>
      </w:tr>
      <w:tr w:rsidR="00EA0FD7" w:rsidRPr="00EA0FD7" w14:paraId="1A4AABDD" w14:textId="77777777" w:rsidTr="00EA0FD7">
        <w:trPr>
          <w:trHeight w:val="285"/>
        </w:trPr>
        <w:tc>
          <w:tcPr>
            <w:tcW w:w="1212" w:type="dxa"/>
            <w:tcBorders>
              <w:top w:val="single" w:sz="8" w:space="0" w:color="auto"/>
              <w:left w:val="single" w:sz="8" w:space="0" w:color="auto"/>
              <w:bottom w:val="single" w:sz="8" w:space="0" w:color="auto"/>
              <w:right w:val="single" w:sz="8" w:space="0" w:color="auto"/>
            </w:tcBorders>
            <w:noWrap/>
            <w:vAlign w:val="bottom"/>
            <w:hideMark/>
          </w:tcPr>
          <w:p w14:paraId="0C98054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44" w:type="dxa"/>
            <w:tcBorders>
              <w:top w:val="single" w:sz="8" w:space="0" w:color="auto"/>
              <w:left w:val="nil"/>
              <w:bottom w:val="single" w:sz="8" w:space="0" w:color="auto"/>
              <w:right w:val="single" w:sz="8" w:space="0" w:color="auto"/>
            </w:tcBorders>
            <w:noWrap/>
            <w:vAlign w:val="bottom"/>
            <w:hideMark/>
          </w:tcPr>
          <w:p w14:paraId="3F0F61E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352" w:type="dxa"/>
            <w:tcBorders>
              <w:top w:val="single" w:sz="8" w:space="0" w:color="auto"/>
              <w:left w:val="nil"/>
              <w:bottom w:val="single" w:sz="8" w:space="0" w:color="auto"/>
              <w:right w:val="single" w:sz="8" w:space="0" w:color="auto"/>
            </w:tcBorders>
            <w:noWrap/>
            <w:vAlign w:val="bottom"/>
            <w:hideMark/>
          </w:tcPr>
          <w:p w14:paraId="4C2B2D4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7,500,423.73</w:t>
            </w:r>
          </w:p>
        </w:tc>
        <w:tc>
          <w:tcPr>
            <w:tcW w:w="1348" w:type="dxa"/>
            <w:tcBorders>
              <w:top w:val="single" w:sz="8" w:space="0" w:color="auto"/>
              <w:left w:val="nil"/>
              <w:bottom w:val="single" w:sz="8" w:space="0" w:color="auto"/>
              <w:right w:val="single" w:sz="8" w:space="0" w:color="auto"/>
            </w:tcBorders>
            <w:noWrap/>
            <w:vAlign w:val="bottom"/>
            <w:hideMark/>
          </w:tcPr>
          <w:p w14:paraId="2F7531F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5,338,533.37</w:t>
            </w:r>
          </w:p>
        </w:tc>
        <w:tc>
          <w:tcPr>
            <w:tcW w:w="1336" w:type="dxa"/>
            <w:tcBorders>
              <w:top w:val="single" w:sz="8" w:space="0" w:color="auto"/>
              <w:left w:val="nil"/>
              <w:bottom w:val="single" w:sz="8" w:space="0" w:color="auto"/>
              <w:right w:val="single" w:sz="8" w:space="0" w:color="auto"/>
            </w:tcBorders>
            <w:noWrap/>
            <w:vAlign w:val="bottom"/>
            <w:hideMark/>
          </w:tcPr>
          <w:p w14:paraId="3E0AD8E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8,020,131.22</w:t>
            </w:r>
          </w:p>
        </w:tc>
        <w:tc>
          <w:tcPr>
            <w:tcW w:w="1316" w:type="dxa"/>
            <w:tcBorders>
              <w:top w:val="single" w:sz="8" w:space="0" w:color="auto"/>
              <w:left w:val="nil"/>
              <w:bottom w:val="single" w:sz="8" w:space="0" w:color="auto"/>
              <w:right w:val="single" w:sz="8" w:space="0" w:color="auto"/>
            </w:tcBorders>
            <w:noWrap/>
            <w:vAlign w:val="bottom"/>
            <w:hideMark/>
          </w:tcPr>
          <w:p w14:paraId="412EE4C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10,041,312</w:t>
            </w:r>
          </w:p>
        </w:tc>
        <w:tc>
          <w:tcPr>
            <w:tcW w:w="1316" w:type="dxa"/>
            <w:tcBorders>
              <w:top w:val="single" w:sz="8" w:space="0" w:color="auto"/>
              <w:left w:val="nil"/>
              <w:bottom w:val="single" w:sz="8" w:space="0" w:color="auto"/>
              <w:right w:val="single" w:sz="8" w:space="0" w:color="auto"/>
            </w:tcBorders>
            <w:noWrap/>
            <w:vAlign w:val="bottom"/>
            <w:hideMark/>
          </w:tcPr>
          <w:p w14:paraId="3F0BE3F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8,541,312</w:t>
            </w:r>
          </w:p>
        </w:tc>
        <w:tc>
          <w:tcPr>
            <w:tcW w:w="1316" w:type="dxa"/>
            <w:tcBorders>
              <w:top w:val="single" w:sz="8" w:space="0" w:color="auto"/>
              <w:left w:val="nil"/>
              <w:bottom w:val="single" w:sz="8" w:space="0" w:color="auto"/>
              <w:right w:val="single" w:sz="8" w:space="0" w:color="auto"/>
            </w:tcBorders>
            <w:noWrap/>
            <w:vAlign w:val="bottom"/>
            <w:hideMark/>
          </w:tcPr>
          <w:p w14:paraId="46343DC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8,541,312</w:t>
            </w:r>
          </w:p>
        </w:tc>
        <w:tc>
          <w:tcPr>
            <w:tcW w:w="1316" w:type="dxa"/>
            <w:tcBorders>
              <w:top w:val="single" w:sz="8" w:space="0" w:color="auto"/>
              <w:left w:val="nil"/>
              <w:bottom w:val="single" w:sz="8" w:space="0" w:color="auto"/>
              <w:right w:val="single" w:sz="8" w:space="0" w:color="auto"/>
            </w:tcBorders>
            <w:noWrap/>
            <w:vAlign w:val="bottom"/>
            <w:hideMark/>
          </w:tcPr>
          <w:p w14:paraId="5D3237E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8,341,312</w:t>
            </w:r>
          </w:p>
        </w:tc>
        <w:tc>
          <w:tcPr>
            <w:tcW w:w="1316" w:type="dxa"/>
            <w:tcBorders>
              <w:top w:val="single" w:sz="8" w:space="0" w:color="auto"/>
              <w:left w:val="nil"/>
              <w:bottom w:val="single" w:sz="8" w:space="0" w:color="auto"/>
              <w:right w:val="single" w:sz="8" w:space="0" w:color="auto"/>
            </w:tcBorders>
            <w:noWrap/>
            <w:vAlign w:val="bottom"/>
            <w:hideMark/>
          </w:tcPr>
          <w:p w14:paraId="6A989A5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8,541,312</w:t>
            </w:r>
          </w:p>
        </w:tc>
        <w:tc>
          <w:tcPr>
            <w:tcW w:w="1316" w:type="dxa"/>
            <w:tcBorders>
              <w:top w:val="single" w:sz="8" w:space="0" w:color="auto"/>
              <w:left w:val="nil"/>
              <w:bottom w:val="single" w:sz="8" w:space="0" w:color="auto"/>
              <w:right w:val="single" w:sz="8" w:space="0" w:color="auto"/>
            </w:tcBorders>
            <w:noWrap/>
            <w:vAlign w:val="bottom"/>
            <w:hideMark/>
          </w:tcPr>
          <w:p w14:paraId="7B662FF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8,541,312</w:t>
            </w:r>
          </w:p>
        </w:tc>
      </w:tr>
      <w:tr w:rsidR="00EA0FD7" w:rsidRPr="00EA0FD7" w14:paraId="27B6C157" w14:textId="77777777" w:rsidTr="00EA0FD7">
        <w:trPr>
          <w:trHeight w:val="210"/>
        </w:trPr>
        <w:tc>
          <w:tcPr>
            <w:tcW w:w="1212" w:type="dxa"/>
            <w:tcBorders>
              <w:top w:val="nil"/>
              <w:left w:val="single" w:sz="8" w:space="0" w:color="auto"/>
              <w:bottom w:val="single" w:sz="8" w:space="0" w:color="auto"/>
              <w:right w:val="nil"/>
            </w:tcBorders>
            <w:noWrap/>
            <w:vAlign w:val="bottom"/>
            <w:hideMark/>
          </w:tcPr>
          <w:p w14:paraId="3DAFF97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44" w:type="dxa"/>
            <w:tcBorders>
              <w:top w:val="nil"/>
              <w:left w:val="nil"/>
              <w:bottom w:val="single" w:sz="8" w:space="0" w:color="auto"/>
              <w:right w:val="nil"/>
            </w:tcBorders>
            <w:noWrap/>
            <w:vAlign w:val="bottom"/>
            <w:hideMark/>
          </w:tcPr>
          <w:p w14:paraId="2301AB8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52" w:type="dxa"/>
            <w:tcBorders>
              <w:top w:val="nil"/>
              <w:left w:val="nil"/>
              <w:bottom w:val="single" w:sz="8" w:space="0" w:color="auto"/>
              <w:right w:val="nil"/>
            </w:tcBorders>
            <w:noWrap/>
            <w:vAlign w:val="bottom"/>
            <w:hideMark/>
          </w:tcPr>
          <w:p w14:paraId="121D884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48" w:type="dxa"/>
            <w:tcBorders>
              <w:top w:val="nil"/>
              <w:left w:val="nil"/>
              <w:bottom w:val="single" w:sz="8" w:space="0" w:color="auto"/>
              <w:right w:val="nil"/>
            </w:tcBorders>
            <w:noWrap/>
            <w:vAlign w:val="bottom"/>
            <w:hideMark/>
          </w:tcPr>
          <w:p w14:paraId="12029EE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tcBorders>
              <w:top w:val="nil"/>
              <w:left w:val="nil"/>
              <w:bottom w:val="single" w:sz="8" w:space="0" w:color="auto"/>
              <w:right w:val="nil"/>
            </w:tcBorders>
            <w:noWrap/>
            <w:vAlign w:val="bottom"/>
            <w:hideMark/>
          </w:tcPr>
          <w:p w14:paraId="0997E9B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23ED5EA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64560D3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5445757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07B8D79D"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nil"/>
            </w:tcBorders>
            <w:noWrap/>
            <w:vAlign w:val="bottom"/>
            <w:hideMark/>
          </w:tcPr>
          <w:p w14:paraId="59345309"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single" w:sz="8" w:space="0" w:color="auto"/>
            </w:tcBorders>
            <w:noWrap/>
            <w:vAlign w:val="bottom"/>
            <w:hideMark/>
          </w:tcPr>
          <w:p w14:paraId="47627888"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7244FE30" w14:textId="77777777" w:rsidTr="00EA0FD7">
        <w:trPr>
          <w:trHeight w:val="240"/>
        </w:trPr>
        <w:tc>
          <w:tcPr>
            <w:tcW w:w="1212" w:type="dxa"/>
            <w:tcBorders>
              <w:top w:val="nil"/>
              <w:left w:val="single" w:sz="8" w:space="0" w:color="auto"/>
              <w:bottom w:val="single" w:sz="8" w:space="0" w:color="auto"/>
              <w:right w:val="single" w:sz="8" w:space="0" w:color="auto"/>
            </w:tcBorders>
            <w:noWrap/>
            <w:vAlign w:val="bottom"/>
            <w:hideMark/>
          </w:tcPr>
          <w:p w14:paraId="2923E87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44" w:type="dxa"/>
            <w:tcBorders>
              <w:top w:val="nil"/>
              <w:left w:val="nil"/>
              <w:bottom w:val="single" w:sz="8" w:space="0" w:color="auto"/>
              <w:right w:val="single" w:sz="8" w:space="0" w:color="auto"/>
            </w:tcBorders>
            <w:noWrap/>
            <w:vAlign w:val="bottom"/>
            <w:hideMark/>
          </w:tcPr>
          <w:p w14:paraId="619A107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352" w:type="dxa"/>
            <w:tcBorders>
              <w:top w:val="nil"/>
              <w:left w:val="nil"/>
              <w:bottom w:val="single" w:sz="8" w:space="0" w:color="auto"/>
              <w:right w:val="single" w:sz="8" w:space="0" w:color="auto"/>
            </w:tcBorders>
            <w:noWrap/>
            <w:vAlign w:val="bottom"/>
            <w:hideMark/>
          </w:tcPr>
          <w:p w14:paraId="6E76B35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204</w:t>
            </w:r>
          </w:p>
        </w:tc>
        <w:tc>
          <w:tcPr>
            <w:tcW w:w="1348" w:type="dxa"/>
            <w:tcBorders>
              <w:top w:val="nil"/>
              <w:left w:val="nil"/>
              <w:bottom w:val="single" w:sz="8" w:space="0" w:color="auto"/>
              <w:right w:val="single" w:sz="8" w:space="0" w:color="auto"/>
            </w:tcBorders>
            <w:noWrap/>
            <w:vAlign w:val="bottom"/>
            <w:hideMark/>
          </w:tcPr>
          <w:p w14:paraId="5ACC0CF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151</w:t>
            </w:r>
          </w:p>
        </w:tc>
        <w:tc>
          <w:tcPr>
            <w:tcW w:w="1336" w:type="dxa"/>
            <w:tcBorders>
              <w:top w:val="nil"/>
              <w:left w:val="nil"/>
              <w:bottom w:val="single" w:sz="8" w:space="0" w:color="auto"/>
              <w:right w:val="single" w:sz="8" w:space="0" w:color="auto"/>
            </w:tcBorders>
            <w:noWrap/>
            <w:vAlign w:val="bottom"/>
            <w:hideMark/>
          </w:tcPr>
          <w:p w14:paraId="611953B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205</w:t>
            </w:r>
          </w:p>
        </w:tc>
        <w:tc>
          <w:tcPr>
            <w:tcW w:w="1316" w:type="dxa"/>
            <w:tcBorders>
              <w:top w:val="nil"/>
              <w:left w:val="nil"/>
              <w:bottom w:val="single" w:sz="8" w:space="0" w:color="auto"/>
              <w:right w:val="single" w:sz="8" w:space="0" w:color="auto"/>
            </w:tcBorders>
            <w:noWrap/>
            <w:vAlign w:val="bottom"/>
            <w:hideMark/>
          </w:tcPr>
          <w:p w14:paraId="23AC747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205</w:t>
            </w:r>
          </w:p>
        </w:tc>
        <w:tc>
          <w:tcPr>
            <w:tcW w:w="1316" w:type="dxa"/>
            <w:tcBorders>
              <w:top w:val="nil"/>
              <w:left w:val="nil"/>
              <w:bottom w:val="single" w:sz="8" w:space="0" w:color="auto"/>
              <w:right w:val="single" w:sz="8" w:space="0" w:color="auto"/>
            </w:tcBorders>
            <w:noWrap/>
            <w:vAlign w:val="bottom"/>
            <w:hideMark/>
          </w:tcPr>
          <w:p w14:paraId="29FD81F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205</w:t>
            </w:r>
          </w:p>
        </w:tc>
        <w:tc>
          <w:tcPr>
            <w:tcW w:w="1316" w:type="dxa"/>
            <w:tcBorders>
              <w:top w:val="nil"/>
              <w:left w:val="nil"/>
              <w:bottom w:val="single" w:sz="8" w:space="0" w:color="auto"/>
              <w:right w:val="single" w:sz="8" w:space="0" w:color="auto"/>
            </w:tcBorders>
            <w:noWrap/>
            <w:vAlign w:val="bottom"/>
            <w:hideMark/>
          </w:tcPr>
          <w:p w14:paraId="7D6F3D5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205</w:t>
            </w:r>
          </w:p>
        </w:tc>
        <w:tc>
          <w:tcPr>
            <w:tcW w:w="1316" w:type="dxa"/>
            <w:tcBorders>
              <w:top w:val="nil"/>
              <w:left w:val="nil"/>
              <w:bottom w:val="single" w:sz="8" w:space="0" w:color="auto"/>
              <w:right w:val="single" w:sz="8" w:space="0" w:color="auto"/>
            </w:tcBorders>
            <w:noWrap/>
            <w:vAlign w:val="bottom"/>
            <w:hideMark/>
          </w:tcPr>
          <w:p w14:paraId="2F91FCD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205</w:t>
            </w:r>
          </w:p>
        </w:tc>
        <w:tc>
          <w:tcPr>
            <w:tcW w:w="1316" w:type="dxa"/>
            <w:tcBorders>
              <w:top w:val="nil"/>
              <w:left w:val="nil"/>
              <w:bottom w:val="single" w:sz="8" w:space="0" w:color="auto"/>
              <w:right w:val="single" w:sz="8" w:space="0" w:color="auto"/>
            </w:tcBorders>
            <w:noWrap/>
            <w:vAlign w:val="bottom"/>
            <w:hideMark/>
          </w:tcPr>
          <w:p w14:paraId="0E9CA44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205</w:t>
            </w:r>
          </w:p>
        </w:tc>
        <w:tc>
          <w:tcPr>
            <w:tcW w:w="1316" w:type="dxa"/>
            <w:tcBorders>
              <w:top w:val="nil"/>
              <w:left w:val="nil"/>
              <w:bottom w:val="single" w:sz="8" w:space="0" w:color="auto"/>
              <w:right w:val="single" w:sz="8" w:space="0" w:color="auto"/>
            </w:tcBorders>
            <w:noWrap/>
            <w:vAlign w:val="bottom"/>
            <w:hideMark/>
          </w:tcPr>
          <w:p w14:paraId="2A574D8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205</w:t>
            </w:r>
          </w:p>
        </w:tc>
      </w:tr>
      <w:tr w:rsidR="00EA0FD7" w:rsidRPr="00EA0FD7" w14:paraId="01B447AA" w14:textId="77777777" w:rsidTr="00EA0FD7">
        <w:trPr>
          <w:trHeight w:val="240"/>
        </w:trPr>
        <w:tc>
          <w:tcPr>
            <w:tcW w:w="1212" w:type="dxa"/>
            <w:noWrap/>
            <w:vAlign w:val="bottom"/>
          </w:tcPr>
          <w:p w14:paraId="5BD87DB5"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2544" w:type="dxa"/>
            <w:noWrap/>
            <w:vAlign w:val="bottom"/>
          </w:tcPr>
          <w:p w14:paraId="1B5B75C7"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52" w:type="dxa"/>
            <w:noWrap/>
            <w:vAlign w:val="bottom"/>
          </w:tcPr>
          <w:p w14:paraId="1EC211C9"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48" w:type="dxa"/>
            <w:noWrap/>
            <w:vAlign w:val="bottom"/>
          </w:tcPr>
          <w:p w14:paraId="1631123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p>
        </w:tc>
        <w:tc>
          <w:tcPr>
            <w:tcW w:w="1336" w:type="dxa"/>
            <w:noWrap/>
            <w:vAlign w:val="bottom"/>
          </w:tcPr>
          <w:p w14:paraId="73951C79"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3A725341"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4EF0C3D9"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05963081"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6DCF8214"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4CBE2277"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353D09F8" w14:textId="77777777" w:rsidR="00EA0FD7" w:rsidRPr="00EA0FD7" w:rsidRDefault="00EA0FD7" w:rsidP="00EA0FD7">
            <w:pPr>
              <w:spacing w:after="0" w:line="240" w:lineRule="auto"/>
              <w:rPr>
                <w:rFonts w:ascii="Arial" w:eastAsia="Times New Roman" w:hAnsi="Arial" w:cs="Arial"/>
                <w:b/>
                <w:bCs/>
                <w:sz w:val="18"/>
                <w:szCs w:val="18"/>
                <w:lang w:val="sr-Cyrl-RS"/>
              </w:rPr>
            </w:pPr>
          </w:p>
        </w:tc>
      </w:tr>
      <w:tr w:rsidR="00EA0FD7" w:rsidRPr="00EA0FD7" w14:paraId="66EA876D" w14:textId="77777777" w:rsidTr="00EA0FD7">
        <w:trPr>
          <w:trHeight w:val="375"/>
        </w:trPr>
        <w:tc>
          <w:tcPr>
            <w:tcW w:w="7792" w:type="dxa"/>
            <w:gridSpan w:val="5"/>
            <w:tcBorders>
              <w:top w:val="nil"/>
              <w:left w:val="nil"/>
              <w:bottom w:val="single" w:sz="8" w:space="0" w:color="auto"/>
              <w:right w:val="nil"/>
            </w:tcBorders>
            <w:noWrap/>
            <w:vAlign w:val="bottom"/>
            <w:hideMark/>
          </w:tcPr>
          <w:p w14:paraId="7C2DECB1" w14:textId="41D9C20D"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15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ОДЈЕЉЕЊЕ ЗА СТРУЧНЕ И АДМИНИСТРАТИВНЕ ПОСЛОВЕ</w:t>
            </w:r>
          </w:p>
        </w:tc>
        <w:tc>
          <w:tcPr>
            <w:tcW w:w="1316" w:type="dxa"/>
            <w:noWrap/>
            <w:vAlign w:val="bottom"/>
          </w:tcPr>
          <w:p w14:paraId="08DE3B64"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509923E6"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1E030DB7"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7631F32E"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754B1369"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5C348BF8"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352A07CF" w14:textId="77777777" w:rsidTr="00EA0FD7">
        <w:trPr>
          <w:trHeight w:val="300"/>
        </w:trPr>
        <w:tc>
          <w:tcPr>
            <w:tcW w:w="1212" w:type="dxa"/>
            <w:vMerge w:val="restart"/>
            <w:tcBorders>
              <w:top w:val="nil"/>
              <w:left w:val="single" w:sz="8" w:space="0" w:color="auto"/>
              <w:bottom w:val="single" w:sz="8" w:space="0" w:color="000000"/>
              <w:right w:val="single" w:sz="8" w:space="0" w:color="auto"/>
            </w:tcBorders>
            <w:shd w:val="clear" w:color="auto" w:fill="808080"/>
            <w:vAlign w:val="center"/>
            <w:hideMark/>
          </w:tcPr>
          <w:p w14:paraId="4E5A54B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544" w:type="dxa"/>
            <w:vMerge w:val="restart"/>
            <w:tcBorders>
              <w:top w:val="nil"/>
              <w:left w:val="single" w:sz="8" w:space="0" w:color="auto"/>
              <w:bottom w:val="single" w:sz="8" w:space="0" w:color="000000"/>
              <w:right w:val="single" w:sz="8" w:space="0" w:color="auto"/>
            </w:tcBorders>
            <w:shd w:val="clear" w:color="auto" w:fill="808080"/>
            <w:vAlign w:val="center"/>
            <w:hideMark/>
          </w:tcPr>
          <w:p w14:paraId="7A719EF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352" w:type="dxa"/>
            <w:vMerge w:val="restart"/>
            <w:tcBorders>
              <w:top w:val="nil"/>
              <w:left w:val="single" w:sz="8" w:space="0" w:color="auto"/>
              <w:bottom w:val="single" w:sz="8" w:space="0" w:color="000000"/>
              <w:right w:val="single" w:sz="8" w:space="0" w:color="auto"/>
            </w:tcBorders>
            <w:shd w:val="clear" w:color="auto" w:fill="808080"/>
            <w:vAlign w:val="center"/>
            <w:hideMark/>
          </w:tcPr>
          <w:p w14:paraId="73EC4E6E"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348" w:type="dxa"/>
            <w:vMerge w:val="restart"/>
            <w:tcBorders>
              <w:top w:val="nil"/>
              <w:left w:val="single" w:sz="8" w:space="0" w:color="auto"/>
              <w:bottom w:val="single" w:sz="8" w:space="0" w:color="000000"/>
              <w:right w:val="single" w:sz="8" w:space="0" w:color="auto"/>
            </w:tcBorders>
            <w:shd w:val="clear" w:color="auto" w:fill="808080"/>
            <w:vAlign w:val="center"/>
            <w:hideMark/>
          </w:tcPr>
          <w:p w14:paraId="4B89D6F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36" w:type="dxa"/>
            <w:vMerge w:val="restart"/>
            <w:tcBorders>
              <w:top w:val="nil"/>
              <w:left w:val="single" w:sz="8" w:space="0" w:color="auto"/>
              <w:bottom w:val="single" w:sz="8" w:space="0" w:color="000000"/>
              <w:right w:val="single" w:sz="8" w:space="0" w:color="auto"/>
            </w:tcBorders>
            <w:shd w:val="clear" w:color="auto" w:fill="808080"/>
            <w:vAlign w:val="center"/>
            <w:hideMark/>
          </w:tcPr>
          <w:p w14:paraId="02085EB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1626EAB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6E079D4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7C0BE062"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287A67A4"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7AE6D771"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04E3F43A"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381D1762"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4F16DAED"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tcBorders>
              <w:top w:val="nil"/>
              <w:left w:val="nil"/>
              <w:bottom w:val="single" w:sz="8" w:space="0" w:color="auto"/>
              <w:right w:val="single" w:sz="4" w:space="0" w:color="auto"/>
            </w:tcBorders>
            <w:shd w:val="clear" w:color="auto" w:fill="808080"/>
            <w:noWrap/>
            <w:vAlign w:val="center"/>
            <w:hideMark/>
          </w:tcPr>
          <w:p w14:paraId="3AD9852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45D5CE7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365F300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tcBorders>
              <w:top w:val="nil"/>
              <w:left w:val="nil"/>
              <w:bottom w:val="single" w:sz="8" w:space="0" w:color="auto"/>
              <w:right w:val="single" w:sz="4" w:space="0" w:color="auto"/>
            </w:tcBorders>
            <w:shd w:val="clear" w:color="auto" w:fill="808080"/>
            <w:noWrap/>
            <w:vAlign w:val="center"/>
            <w:hideMark/>
          </w:tcPr>
          <w:p w14:paraId="7CC36E1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70633C7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2A14D3BE"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7D9B28C6" w14:textId="77777777" w:rsidTr="00EA0FD7">
        <w:trPr>
          <w:trHeight w:val="240"/>
        </w:trPr>
        <w:tc>
          <w:tcPr>
            <w:tcW w:w="1212" w:type="dxa"/>
            <w:tcBorders>
              <w:top w:val="nil"/>
              <w:left w:val="single" w:sz="8" w:space="0" w:color="auto"/>
              <w:bottom w:val="single" w:sz="4" w:space="0" w:color="auto"/>
              <w:right w:val="single" w:sz="4" w:space="0" w:color="auto"/>
            </w:tcBorders>
            <w:noWrap/>
            <w:vAlign w:val="bottom"/>
            <w:hideMark/>
          </w:tcPr>
          <w:p w14:paraId="6EAC10E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44" w:type="dxa"/>
            <w:tcBorders>
              <w:top w:val="nil"/>
              <w:left w:val="nil"/>
              <w:bottom w:val="single" w:sz="4" w:space="0" w:color="auto"/>
              <w:right w:val="single" w:sz="4" w:space="0" w:color="auto"/>
            </w:tcBorders>
            <w:noWrap/>
            <w:vAlign w:val="bottom"/>
            <w:hideMark/>
          </w:tcPr>
          <w:p w14:paraId="5A1241B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352" w:type="dxa"/>
            <w:tcBorders>
              <w:top w:val="nil"/>
              <w:left w:val="nil"/>
              <w:bottom w:val="single" w:sz="4" w:space="0" w:color="auto"/>
              <w:right w:val="single" w:sz="4" w:space="0" w:color="auto"/>
            </w:tcBorders>
            <w:noWrap/>
            <w:vAlign w:val="bottom"/>
            <w:hideMark/>
          </w:tcPr>
          <w:p w14:paraId="096FFFC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48" w:type="dxa"/>
            <w:tcBorders>
              <w:top w:val="nil"/>
              <w:left w:val="nil"/>
              <w:bottom w:val="single" w:sz="4" w:space="0" w:color="auto"/>
              <w:right w:val="single" w:sz="4" w:space="0" w:color="auto"/>
            </w:tcBorders>
            <w:noWrap/>
            <w:vAlign w:val="bottom"/>
            <w:hideMark/>
          </w:tcPr>
          <w:p w14:paraId="28B4E15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tcBorders>
              <w:top w:val="nil"/>
              <w:left w:val="nil"/>
              <w:bottom w:val="single" w:sz="4" w:space="0" w:color="auto"/>
              <w:right w:val="single" w:sz="4" w:space="0" w:color="auto"/>
            </w:tcBorders>
            <w:noWrap/>
            <w:vAlign w:val="bottom"/>
            <w:hideMark/>
          </w:tcPr>
          <w:p w14:paraId="3E34C0B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08D1C94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732292D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1068F05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24DA161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5D8E8FA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8" w:space="0" w:color="auto"/>
            </w:tcBorders>
            <w:noWrap/>
            <w:vAlign w:val="bottom"/>
            <w:hideMark/>
          </w:tcPr>
          <w:p w14:paraId="4129D9F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621371AD" w14:textId="77777777" w:rsidTr="00EA0FD7">
        <w:trPr>
          <w:trHeight w:val="480"/>
        </w:trPr>
        <w:tc>
          <w:tcPr>
            <w:tcW w:w="1212" w:type="dxa"/>
            <w:tcBorders>
              <w:top w:val="nil"/>
              <w:left w:val="single" w:sz="8" w:space="0" w:color="auto"/>
              <w:bottom w:val="single" w:sz="4" w:space="0" w:color="auto"/>
              <w:right w:val="single" w:sz="4" w:space="0" w:color="auto"/>
            </w:tcBorders>
            <w:vAlign w:val="bottom"/>
            <w:hideMark/>
          </w:tcPr>
          <w:p w14:paraId="44782A8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544" w:type="dxa"/>
            <w:tcBorders>
              <w:top w:val="nil"/>
              <w:left w:val="nil"/>
              <w:bottom w:val="single" w:sz="4" w:space="0" w:color="auto"/>
              <w:right w:val="single" w:sz="4" w:space="0" w:color="auto"/>
            </w:tcBorders>
            <w:vAlign w:val="bottom"/>
            <w:hideMark/>
          </w:tcPr>
          <w:p w14:paraId="5104DEA7"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352" w:type="dxa"/>
            <w:tcBorders>
              <w:top w:val="nil"/>
              <w:left w:val="nil"/>
              <w:bottom w:val="single" w:sz="4" w:space="0" w:color="auto"/>
              <w:right w:val="single" w:sz="4" w:space="0" w:color="auto"/>
            </w:tcBorders>
            <w:noWrap/>
            <w:vAlign w:val="bottom"/>
            <w:hideMark/>
          </w:tcPr>
          <w:p w14:paraId="42DE836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1,484,130.63</w:t>
            </w:r>
          </w:p>
        </w:tc>
        <w:tc>
          <w:tcPr>
            <w:tcW w:w="1348" w:type="dxa"/>
            <w:tcBorders>
              <w:top w:val="nil"/>
              <w:left w:val="nil"/>
              <w:bottom w:val="single" w:sz="4" w:space="0" w:color="auto"/>
              <w:right w:val="single" w:sz="4" w:space="0" w:color="auto"/>
            </w:tcBorders>
            <w:noWrap/>
            <w:vAlign w:val="bottom"/>
            <w:hideMark/>
          </w:tcPr>
          <w:p w14:paraId="6D65203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1,415,936.88</w:t>
            </w:r>
          </w:p>
        </w:tc>
        <w:tc>
          <w:tcPr>
            <w:tcW w:w="1336" w:type="dxa"/>
            <w:tcBorders>
              <w:top w:val="nil"/>
              <w:left w:val="nil"/>
              <w:bottom w:val="single" w:sz="4" w:space="0" w:color="auto"/>
              <w:right w:val="single" w:sz="4" w:space="0" w:color="auto"/>
            </w:tcBorders>
            <w:noWrap/>
            <w:vAlign w:val="bottom"/>
            <w:hideMark/>
          </w:tcPr>
          <w:p w14:paraId="5B912D6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1,614,695.89</w:t>
            </w:r>
          </w:p>
        </w:tc>
        <w:tc>
          <w:tcPr>
            <w:tcW w:w="1316" w:type="dxa"/>
            <w:tcBorders>
              <w:top w:val="nil"/>
              <w:left w:val="nil"/>
              <w:bottom w:val="single" w:sz="4" w:space="0" w:color="auto"/>
              <w:right w:val="single" w:sz="4" w:space="0" w:color="auto"/>
            </w:tcBorders>
            <w:noWrap/>
            <w:vAlign w:val="bottom"/>
            <w:hideMark/>
          </w:tcPr>
          <w:p w14:paraId="6B8893D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1,731,804</w:t>
            </w:r>
          </w:p>
        </w:tc>
        <w:tc>
          <w:tcPr>
            <w:tcW w:w="1316" w:type="dxa"/>
            <w:tcBorders>
              <w:top w:val="nil"/>
              <w:left w:val="nil"/>
              <w:bottom w:val="single" w:sz="4" w:space="0" w:color="auto"/>
              <w:right w:val="single" w:sz="4" w:space="0" w:color="auto"/>
            </w:tcBorders>
            <w:noWrap/>
            <w:vAlign w:val="bottom"/>
            <w:hideMark/>
          </w:tcPr>
          <w:p w14:paraId="719BEEB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1,736,113</w:t>
            </w:r>
          </w:p>
        </w:tc>
        <w:tc>
          <w:tcPr>
            <w:tcW w:w="1316" w:type="dxa"/>
            <w:tcBorders>
              <w:top w:val="nil"/>
              <w:left w:val="nil"/>
              <w:bottom w:val="single" w:sz="4" w:space="0" w:color="auto"/>
              <w:right w:val="single" w:sz="4" w:space="0" w:color="auto"/>
            </w:tcBorders>
            <w:noWrap/>
            <w:vAlign w:val="bottom"/>
            <w:hideMark/>
          </w:tcPr>
          <w:p w14:paraId="06213C5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1,740,366</w:t>
            </w:r>
          </w:p>
        </w:tc>
        <w:tc>
          <w:tcPr>
            <w:tcW w:w="1316" w:type="dxa"/>
            <w:tcBorders>
              <w:top w:val="nil"/>
              <w:left w:val="nil"/>
              <w:bottom w:val="single" w:sz="4" w:space="0" w:color="auto"/>
              <w:right w:val="single" w:sz="4" w:space="0" w:color="auto"/>
            </w:tcBorders>
            <w:noWrap/>
            <w:vAlign w:val="bottom"/>
            <w:hideMark/>
          </w:tcPr>
          <w:p w14:paraId="4414C46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1,594,802</w:t>
            </w:r>
          </w:p>
        </w:tc>
        <w:tc>
          <w:tcPr>
            <w:tcW w:w="1316" w:type="dxa"/>
            <w:tcBorders>
              <w:top w:val="nil"/>
              <w:left w:val="nil"/>
              <w:bottom w:val="single" w:sz="4" w:space="0" w:color="auto"/>
              <w:right w:val="single" w:sz="4" w:space="0" w:color="auto"/>
            </w:tcBorders>
            <w:noWrap/>
            <w:vAlign w:val="bottom"/>
            <w:hideMark/>
          </w:tcPr>
          <w:p w14:paraId="6BC055D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1,599,111</w:t>
            </w:r>
          </w:p>
        </w:tc>
        <w:tc>
          <w:tcPr>
            <w:tcW w:w="1316" w:type="dxa"/>
            <w:tcBorders>
              <w:top w:val="nil"/>
              <w:left w:val="nil"/>
              <w:bottom w:val="single" w:sz="4" w:space="0" w:color="auto"/>
              <w:right w:val="single" w:sz="4" w:space="0" w:color="auto"/>
            </w:tcBorders>
            <w:noWrap/>
            <w:vAlign w:val="bottom"/>
            <w:hideMark/>
          </w:tcPr>
          <w:p w14:paraId="4CAB48C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1,603,364</w:t>
            </w:r>
          </w:p>
        </w:tc>
      </w:tr>
      <w:tr w:rsidR="00EA0FD7" w:rsidRPr="00EA0FD7" w14:paraId="369C2565" w14:textId="77777777" w:rsidTr="00EA0FD7">
        <w:trPr>
          <w:trHeight w:val="240"/>
        </w:trPr>
        <w:tc>
          <w:tcPr>
            <w:tcW w:w="1212" w:type="dxa"/>
            <w:tcBorders>
              <w:top w:val="nil"/>
              <w:left w:val="single" w:sz="8" w:space="0" w:color="auto"/>
              <w:bottom w:val="single" w:sz="4" w:space="0" w:color="auto"/>
              <w:right w:val="single" w:sz="4" w:space="0" w:color="auto"/>
            </w:tcBorders>
            <w:noWrap/>
            <w:vAlign w:val="bottom"/>
            <w:hideMark/>
          </w:tcPr>
          <w:p w14:paraId="1EFCD7F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611200</w:t>
            </w:r>
          </w:p>
        </w:tc>
        <w:tc>
          <w:tcPr>
            <w:tcW w:w="2544" w:type="dxa"/>
            <w:tcBorders>
              <w:top w:val="nil"/>
              <w:left w:val="nil"/>
              <w:bottom w:val="single" w:sz="4" w:space="0" w:color="auto"/>
              <w:right w:val="single" w:sz="4" w:space="0" w:color="auto"/>
            </w:tcBorders>
            <w:vAlign w:val="bottom"/>
            <w:hideMark/>
          </w:tcPr>
          <w:p w14:paraId="64F5B13C"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352" w:type="dxa"/>
            <w:tcBorders>
              <w:top w:val="nil"/>
              <w:left w:val="nil"/>
              <w:bottom w:val="single" w:sz="4" w:space="0" w:color="auto"/>
              <w:right w:val="single" w:sz="4" w:space="0" w:color="auto"/>
            </w:tcBorders>
            <w:noWrap/>
            <w:vAlign w:val="bottom"/>
            <w:hideMark/>
          </w:tcPr>
          <w:p w14:paraId="409D45D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72,251.00</w:t>
            </w:r>
          </w:p>
        </w:tc>
        <w:tc>
          <w:tcPr>
            <w:tcW w:w="1348" w:type="dxa"/>
            <w:tcBorders>
              <w:top w:val="nil"/>
              <w:left w:val="nil"/>
              <w:bottom w:val="single" w:sz="4" w:space="0" w:color="auto"/>
              <w:right w:val="single" w:sz="4" w:space="0" w:color="auto"/>
            </w:tcBorders>
            <w:noWrap/>
            <w:vAlign w:val="bottom"/>
            <w:hideMark/>
          </w:tcPr>
          <w:p w14:paraId="6C8CB99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20,247.00</w:t>
            </w:r>
          </w:p>
        </w:tc>
        <w:tc>
          <w:tcPr>
            <w:tcW w:w="1336" w:type="dxa"/>
            <w:tcBorders>
              <w:top w:val="nil"/>
              <w:left w:val="nil"/>
              <w:bottom w:val="single" w:sz="4" w:space="0" w:color="auto"/>
              <w:right w:val="single" w:sz="4" w:space="0" w:color="auto"/>
            </w:tcBorders>
            <w:noWrap/>
            <w:vAlign w:val="bottom"/>
            <w:hideMark/>
          </w:tcPr>
          <w:p w14:paraId="6DB8E56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115,100.00</w:t>
            </w:r>
          </w:p>
        </w:tc>
        <w:tc>
          <w:tcPr>
            <w:tcW w:w="1316" w:type="dxa"/>
            <w:tcBorders>
              <w:top w:val="nil"/>
              <w:left w:val="nil"/>
              <w:bottom w:val="single" w:sz="4" w:space="0" w:color="auto"/>
              <w:right w:val="single" w:sz="4" w:space="0" w:color="auto"/>
            </w:tcBorders>
            <w:noWrap/>
            <w:vAlign w:val="bottom"/>
            <w:hideMark/>
          </w:tcPr>
          <w:p w14:paraId="6946149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117,550</w:t>
            </w:r>
          </w:p>
        </w:tc>
        <w:tc>
          <w:tcPr>
            <w:tcW w:w="1316" w:type="dxa"/>
            <w:tcBorders>
              <w:top w:val="nil"/>
              <w:left w:val="nil"/>
              <w:bottom w:val="single" w:sz="4" w:space="0" w:color="auto"/>
              <w:right w:val="single" w:sz="4" w:space="0" w:color="auto"/>
            </w:tcBorders>
            <w:noWrap/>
            <w:vAlign w:val="bottom"/>
            <w:hideMark/>
          </w:tcPr>
          <w:p w14:paraId="40917D5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117,550</w:t>
            </w:r>
          </w:p>
        </w:tc>
        <w:tc>
          <w:tcPr>
            <w:tcW w:w="1316" w:type="dxa"/>
            <w:tcBorders>
              <w:top w:val="nil"/>
              <w:left w:val="nil"/>
              <w:bottom w:val="single" w:sz="4" w:space="0" w:color="auto"/>
              <w:right w:val="single" w:sz="4" w:space="0" w:color="auto"/>
            </w:tcBorders>
            <w:noWrap/>
            <w:vAlign w:val="bottom"/>
            <w:hideMark/>
          </w:tcPr>
          <w:p w14:paraId="28813B5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119,550</w:t>
            </w:r>
          </w:p>
        </w:tc>
        <w:tc>
          <w:tcPr>
            <w:tcW w:w="1316" w:type="dxa"/>
            <w:tcBorders>
              <w:top w:val="nil"/>
              <w:left w:val="nil"/>
              <w:bottom w:val="single" w:sz="4" w:space="0" w:color="auto"/>
              <w:right w:val="single" w:sz="4" w:space="0" w:color="auto"/>
            </w:tcBorders>
            <w:noWrap/>
            <w:vAlign w:val="bottom"/>
            <w:hideMark/>
          </w:tcPr>
          <w:p w14:paraId="00CDFA7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117,550</w:t>
            </w:r>
          </w:p>
        </w:tc>
        <w:tc>
          <w:tcPr>
            <w:tcW w:w="1316" w:type="dxa"/>
            <w:tcBorders>
              <w:top w:val="nil"/>
              <w:left w:val="nil"/>
              <w:bottom w:val="single" w:sz="4" w:space="0" w:color="auto"/>
              <w:right w:val="single" w:sz="4" w:space="0" w:color="auto"/>
            </w:tcBorders>
            <w:noWrap/>
            <w:vAlign w:val="bottom"/>
            <w:hideMark/>
          </w:tcPr>
          <w:p w14:paraId="790F08E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117,550</w:t>
            </w:r>
          </w:p>
        </w:tc>
        <w:tc>
          <w:tcPr>
            <w:tcW w:w="1316" w:type="dxa"/>
            <w:tcBorders>
              <w:top w:val="nil"/>
              <w:left w:val="nil"/>
              <w:bottom w:val="single" w:sz="4" w:space="0" w:color="auto"/>
              <w:right w:val="single" w:sz="4" w:space="0" w:color="auto"/>
            </w:tcBorders>
            <w:noWrap/>
            <w:vAlign w:val="bottom"/>
            <w:hideMark/>
          </w:tcPr>
          <w:p w14:paraId="50D5D6B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119,550</w:t>
            </w:r>
          </w:p>
        </w:tc>
      </w:tr>
      <w:tr w:rsidR="00EA0FD7" w:rsidRPr="00EA0FD7" w14:paraId="00ED44DD" w14:textId="77777777" w:rsidTr="00EA0FD7">
        <w:trPr>
          <w:trHeight w:val="480"/>
        </w:trPr>
        <w:tc>
          <w:tcPr>
            <w:tcW w:w="1212" w:type="dxa"/>
            <w:tcBorders>
              <w:top w:val="nil"/>
              <w:left w:val="single" w:sz="8" w:space="0" w:color="auto"/>
              <w:bottom w:val="single" w:sz="4" w:space="0" w:color="auto"/>
              <w:right w:val="single" w:sz="4" w:space="0" w:color="auto"/>
            </w:tcBorders>
            <w:noWrap/>
            <w:vAlign w:val="bottom"/>
            <w:hideMark/>
          </w:tcPr>
          <w:p w14:paraId="1F535C8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544" w:type="dxa"/>
            <w:tcBorders>
              <w:top w:val="nil"/>
              <w:left w:val="nil"/>
              <w:bottom w:val="single" w:sz="4" w:space="0" w:color="auto"/>
              <w:right w:val="single" w:sz="4" w:space="0" w:color="auto"/>
            </w:tcBorders>
            <w:vAlign w:val="bottom"/>
            <w:hideMark/>
          </w:tcPr>
          <w:p w14:paraId="5C11496F"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352" w:type="dxa"/>
            <w:tcBorders>
              <w:top w:val="nil"/>
              <w:left w:val="nil"/>
              <w:bottom w:val="single" w:sz="4" w:space="0" w:color="auto"/>
              <w:right w:val="single" w:sz="4" w:space="0" w:color="auto"/>
            </w:tcBorders>
            <w:noWrap/>
            <w:vAlign w:val="bottom"/>
            <w:hideMark/>
          </w:tcPr>
          <w:p w14:paraId="1E3B0F7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343,088.02</w:t>
            </w:r>
          </w:p>
        </w:tc>
        <w:tc>
          <w:tcPr>
            <w:tcW w:w="1348" w:type="dxa"/>
            <w:tcBorders>
              <w:top w:val="nil"/>
              <w:left w:val="nil"/>
              <w:bottom w:val="single" w:sz="4" w:space="0" w:color="auto"/>
              <w:right w:val="single" w:sz="4" w:space="0" w:color="auto"/>
            </w:tcBorders>
            <w:noWrap/>
            <w:vAlign w:val="bottom"/>
            <w:hideMark/>
          </w:tcPr>
          <w:p w14:paraId="5ACD813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288,347.44</w:t>
            </w:r>
          </w:p>
        </w:tc>
        <w:tc>
          <w:tcPr>
            <w:tcW w:w="1336" w:type="dxa"/>
            <w:tcBorders>
              <w:top w:val="nil"/>
              <w:left w:val="nil"/>
              <w:bottom w:val="single" w:sz="4" w:space="0" w:color="auto"/>
              <w:right w:val="single" w:sz="4" w:space="0" w:color="auto"/>
            </w:tcBorders>
            <w:noWrap/>
            <w:vAlign w:val="bottom"/>
            <w:hideMark/>
          </w:tcPr>
          <w:p w14:paraId="18E379F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341,827.00</w:t>
            </w:r>
          </w:p>
        </w:tc>
        <w:tc>
          <w:tcPr>
            <w:tcW w:w="1316" w:type="dxa"/>
            <w:tcBorders>
              <w:top w:val="nil"/>
              <w:left w:val="nil"/>
              <w:bottom w:val="single" w:sz="4" w:space="0" w:color="auto"/>
              <w:right w:val="single" w:sz="4" w:space="0" w:color="auto"/>
            </w:tcBorders>
            <w:noWrap/>
            <w:vAlign w:val="bottom"/>
            <w:hideMark/>
          </w:tcPr>
          <w:p w14:paraId="69CAE82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383,047</w:t>
            </w:r>
          </w:p>
        </w:tc>
        <w:tc>
          <w:tcPr>
            <w:tcW w:w="1316" w:type="dxa"/>
            <w:tcBorders>
              <w:top w:val="nil"/>
              <w:left w:val="nil"/>
              <w:bottom w:val="single" w:sz="4" w:space="0" w:color="auto"/>
              <w:right w:val="single" w:sz="4" w:space="0" w:color="auto"/>
            </w:tcBorders>
            <w:noWrap/>
            <w:vAlign w:val="bottom"/>
            <w:hideMark/>
          </w:tcPr>
          <w:p w14:paraId="2838D77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403,548</w:t>
            </w:r>
          </w:p>
        </w:tc>
        <w:tc>
          <w:tcPr>
            <w:tcW w:w="1316" w:type="dxa"/>
            <w:tcBorders>
              <w:top w:val="nil"/>
              <w:left w:val="nil"/>
              <w:bottom w:val="single" w:sz="4" w:space="0" w:color="auto"/>
              <w:right w:val="single" w:sz="4" w:space="0" w:color="auto"/>
            </w:tcBorders>
            <w:noWrap/>
            <w:vAlign w:val="bottom"/>
            <w:hideMark/>
          </w:tcPr>
          <w:p w14:paraId="27AECC0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383,048</w:t>
            </w:r>
          </w:p>
        </w:tc>
        <w:tc>
          <w:tcPr>
            <w:tcW w:w="1316" w:type="dxa"/>
            <w:tcBorders>
              <w:top w:val="nil"/>
              <w:left w:val="nil"/>
              <w:bottom w:val="single" w:sz="4" w:space="0" w:color="auto"/>
              <w:right w:val="single" w:sz="4" w:space="0" w:color="auto"/>
            </w:tcBorders>
            <w:noWrap/>
            <w:vAlign w:val="bottom"/>
            <w:hideMark/>
          </w:tcPr>
          <w:p w14:paraId="77D5A2D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383,047</w:t>
            </w:r>
          </w:p>
        </w:tc>
        <w:tc>
          <w:tcPr>
            <w:tcW w:w="1316" w:type="dxa"/>
            <w:tcBorders>
              <w:top w:val="nil"/>
              <w:left w:val="nil"/>
              <w:bottom w:val="single" w:sz="4" w:space="0" w:color="auto"/>
              <w:right w:val="single" w:sz="4" w:space="0" w:color="auto"/>
            </w:tcBorders>
            <w:noWrap/>
            <w:vAlign w:val="bottom"/>
            <w:hideMark/>
          </w:tcPr>
          <w:p w14:paraId="59D5402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403,548</w:t>
            </w:r>
          </w:p>
        </w:tc>
        <w:tc>
          <w:tcPr>
            <w:tcW w:w="1316" w:type="dxa"/>
            <w:tcBorders>
              <w:top w:val="nil"/>
              <w:left w:val="nil"/>
              <w:bottom w:val="single" w:sz="4" w:space="0" w:color="auto"/>
              <w:right w:val="single" w:sz="4" w:space="0" w:color="auto"/>
            </w:tcBorders>
            <w:noWrap/>
            <w:vAlign w:val="bottom"/>
            <w:hideMark/>
          </w:tcPr>
          <w:p w14:paraId="650B634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383,048</w:t>
            </w:r>
          </w:p>
        </w:tc>
      </w:tr>
      <w:tr w:rsidR="00EA0FD7" w:rsidRPr="00EA0FD7" w14:paraId="5C3DFAF9" w14:textId="77777777" w:rsidTr="00EA0FD7">
        <w:trPr>
          <w:trHeight w:val="480"/>
        </w:trPr>
        <w:tc>
          <w:tcPr>
            <w:tcW w:w="1212" w:type="dxa"/>
            <w:tcBorders>
              <w:top w:val="nil"/>
              <w:left w:val="single" w:sz="8" w:space="0" w:color="auto"/>
              <w:bottom w:val="single" w:sz="4" w:space="0" w:color="auto"/>
              <w:right w:val="single" w:sz="4" w:space="0" w:color="auto"/>
            </w:tcBorders>
            <w:vAlign w:val="bottom"/>
            <w:hideMark/>
          </w:tcPr>
          <w:p w14:paraId="2977752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614000</w:t>
            </w:r>
          </w:p>
        </w:tc>
        <w:tc>
          <w:tcPr>
            <w:tcW w:w="2544" w:type="dxa"/>
            <w:tcBorders>
              <w:top w:val="nil"/>
              <w:left w:val="nil"/>
              <w:bottom w:val="single" w:sz="4" w:space="0" w:color="auto"/>
              <w:right w:val="single" w:sz="4" w:space="0" w:color="auto"/>
            </w:tcBorders>
            <w:vAlign w:val="bottom"/>
            <w:hideMark/>
          </w:tcPr>
          <w:p w14:paraId="66D53839"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352" w:type="dxa"/>
            <w:tcBorders>
              <w:top w:val="nil"/>
              <w:left w:val="nil"/>
              <w:bottom w:val="single" w:sz="4" w:space="0" w:color="auto"/>
              <w:right w:val="single" w:sz="4" w:space="0" w:color="auto"/>
            </w:tcBorders>
            <w:noWrap/>
            <w:vAlign w:val="bottom"/>
            <w:hideMark/>
          </w:tcPr>
          <w:p w14:paraId="1CDAC1C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1,422,246.00</w:t>
            </w:r>
          </w:p>
        </w:tc>
        <w:tc>
          <w:tcPr>
            <w:tcW w:w="1348" w:type="dxa"/>
            <w:tcBorders>
              <w:top w:val="nil"/>
              <w:left w:val="nil"/>
              <w:bottom w:val="single" w:sz="4" w:space="0" w:color="auto"/>
              <w:right w:val="single" w:sz="4" w:space="0" w:color="auto"/>
            </w:tcBorders>
            <w:noWrap/>
            <w:vAlign w:val="bottom"/>
            <w:hideMark/>
          </w:tcPr>
          <w:p w14:paraId="0F47DF9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1,056,518.63</w:t>
            </w:r>
          </w:p>
        </w:tc>
        <w:tc>
          <w:tcPr>
            <w:tcW w:w="1336" w:type="dxa"/>
            <w:tcBorders>
              <w:top w:val="nil"/>
              <w:left w:val="nil"/>
              <w:bottom w:val="single" w:sz="4" w:space="0" w:color="auto"/>
              <w:right w:val="single" w:sz="4" w:space="0" w:color="auto"/>
            </w:tcBorders>
            <w:noWrap/>
            <w:vAlign w:val="bottom"/>
            <w:hideMark/>
          </w:tcPr>
          <w:p w14:paraId="5359222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1,295,000.00</w:t>
            </w:r>
          </w:p>
        </w:tc>
        <w:tc>
          <w:tcPr>
            <w:tcW w:w="1316" w:type="dxa"/>
            <w:tcBorders>
              <w:top w:val="nil"/>
              <w:left w:val="nil"/>
              <w:bottom w:val="single" w:sz="4" w:space="0" w:color="auto"/>
              <w:right w:val="single" w:sz="4" w:space="0" w:color="auto"/>
            </w:tcBorders>
            <w:noWrap/>
            <w:vAlign w:val="bottom"/>
            <w:hideMark/>
          </w:tcPr>
          <w:p w14:paraId="1D7F456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1,503,000</w:t>
            </w:r>
          </w:p>
        </w:tc>
        <w:tc>
          <w:tcPr>
            <w:tcW w:w="1316" w:type="dxa"/>
            <w:tcBorders>
              <w:top w:val="nil"/>
              <w:left w:val="nil"/>
              <w:bottom w:val="single" w:sz="4" w:space="0" w:color="auto"/>
              <w:right w:val="single" w:sz="4" w:space="0" w:color="auto"/>
            </w:tcBorders>
            <w:noWrap/>
            <w:vAlign w:val="bottom"/>
            <w:hideMark/>
          </w:tcPr>
          <w:p w14:paraId="3695313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1,503,000</w:t>
            </w:r>
          </w:p>
        </w:tc>
        <w:tc>
          <w:tcPr>
            <w:tcW w:w="1316" w:type="dxa"/>
            <w:tcBorders>
              <w:top w:val="nil"/>
              <w:left w:val="nil"/>
              <w:bottom w:val="single" w:sz="4" w:space="0" w:color="auto"/>
              <w:right w:val="single" w:sz="4" w:space="0" w:color="auto"/>
            </w:tcBorders>
            <w:noWrap/>
            <w:vAlign w:val="bottom"/>
            <w:hideMark/>
          </w:tcPr>
          <w:p w14:paraId="148EE84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1,503,000</w:t>
            </w:r>
          </w:p>
        </w:tc>
        <w:tc>
          <w:tcPr>
            <w:tcW w:w="1316" w:type="dxa"/>
            <w:tcBorders>
              <w:top w:val="nil"/>
              <w:left w:val="nil"/>
              <w:bottom w:val="single" w:sz="4" w:space="0" w:color="auto"/>
              <w:right w:val="single" w:sz="4" w:space="0" w:color="auto"/>
            </w:tcBorders>
            <w:noWrap/>
            <w:vAlign w:val="bottom"/>
            <w:hideMark/>
          </w:tcPr>
          <w:p w14:paraId="49727E1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1,400,000</w:t>
            </w:r>
          </w:p>
        </w:tc>
        <w:tc>
          <w:tcPr>
            <w:tcW w:w="1316" w:type="dxa"/>
            <w:tcBorders>
              <w:top w:val="nil"/>
              <w:left w:val="nil"/>
              <w:bottom w:val="single" w:sz="4" w:space="0" w:color="auto"/>
              <w:right w:val="single" w:sz="4" w:space="0" w:color="auto"/>
            </w:tcBorders>
            <w:noWrap/>
            <w:vAlign w:val="bottom"/>
            <w:hideMark/>
          </w:tcPr>
          <w:p w14:paraId="485CAB1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1,503,000</w:t>
            </w:r>
          </w:p>
        </w:tc>
        <w:tc>
          <w:tcPr>
            <w:tcW w:w="1316" w:type="dxa"/>
            <w:tcBorders>
              <w:top w:val="nil"/>
              <w:left w:val="nil"/>
              <w:bottom w:val="single" w:sz="4" w:space="0" w:color="auto"/>
              <w:right w:val="single" w:sz="4" w:space="0" w:color="auto"/>
            </w:tcBorders>
            <w:noWrap/>
            <w:vAlign w:val="bottom"/>
            <w:hideMark/>
          </w:tcPr>
          <w:p w14:paraId="261DB1E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1,503,000</w:t>
            </w:r>
          </w:p>
        </w:tc>
      </w:tr>
      <w:tr w:rsidR="00EA0FD7" w:rsidRPr="00EA0FD7" w14:paraId="2751F67F" w14:textId="77777777" w:rsidTr="00EA0FD7">
        <w:trPr>
          <w:trHeight w:val="240"/>
        </w:trPr>
        <w:tc>
          <w:tcPr>
            <w:tcW w:w="1212" w:type="dxa"/>
            <w:tcBorders>
              <w:top w:val="nil"/>
              <w:left w:val="single" w:sz="8" w:space="0" w:color="auto"/>
              <w:bottom w:val="nil"/>
              <w:right w:val="single" w:sz="4" w:space="0" w:color="auto"/>
            </w:tcBorders>
            <w:vAlign w:val="bottom"/>
            <w:hideMark/>
          </w:tcPr>
          <w:p w14:paraId="50D2146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lastRenderedPageBreak/>
              <w:t>615000</w:t>
            </w:r>
          </w:p>
        </w:tc>
        <w:tc>
          <w:tcPr>
            <w:tcW w:w="2544" w:type="dxa"/>
            <w:tcBorders>
              <w:top w:val="nil"/>
              <w:left w:val="nil"/>
              <w:bottom w:val="nil"/>
              <w:right w:val="single" w:sz="4" w:space="0" w:color="auto"/>
            </w:tcBorders>
            <w:vAlign w:val="bottom"/>
            <w:hideMark/>
          </w:tcPr>
          <w:p w14:paraId="266657A4"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352" w:type="dxa"/>
            <w:tcBorders>
              <w:top w:val="nil"/>
              <w:left w:val="nil"/>
              <w:bottom w:val="nil"/>
              <w:right w:val="single" w:sz="4" w:space="0" w:color="auto"/>
            </w:tcBorders>
            <w:noWrap/>
            <w:vAlign w:val="bottom"/>
            <w:hideMark/>
          </w:tcPr>
          <w:p w14:paraId="3F3CF15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48" w:type="dxa"/>
            <w:tcBorders>
              <w:top w:val="nil"/>
              <w:left w:val="nil"/>
              <w:bottom w:val="nil"/>
              <w:right w:val="single" w:sz="4" w:space="0" w:color="auto"/>
            </w:tcBorders>
            <w:noWrap/>
            <w:vAlign w:val="bottom"/>
            <w:hideMark/>
          </w:tcPr>
          <w:p w14:paraId="20036A6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36" w:type="dxa"/>
            <w:tcBorders>
              <w:top w:val="nil"/>
              <w:left w:val="nil"/>
              <w:bottom w:val="nil"/>
              <w:right w:val="single" w:sz="4" w:space="0" w:color="auto"/>
            </w:tcBorders>
            <w:noWrap/>
            <w:vAlign w:val="bottom"/>
            <w:hideMark/>
          </w:tcPr>
          <w:p w14:paraId="3E14C19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single" w:sz="4" w:space="0" w:color="auto"/>
              <w:right w:val="single" w:sz="4" w:space="0" w:color="auto"/>
            </w:tcBorders>
            <w:noWrap/>
            <w:vAlign w:val="bottom"/>
            <w:hideMark/>
          </w:tcPr>
          <w:p w14:paraId="3D527F3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20E81D6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03BCD4E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7E3F9B1E"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692ED6DD"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44F5DDFC"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w:t>
            </w:r>
          </w:p>
        </w:tc>
      </w:tr>
      <w:tr w:rsidR="00EA0FD7" w:rsidRPr="00EA0FD7" w14:paraId="2441F2EC" w14:textId="77777777" w:rsidTr="00EA0FD7">
        <w:trPr>
          <w:trHeight w:val="480"/>
        </w:trPr>
        <w:tc>
          <w:tcPr>
            <w:tcW w:w="1212" w:type="dxa"/>
            <w:tcBorders>
              <w:top w:val="single" w:sz="4" w:space="0" w:color="auto"/>
              <w:left w:val="single" w:sz="8" w:space="0" w:color="auto"/>
              <w:bottom w:val="nil"/>
              <w:right w:val="single" w:sz="4" w:space="0" w:color="auto"/>
            </w:tcBorders>
            <w:noWrap/>
            <w:vAlign w:val="bottom"/>
            <w:hideMark/>
          </w:tcPr>
          <w:p w14:paraId="0E6A39D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821000</w:t>
            </w:r>
          </w:p>
        </w:tc>
        <w:tc>
          <w:tcPr>
            <w:tcW w:w="2544" w:type="dxa"/>
            <w:tcBorders>
              <w:top w:val="single" w:sz="4" w:space="0" w:color="auto"/>
              <w:left w:val="nil"/>
              <w:bottom w:val="nil"/>
              <w:right w:val="single" w:sz="4" w:space="0" w:color="auto"/>
            </w:tcBorders>
            <w:vAlign w:val="bottom"/>
            <w:hideMark/>
          </w:tcPr>
          <w:p w14:paraId="1C397619"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352" w:type="dxa"/>
            <w:tcBorders>
              <w:top w:val="single" w:sz="4" w:space="0" w:color="auto"/>
              <w:left w:val="nil"/>
              <w:bottom w:val="nil"/>
              <w:right w:val="single" w:sz="4" w:space="0" w:color="auto"/>
            </w:tcBorders>
            <w:noWrap/>
            <w:vAlign w:val="bottom"/>
            <w:hideMark/>
          </w:tcPr>
          <w:p w14:paraId="63746F2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226,734.00</w:t>
            </w:r>
          </w:p>
        </w:tc>
        <w:tc>
          <w:tcPr>
            <w:tcW w:w="1348" w:type="dxa"/>
            <w:tcBorders>
              <w:top w:val="single" w:sz="4" w:space="0" w:color="auto"/>
              <w:left w:val="nil"/>
              <w:bottom w:val="nil"/>
              <w:right w:val="single" w:sz="4" w:space="0" w:color="auto"/>
            </w:tcBorders>
            <w:noWrap/>
            <w:vAlign w:val="bottom"/>
            <w:hideMark/>
          </w:tcPr>
          <w:p w14:paraId="04D81AD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10,972.35</w:t>
            </w:r>
          </w:p>
        </w:tc>
        <w:tc>
          <w:tcPr>
            <w:tcW w:w="1336" w:type="dxa"/>
            <w:tcBorders>
              <w:top w:val="single" w:sz="4" w:space="0" w:color="auto"/>
              <w:left w:val="nil"/>
              <w:bottom w:val="nil"/>
              <w:right w:val="single" w:sz="4" w:space="0" w:color="auto"/>
            </w:tcBorders>
            <w:noWrap/>
            <w:vAlign w:val="bottom"/>
            <w:hideMark/>
          </w:tcPr>
          <w:p w14:paraId="718B238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313,491.00</w:t>
            </w:r>
          </w:p>
        </w:tc>
        <w:tc>
          <w:tcPr>
            <w:tcW w:w="1316" w:type="dxa"/>
            <w:tcBorders>
              <w:top w:val="nil"/>
              <w:left w:val="nil"/>
              <w:bottom w:val="nil"/>
              <w:right w:val="single" w:sz="4" w:space="0" w:color="auto"/>
            </w:tcBorders>
            <w:noWrap/>
            <w:vAlign w:val="bottom"/>
            <w:hideMark/>
          </w:tcPr>
          <w:p w14:paraId="01DF592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315,000</w:t>
            </w:r>
          </w:p>
        </w:tc>
        <w:tc>
          <w:tcPr>
            <w:tcW w:w="1316" w:type="dxa"/>
            <w:tcBorders>
              <w:top w:val="nil"/>
              <w:left w:val="nil"/>
              <w:bottom w:val="nil"/>
              <w:right w:val="single" w:sz="4" w:space="0" w:color="auto"/>
            </w:tcBorders>
            <w:noWrap/>
            <w:vAlign w:val="bottom"/>
            <w:hideMark/>
          </w:tcPr>
          <w:p w14:paraId="706ADAF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255,000</w:t>
            </w:r>
          </w:p>
        </w:tc>
        <w:tc>
          <w:tcPr>
            <w:tcW w:w="1316" w:type="dxa"/>
            <w:tcBorders>
              <w:top w:val="nil"/>
              <w:left w:val="nil"/>
              <w:bottom w:val="nil"/>
              <w:right w:val="single" w:sz="4" w:space="0" w:color="auto"/>
            </w:tcBorders>
            <w:noWrap/>
            <w:vAlign w:val="bottom"/>
            <w:hideMark/>
          </w:tcPr>
          <w:p w14:paraId="4E602F3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255,000</w:t>
            </w:r>
          </w:p>
        </w:tc>
        <w:tc>
          <w:tcPr>
            <w:tcW w:w="1316" w:type="dxa"/>
            <w:tcBorders>
              <w:top w:val="nil"/>
              <w:left w:val="nil"/>
              <w:bottom w:val="nil"/>
              <w:right w:val="single" w:sz="4" w:space="0" w:color="auto"/>
            </w:tcBorders>
            <w:noWrap/>
            <w:vAlign w:val="bottom"/>
            <w:hideMark/>
          </w:tcPr>
          <w:p w14:paraId="5B006C4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315,000</w:t>
            </w:r>
          </w:p>
        </w:tc>
        <w:tc>
          <w:tcPr>
            <w:tcW w:w="1316" w:type="dxa"/>
            <w:tcBorders>
              <w:top w:val="nil"/>
              <w:left w:val="nil"/>
              <w:bottom w:val="nil"/>
              <w:right w:val="single" w:sz="4" w:space="0" w:color="auto"/>
            </w:tcBorders>
            <w:noWrap/>
            <w:vAlign w:val="bottom"/>
            <w:hideMark/>
          </w:tcPr>
          <w:p w14:paraId="3A47DAE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255,000</w:t>
            </w:r>
          </w:p>
        </w:tc>
        <w:tc>
          <w:tcPr>
            <w:tcW w:w="1316" w:type="dxa"/>
            <w:tcBorders>
              <w:top w:val="nil"/>
              <w:left w:val="nil"/>
              <w:bottom w:val="nil"/>
              <w:right w:val="single" w:sz="4" w:space="0" w:color="auto"/>
            </w:tcBorders>
            <w:noWrap/>
            <w:vAlign w:val="bottom"/>
            <w:hideMark/>
          </w:tcPr>
          <w:p w14:paraId="71A6BA3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255,000</w:t>
            </w:r>
          </w:p>
        </w:tc>
      </w:tr>
      <w:tr w:rsidR="00EA0FD7" w:rsidRPr="00EA0FD7" w14:paraId="4D72D639" w14:textId="77777777" w:rsidTr="00EA0FD7">
        <w:trPr>
          <w:trHeight w:val="255"/>
        </w:trPr>
        <w:tc>
          <w:tcPr>
            <w:tcW w:w="1212" w:type="dxa"/>
            <w:tcBorders>
              <w:top w:val="single" w:sz="8" w:space="0" w:color="auto"/>
              <w:left w:val="single" w:sz="8" w:space="0" w:color="auto"/>
              <w:bottom w:val="single" w:sz="8" w:space="0" w:color="auto"/>
              <w:right w:val="single" w:sz="8" w:space="0" w:color="auto"/>
            </w:tcBorders>
            <w:noWrap/>
            <w:vAlign w:val="bottom"/>
            <w:hideMark/>
          </w:tcPr>
          <w:p w14:paraId="11110AC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44" w:type="dxa"/>
            <w:tcBorders>
              <w:top w:val="single" w:sz="8" w:space="0" w:color="auto"/>
              <w:left w:val="nil"/>
              <w:bottom w:val="single" w:sz="8" w:space="0" w:color="auto"/>
              <w:right w:val="single" w:sz="8" w:space="0" w:color="auto"/>
            </w:tcBorders>
            <w:noWrap/>
            <w:vAlign w:val="bottom"/>
            <w:hideMark/>
          </w:tcPr>
          <w:p w14:paraId="55D7FD6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352" w:type="dxa"/>
            <w:tcBorders>
              <w:top w:val="single" w:sz="8" w:space="0" w:color="auto"/>
              <w:left w:val="nil"/>
              <w:bottom w:val="single" w:sz="8" w:space="0" w:color="auto"/>
              <w:right w:val="single" w:sz="8" w:space="0" w:color="auto"/>
            </w:tcBorders>
            <w:noWrap/>
            <w:vAlign w:val="bottom"/>
            <w:hideMark/>
          </w:tcPr>
          <w:p w14:paraId="5A20B18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3,548,449.65</w:t>
            </w:r>
          </w:p>
        </w:tc>
        <w:tc>
          <w:tcPr>
            <w:tcW w:w="1348" w:type="dxa"/>
            <w:tcBorders>
              <w:top w:val="single" w:sz="8" w:space="0" w:color="auto"/>
              <w:left w:val="nil"/>
              <w:bottom w:val="single" w:sz="8" w:space="0" w:color="auto"/>
              <w:right w:val="single" w:sz="8" w:space="0" w:color="auto"/>
            </w:tcBorders>
            <w:noWrap/>
            <w:vAlign w:val="bottom"/>
            <w:hideMark/>
          </w:tcPr>
          <w:p w14:paraId="33477DD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2,792,022.30</w:t>
            </w:r>
          </w:p>
        </w:tc>
        <w:tc>
          <w:tcPr>
            <w:tcW w:w="1336" w:type="dxa"/>
            <w:tcBorders>
              <w:top w:val="single" w:sz="8" w:space="0" w:color="auto"/>
              <w:left w:val="nil"/>
              <w:bottom w:val="single" w:sz="8" w:space="0" w:color="auto"/>
              <w:right w:val="single" w:sz="8" w:space="0" w:color="auto"/>
            </w:tcBorders>
            <w:noWrap/>
            <w:vAlign w:val="bottom"/>
            <w:hideMark/>
          </w:tcPr>
          <w:p w14:paraId="58B31C8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3,680,113.89</w:t>
            </w:r>
          </w:p>
        </w:tc>
        <w:tc>
          <w:tcPr>
            <w:tcW w:w="1316" w:type="dxa"/>
            <w:tcBorders>
              <w:top w:val="single" w:sz="8" w:space="0" w:color="auto"/>
              <w:left w:val="nil"/>
              <w:bottom w:val="single" w:sz="8" w:space="0" w:color="auto"/>
              <w:right w:val="single" w:sz="8" w:space="0" w:color="auto"/>
            </w:tcBorders>
            <w:noWrap/>
            <w:vAlign w:val="bottom"/>
            <w:hideMark/>
          </w:tcPr>
          <w:p w14:paraId="6A5A8A8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4,050,401</w:t>
            </w:r>
          </w:p>
        </w:tc>
        <w:tc>
          <w:tcPr>
            <w:tcW w:w="1316" w:type="dxa"/>
            <w:tcBorders>
              <w:top w:val="single" w:sz="8" w:space="0" w:color="auto"/>
              <w:left w:val="nil"/>
              <w:bottom w:val="single" w:sz="8" w:space="0" w:color="auto"/>
              <w:right w:val="single" w:sz="8" w:space="0" w:color="auto"/>
            </w:tcBorders>
            <w:noWrap/>
            <w:vAlign w:val="bottom"/>
            <w:hideMark/>
          </w:tcPr>
          <w:p w14:paraId="2E8190A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4,015,211</w:t>
            </w:r>
          </w:p>
        </w:tc>
        <w:tc>
          <w:tcPr>
            <w:tcW w:w="1316" w:type="dxa"/>
            <w:tcBorders>
              <w:top w:val="single" w:sz="8" w:space="0" w:color="auto"/>
              <w:left w:val="nil"/>
              <w:bottom w:val="single" w:sz="8" w:space="0" w:color="auto"/>
              <w:right w:val="single" w:sz="8" w:space="0" w:color="auto"/>
            </w:tcBorders>
            <w:noWrap/>
            <w:vAlign w:val="bottom"/>
            <w:hideMark/>
          </w:tcPr>
          <w:p w14:paraId="3B96F2D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4,000,964</w:t>
            </w:r>
          </w:p>
        </w:tc>
        <w:tc>
          <w:tcPr>
            <w:tcW w:w="1316" w:type="dxa"/>
            <w:tcBorders>
              <w:top w:val="single" w:sz="8" w:space="0" w:color="auto"/>
              <w:left w:val="nil"/>
              <w:bottom w:val="single" w:sz="8" w:space="0" w:color="auto"/>
              <w:right w:val="single" w:sz="8" w:space="0" w:color="auto"/>
            </w:tcBorders>
            <w:noWrap/>
            <w:vAlign w:val="bottom"/>
            <w:hideMark/>
          </w:tcPr>
          <w:p w14:paraId="28EF075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3,810,399</w:t>
            </w:r>
          </w:p>
        </w:tc>
        <w:tc>
          <w:tcPr>
            <w:tcW w:w="1316" w:type="dxa"/>
            <w:tcBorders>
              <w:top w:val="single" w:sz="8" w:space="0" w:color="auto"/>
              <w:left w:val="nil"/>
              <w:bottom w:val="single" w:sz="8" w:space="0" w:color="auto"/>
              <w:right w:val="single" w:sz="8" w:space="0" w:color="auto"/>
            </w:tcBorders>
            <w:noWrap/>
            <w:vAlign w:val="bottom"/>
            <w:hideMark/>
          </w:tcPr>
          <w:p w14:paraId="74F930E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3,878,209</w:t>
            </w:r>
          </w:p>
        </w:tc>
        <w:tc>
          <w:tcPr>
            <w:tcW w:w="1316" w:type="dxa"/>
            <w:tcBorders>
              <w:top w:val="single" w:sz="8" w:space="0" w:color="auto"/>
              <w:left w:val="nil"/>
              <w:bottom w:val="single" w:sz="8" w:space="0" w:color="auto"/>
              <w:right w:val="single" w:sz="8" w:space="0" w:color="auto"/>
            </w:tcBorders>
            <w:noWrap/>
            <w:vAlign w:val="bottom"/>
            <w:hideMark/>
          </w:tcPr>
          <w:p w14:paraId="16D6E74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3,863,962</w:t>
            </w:r>
          </w:p>
        </w:tc>
      </w:tr>
      <w:tr w:rsidR="00EA0FD7" w:rsidRPr="00EA0FD7" w14:paraId="63681227" w14:textId="77777777" w:rsidTr="00EA0FD7">
        <w:trPr>
          <w:trHeight w:val="99"/>
        </w:trPr>
        <w:tc>
          <w:tcPr>
            <w:tcW w:w="1212" w:type="dxa"/>
            <w:tcBorders>
              <w:top w:val="nil"/>
              <w:left w:val="single" w:sz="8" w:space="0" w:color="auto"/>
              <w:bottom w:val="single" w:sz="8" w:space="0" w:color="auto"/>
              <w:right w:val="nil"/>
            </w:tcBorders>
            <w:noWrap/>
            <w:vAlign w:val="bottom"/>
            <w:hideMark/>
          </w:tcPr>
          <w:p w14:paraId="49911D3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44" w:type="dxa"/>
            <w:tcBorders>
              <w:top w:val="nil"/>
              <w:left w:val="nil"/>
              <w:bottom w:val="single" w:sz="8" w:space="0" w:color="auto"/>
              <w:right w:val="nil"/>
            </w:tcBorders>
            <w:noWrap/>
            <w:vAlign w:val="bottom"/>
            <w:hideMark/>
          </w:tcPr>
          <w:p w14:paraId="5F1B0FB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52" w:type="dxa"/>
            <w:tcBorders>
              <w:top w:val="nil"/>
              <w:left w:val="nil"/>
              <w:bottom w:val="single" w:sz="8" w:space="0" w:color="auto"/>
              <w:right w:val="nil"/>
            </w:tcBorders>
            <w:noWrap/>
            <w:vAlign w:val="bottom"/>
            <w:hideMark/>
          </w:tcPr>
          <w:p w14:paraId="2C36AA8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48" w:type="dxa"/>
            <w:tcBorders>
              <w:top w:val="nil"/>
              <w:left w:val="nil"/>
              <w:bottom w:val="single" w:sz="8" w:space="0" w:color="auto"/>
              <w:right w:val="nil"/>
            </w:tcBorders>
            <w:noWrap/>
            <w:vAlign w:val="bottom"/>
            <w:hideMark/>
          </w:tcPr>
          <w:p w14:paraId="483A09F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tcBorders>
              <w:top w:val="nil"/>
              <w:left w:val="nil"/>
              <w:bottom w:val="single" w:sz="8" w:space="0" w:color="auto"/>
              <w:right w:val="nil"/>
            </w:tcBorders>
            <w:noWrap/>
            <w:vAlign w:val="bottom"/>
            <w:hideMark/>
          </w:tcPr>
          <w:p w14:paraId="759C1BC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00E3324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270BDD0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0D2B213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4AA65838"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nil"/>
            </w:tcBorders>
            <w:noWrap/>
            <w:vAlign w:val="bottom"/>
            <w:hideMark/>
          </w:tcPr>
          <w:p w14:paraId="6A9329A1"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single" w:sz="8" w:space="0" w:color="auto"/>
            </w:tcBorders>
            <w:noWrap/>
            <w:vAlign w:val="bottom"/>
            <w:hideMark/>
          </w:tcPr>
          <w:p w14:paraId="2AB1005F"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17A13487" w14:textId="77777777" w:rsidTr="00EA0FD7">
        <w:trPr>
          <w:trHeight w:val="240"/>
        </w:trPr>
        <w:tc>
          <w:tcPr>
            <w:tcW w:w="1212" w:type="dxa"/>
            <w:tcBorders>
              <w:top w:val="nil"/>
              <w:left w:val="single" w:sz="8" w:space="0" w:color="auto"/>
              <w:bottom w:val="single" w:sz="8" w:space="0" w:color="auto"/>
              <w:right w:val="single" w:sz="8" w:space="0" w:color="auto"/>
            </w:tcBorders>
            <w:noWrap/>
            <w:vAlign w:val="bottom"/>
            <w:hideMark/>
          </w:tcPr>
          <w:p w14:paraId="2A8D539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44" w:type="dxa"/>
            <w:tcBorders>
              <w:top w:val="nil"/>
              <w:left w:val="nil"/>
              <w:bottom w:val="single" w:sz="8" w:space="0" w:color="auto"/>
              <w:right w:val="single" w:sz="8" w:space="0" w:color="auto"/>
            </w:tcBorders>
            <w:noWrap/>
            <w:vAlign w:val="bottom"/>
            <w:hideMark/>
          </w:tcPr>
          <w:p w14:paraId="0ACD61A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352" w:type="dxa"/>
            <w:tcBorders>
              <w:top w:val="nil"/>
              <w:left w:val="nil"/>
              <w:bottom w:val="single" w:sz="8" w:space="0" w:color="auto"/>
              <w:right w:val="single" w:sz="8" w:space="0" w:color="auto"/>
            </w:tcBorders>
            <w:noWrap/>
            <w:vAlign w:val="bottom"/>
            <w:hideMark/>
          </w:tcPr>
          <w:p w14:paraId="0428700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54</w:t>
            </w:r>
          </w:p>
        </w:tc>
        <w:tc>
          <w:tcPr>
            <w:tcW w:w="1348" w:type="dxa"/>
            <w:tcBorders>
              <w:top w:val="nil"/>
              <w:left w:val="nil"/>
              <w:bottom w:val="single" w:sz="8" w:space="0" w:color="auto"/>
              <w:right w:val="single" w:sz="8" w:space="0" w:color="auto"/>
            </w:tcBorders>
            <w:noWrap/>
            <w:vAlign w:val="bottom"/>
            <w:hideMark/>
          </w:tcPr>
          <w:p w14:paraId="1E5DA78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50</w:t>
            </w:r>
          </w:p>
        </w:tc>
        <w:tc>
          <w:tcPr>
            <w:tcW w:w="1336" w:type="dxa"/>
            <w:tcBorders>
              <w:top w:val="nil"/>
              <w:left w:val="nil"/>
              <w:bottom w:val="single" w:sz="8" w:space="0" w:color="auto"/>
              <w:right w:val="single" w:sz="8" w:space="0" w:color="auto"/>
            </w:tcBorders>
            <w:noWrap/>
            <w:vAlign w:val="bottom"/>
            <w:hideMark/>
          </w:tcPr>
          <w:p w14:paraId="09F01B9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54</w:t>
            </w:r>
          </w:p>
        </w:tc>
        <w:tc>
          <w:tcPr>
            <w:tcW w:w="1316" w:type="dxa"/>
            <w:tcBorders>
              <w:top w:val="nil"/>
              <w:left w:val="nil"/>
              <w:bottom w:val="single" w:sz="8" w:space="0" w:color="auto"/>
              <w:right w:val="single" w:sz="8" w:space="0" w:color="auto"/>
            </w:tcBorders>
            <w:noWrap/>
            <w:vAlign w:val="bottom"/>
            <w:hideMark/>
          </w:tcPr>
          <w:p w14:paraId="5B5E4E6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58</w:t>
            </w:r>
          </w:p>
        </w:tc>
        <w:tc>
          <w:tcPr>
            <w:tcW w:w="1316" w:type="dxa"/>
            <w:tcBorders>
              <w:top w:val="nil"/>
              <w:left w:val="nil"/>
              <w:bottom w:val="single" w:sz="8" w:space="0" w:color="auto"/>
              <w:right w:val="single" w:sz="8" w:space="0" w:color="auto"/>
            </w:tcBorders>
            <w:noWrap/>
            <w:vAlign w:val="bottom"/>
            <w:hideMark/>
          </w:tcPr>
          <w:p w14:paraId="4BF1F51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58</w:t>
            </w:r>
          </w:p>
        </w:tc>
        <w:tc>
          <w:tcPr>
            <w:tcW w:w="1316" w:type="dxa"/>
            <w:tcBorders>
              <w:top w:val="nil"/>
              <w:left w:val="nil"/>
              <w:bottom w:val="single" w:sz="8" w:space="0" w:color="auto"/>
              <w:right w:val="single" w:sz="8" w:space="0" w:color="auto"/>
            </w:tcBorders>
            <w:noWrap/>
            <w:vAlign w:val="bottom"/>
            <w:hideMark/>
          </w:tcPr>
          <w:p w14:paraId="1C547E5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58</w:t>
            </w:r>
          </w:p>
        </w:tc>
        <w:tc>
          <w:tcPr>
            <w:tcW w:w="1316" w:type="dxa"/>
            <w:tcBorders>
              <w:top w:val="nil"/>
              <w:left w:val="nil"/>
              <w:bottom w:val="single" w:sz="8" w:space="0" w:color="auto"/>
              <w:right w:val="single" w:sz="8" w:space="0" w:color="auto"/>
            </w:tcBorders>
            <w:noWrap/>
            <w:vAlign w:val="bottom"/>
            <w:hideMark/>
          </w:tcPr>
          <w:p w14:paraId="707FF3F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54</w:t>
            </w:r>
          </w:p>
        </w:tc>
        <w:tc>
          <w:tcPr>
            <w:tcW w:w="1316" w:type="dxa"/>
            <w:tcBorders>
              <w:top w:val="nil"/>
              <w:left w:val="nil"/>
              <w:bottom w:val="single" w:sz="8" w:space="0" w:color="auto"/>
              <w:right w:val="single" w:sz="8" w:space="0" w:color="auto"/>
            </w:tcBorders>
            <w:noWrap/>
            <w:vAlign w:val="bottom"/>
            <w:hideMark/>
          </w:tcPr>
          <w:p w14:paraId="77C06B6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54</w:t>
            </w:r>
          </w:p>
        </w:tc>
        <w:tc>
          <w:tcPr>
            <w:tcW w:w="1316" w:type="dxa"/>
            <w:tcBorders>
              <w:top w:val="nil"/>
              <w:left w:val="nil"/>
              <w:bottom w:val="single" w:sz="8" w:space="0" w:color="auto"/>
              <w:right w:val="single" w:sz="8" w:space="0" w:color="auto"/>
            </w:tcBorders>
            <w:noWrap/>
            <w:vAlign w:val="bottom"/>
            <w:hideMark/>
          </w:tcPr>
          <w:p w14:paraId="2BE552A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54</w:t>
            </w:r>
          </w:p>
        </w:tc>
      </w:tr>
    </w:tbl>
    <w:p w14:paraId="1E68E0AF" w14:textId="77777777" w:rsidR="00EA0FD7" w:rsidRPr="00EA0FD7" w:rsidRDefault="00EA0FD7" w:rsidP="00EA0FD7">
      <w:pPr>
        <w:spacing w:after="0" w:line="240" w:lineRule="auto"/>
        <w:rPr>
          <w:rFonts w:ascii="Times New Roman" w:eastAsia="Times New Roman" w:hAnsi="Times New Roman" w:cs="Times New Roman"/>
          <w:bCs/>
          <w:sz w:val="24"/>
          <w:lang w:val="sr-Cyrl-RS" w:eastAsia="hr-HR"/>
        </w:rPr>
        <w:sectPr w:rsidR="00EA0FD7" w:rsidRPr="00EA0FD7">
          <w:pgSz w:w="16834" w:h="11909" w:orient="landscape"/>
          <w:pgMar w:top="547" w:right="1282" w:bottom="1411" w:left="720" w:header="706" w:footer="706" w:gutter="0"/>
          <w:cols w:space="720"/>
        </w:sectPr>
      </w:pPr>
    </w:p>
    <w:tbl>
      <w:tblPr>
        <w:tblW w:w="15768" w:type="dxa"/>
        <w:tblInd w:w="108" w:type="dxa"/>
        <w:tblLook w:val="04A0" w:firstRow="1" w:lastRow="0" w:firstColumn="1" w:lastColumn="0" w:noHBand="0" w:noVBand="1"/>
      </w:tblPr>
      <w:tblGrid>
        <w:gridCol w:w="1196"/>
        <w:gridCol w:w="2505"/>
        <w:gridCol w:w="1435"/>
        <w:gridCol w:w="1368"/>
        <w:gridCol w:w="1368"/>
        <w:gridCol w:w="1316"/>
        <w:gridCol w:w="1316"/>
        <w:gridCol w:w="1316"/>
        <w:gridCol w:w="1316"/>
        <w:gridCol w:w="1316"/>
        <w:gridCol w:w="1316"/>
      </w:tblGrid>
      <w:tr w:rsidR="00EA0FD7" w:rsidRPr="00EA0FD7" w14:paraId="10219397" w14:textId="77777777" w:rsidTr="00EA0FD7">
        <w:trPr>
          <w:trHeight w:val="240"/>
        </w:trPr>
        <w:tc>
          <w:tcPr>
            <w:tcW w:w="5136" w:type="dxa"/>
            <w:gridSpan w:val="3"/>
            <w:tcBorders>
              <w:top w:val="nil"/>
              <w:left w:val="nil"/>
              <w:bottom w:val="single" w:sz="8" w:space="0" w:color="auto"/>
              <w:right w:val="nil"/>
            </w:tcBorders>
            <w:noWrap/>
            <w:vAlign w:val="bottom"/>
            <w:hideMark/>
          </w:tcPr>
          <w:p w14:paraId="3880518C" w14:textId="176527BC"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lastRenderedPageBreak/>
              <w:t xml:space="preserve">16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ДИРЕКЦИЈА ЗА ФИНАНСИЈЕ</w:t>
            </w:r>
          </w:p>
        </w:tc>
        <w:tc>
          <w:tcPr>
            <w:tcW w:w="1368" w:type="dxa"/>
            <w:noWrap/>
            <w:vAlign w:val="bottom"/>
          </w:tcPr>
          <w:p w14:paraId="2DC535A3"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68" w:type="dxa"/>
            <w:noWrap/>
            <w:vAlign w:val="bottom"/>
          </w:tcPr>
          <w:p w14:paraId="01A77686"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107AB106"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4DE5EB74"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08868FEE"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2D4C63E5"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66A11823"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4D27EFA6"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66B43636" w14:textId="77777777" w:rsidTr="00EA0FD7">
        <w:trPr>
          <w:trHeight w:val="300"/>
        </w:trPr>
        <w:tc>
          <w:tcPr>
            <w:tcW w:w="1196" w:type="dxa"/>
            <w:vMerge w:val="restart"/>
            <w:tcBorders>
              <w:top w:val="nil"/>
              <w:left w:val="single" w:sz="8" w:space="0" w:color="auto"/>
              <w:bottom w:val="single" w:sz="8" w:space="0" w:color="000000"/>
              <w:right w:val="single" w:sz="8" w:space="0" w:color="auto"/>
            </w:tcBorders>
            <w:shd w:val="clear" w:color="auto" w:fill="808080"/>
            <w:vAlign w:val="center"/>
            <w:hideMark/>
          </w:tcPr>
          <w:p w14:paraId="7327CAF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505" w:type="dxa"/>
            <w:vMerge w:val="restart"/>
            <w:tcBorders>
              <w:top w:val="nil"/>
              <w:left w:val="single" w:sz="8" w:space="0" w:color="auto"/>
              <w:bottom w:val="single" w:sz="8" w:space="0" w:color="000000"/>
              <w:right w:val="single" w:sz="8" w:space="0" w:color="auto"/>
            </w:tcBorders>
            <w:shd w:val="clear" w:color="auto" w:fill="808080"/>
            <w:vAlign w:val="center"/>
            <w:hideMark/>
          </w:tcPr>
          <w:p w14:paraId="58A3428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435" w:type="dxa"/>
            <w:vMerge w:val="restart"/>
            <w:tcBorders>
              <w:top w:val="nil"/>
              <w:left w:val="single" w:sz="8" w:space="0" w:color="auto"/>
              <w:bottom w:val="single" w:sz="8" w:space="0" w:color="000000"/>
              <w:right w:val="single" w:sz="8" w:space="0" w:color="auto"/>
            </w:tcBorders>
            <w:shd w:val="clear" w:color="auto" w:fill="808080"/>
            <w:vAlign w:val="center"/>
            <w:hideMark/>
          </w:tcPr>
          <w:p w14:paraId="0A3BD6D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368"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34ADA68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68"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04D9B01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2E45BE5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44A41B3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51F1CB92"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2A90A8C9"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0AA7E178"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65815FC7"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F44556C"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B8DDAF0"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tcBorders>
              <w:top w:val="nil"/>
              <w:left w:val="nil"/>
              <w:bottom w:val="single" w:sz="8" w:space="0" w:color="auto"/>
              <w:right w:val="single" w:sz="4" w:space="0" w:color="auto"/>
            </w:tcBorders>
            <w:shd w:val="clear" w:color="auto" w:fill="808080"/>
            <w:noWrap/>
            <w:vAlign w:val="center"/>
            <w:hideMark/>
          </w:tcPr>
          <w:p w14:paraId="3C1506B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0DAECEE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06435D0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tcBorders>
              <w:top w:val="nil"/>
              <w:left w:val="nil"/>
              <w:bottom w:val="single" w:sz="8" w:space="0" w:color="auto"/>
              <w:right w:val="single" w:sz="4" w:space="0" w:color="auto"/>
            </w:tcBorders>
            <w:shd w:val="clear" w:color="auto" w:fill="808080"/>
            <w:noWrap/>
            <w:vAlign w:val="center"/>
            <w:hideMark/>
          </w:tcPr>
          <w:p w14:paraId="61541CA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72DCD17E"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1C5DB4E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37459887" w14:textId="77777777" w:rsidTr="00EA0FD7">
        <w:trPr>
          <w:trHeight w:val="240"/>
        </w:trPr>
        <w:tc>
          <w:tcPr>
            <w:tcW w:w="1196" w:type="dxa"/>
            <w:tcBorders>
              <w:top w:val="nil"/>
              <w:left w:val="single" w:sz="8" w:space="0" w:color="auto"/>
              <w:bottom w:val="single" w:sz="4" w:space="0" w:color="auto"/>
              <w:right w:val="single" w:sz="4" w:space="0" w:color="auto"/>
            </w:tcBorders>
            <w:noWrap/>
            <w:vAlign w:val="bottom"/>
            <w:hideMark/>
          </w:tcPr>
          <w:p w14:paraId="441B8F1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05" w:type="dxa"/>
            <w:tcBorders>
              <w:top w:val="nil"/>
              <w:left w:val="nil"/>
              <w:bottom w:val="single" w:sz="4" w:space="0" w:color="auto"/>
              <w:right w:val="single" w:sz="4" w:space="0" w:color="auto"/>
            </w:tcBorders>
            <w:noWrap/>
            <w:vAlign w:val="bottom"/>
            <w:hideMark/>
          </w:tcPr>
          <w:p w14:paraId="704CF9C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435" w:type="dxa"/>
            <w:tcBorders>
              <w:top w:val="nil"/>
              <w:left w:val="nil"/>
              <w:bottom w:val="single" w:sz="4" w:space="0" w:color="auto"/>
              <w:right w:val="single" w:sz="4" w:space="0" w:color="auto"/>
            </w:tcBorders>
            <w:noWrap/>
            <w:vAlign w:val="bottom"/>
            <w:hideMark/>
          </w:tcPr>
          <w:p w14:paraId="54186A9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68" w:type="dxa"/>
            <w:tcBorders>
              <w:top w:val="nil"/>
              <w:left w:val="nil"/>
              <w:bottom w:val="single" w:sz="4" w:space="0" w:color="auto"/>
              <w:right w:val="single" w:sz="4" w:space="0" w:color="auto"/>
            </w:tcBorders>
            <w:noWrap/>
            <w:vAlign w:val="bottom"/>
            <w:hideMark/>
          </w:tcPr>
          <w:p w14:paraId="47BE0E6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68" w:type="dxa"/>
            <w:tcBorders>
              <w:top w:val="nil"/>
              <w:left w:val="nil"/>
              <w:bottom w:val="single" w:sz="4" w:space="0" w:color="auto"/>
              <w:right w:val="single" w:sz="4" w:space="0" w:color="auto"/>
            </w:tcBorders>
            <w:noWrap/>
            <w:vAlign w:val="bottom"/>
            <w:hideMark/>
          </w:tcPr>
          <w:p w14:paraId="613A6BD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1946FCD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535E2AE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5EA1C51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7F134BB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224C7A1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8" w:space="0" w:color="auto"/>
            </w:tcBorders>
            <w:noWrap/>
            <w:vAlign w:val="bottom"/>
            <w:hideMark/>
          </w:tcPr>
          <w:p w14:paraId="6AF43FE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239C4484" w14:textId="77777777" w:rsidTr="00EA0FD7">
        <w:trPr>
          <w:trHeight w:val="480"/>
        </w:trPr>
        <w:tc>
          <w:tcPr>
            <w:tcW w:w="1196" w:type="dxa"/>
            <w:tcBorders>
              <w:top w:val="nil"/>
              <w:left w:val="single" w:sz="8" w:space="0" w:color="auto"/>
              <w:bottom w:val="single" w:sz="4" w:space="0" w:color="auto"/>
              <w:right w:val="single" w:sz="4" w:space="0" w:color="auto"/>
            </w:tcBorders>
            <w:vAlign w:val="bottom"/>
            <w:hideMark/>
          </w:tcPr>
          <w:p w14:paraId="03F951A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611100</w:t>
            </w:r>
            <w:r w:rsidRPr="00EA0FD7">
              <w:rPr>
                <w:rFonts w:ascii="Arial" w:eastAsia="Times New Roman" w:hAnsi="Arial" w:cs="Arial"/>
                <w:sz w:val="17"/>
                <w:szCs w:val="17"/>
                <w:lang w:val="sr-Cyrl-RS"/>
              </w:rPr>
              <w:br/>
              <w:t>612100</w:t>
            </w:r>
          </w:p>
        </w:tc>
        <w:tc>
          <w:tcPr>
            <w:tcW w:w="2505" w:type="dxa"/>
            <w:tcBorders>
              <w:top w:val="nil"/>
              <w:left w:val="nil"/>
              <w:bottom w:val="single" w:sz="4" w:space="0" w:color="auto"/>
              <w:right w:val="single" w:sz="4" w:space="0" w:color="auto"/>
            </w:tcBorders>
            <w:vAlign w:val="bottom"/>
            <w:hideMark/>
          </w:tcPr>
          <w:p w14:paraId="0EBF4380"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Бруто плате и доприноси послодавца</w:t>
            </w:r>
          </w:p>
        </w:tc>
        <w:tc>
          <w:tcPr>
            <w:tcW w:w="1435" w:type="dxa"/>
            <w:tcBorders>
              <w:top w:val="nil"/>
              <w:left w:val="nil"/>
              <w:bottom w:val="single" w:sz="4" w:space="0" w:color="auto"/>
              <w:right w:val="single" w:sz="4" w:space="0" w:color="auto"/>
            </w:tcBorders>
            <w:noWrap/>
            <w:vAlign w:val="bottom"/>
            <w:hideMark/>
          </w:tcPr>
          <w:p w14:paraId="5A8D3D5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4,354,366.92</w:t>
            </w:r>
          </w:p>
        </w:tc>
        <w:tc>
          <w:tcPr>
            <w:tcW w:w="1368" w:type="dxa"/>
            <w:tcBorders>
              <w:top w:val="nil"/>
              <w:left w:val="nil"/>
              <w:bottom w:val="single" w:sz="4" w:space="0" w:color="auto"/>
              <w:right w:val="single" w:sz="4" w:space="0" w:color="auto"/>
            </w:tcBorders>
            <w:noWrap/>
            <w:vAlign w:val="bottom"/>
            <w:hideMark/>
          </w:tcPr>
          <w:p w14:paraId="777658F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4,161,203.50</w:t>
            </w:r>
          </w:p>
        </w:tc>
        <w:tc>
          <w:tcPr>
            <w:tcW w:w="1368" w:type="dxa"/>
            <w:tcBorders>
              <w:top w:val="nil"/>
              <w:left w:val="nil"/>
              <w:bottom w:val="single" w:sz="4" w:space="0" w:color="auto"/>
              <w:right w:val="single" w:sz="4" w:space="0" w:color="auto"/>
            </w:tcBorders>
            <w:noWrap/>
            <w:vAlign w:val="bottom"/>
            <w:hideMark/>
          </w:tcPr>
          <w:p w14:paraId="1240D8D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4,738,789.65</w:t>
            </w:r>
          </w:p>
        </w:tc>
        <w:tc>
          <w:tcPr>
            <w:tcW w:w="1316" w:type="dxa"/>
            <w:tcBorders>
              <w:top w:val="nil"/>
              <w:left w:val="nil"/>
              <w:bottom w:val="single" w:sz="4" w:space="0" w:color="auto"/>
              <w:right w:val="single" w:sz="4" w:space="0" w:color="auto"/>
            </w:tcBorders>
            <w:noWrap/>
            <w:vAlign w:val="bottom"/>
            <w:hideMark/>
          </w:tcPr>
          <w:p w14:paraId="5CCAD45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4,760,356</w:t>
            </w:r>
          </w:p>
        </w:tc>
        <w:tc>
          <w:tcPr>
            <w:tcW w:w="1316" w:type="dxa"/>
            <w:tcBorders>
              <w:top w:val="nil"/>
              <w:left w:val="nil"/>
              <w:bottom w:val="single" w:sz="4" w:space="0" w:color="auto"/>
              <w:right w:val="single" w:sz="4" w:space="0" w:color="auto"/>
            </w:tcBorders>
            <w:noWrap/>
            <w:vAlign w:val="bottom"/>
            <w:hideMark/>
          </w:tcPr>
          <w:p w14:paraId="6C40141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4,774,637</w:t>
            </w:r>
          </w:p>
        </w:tc>
        <w:tc>
          <w:tcPr>
            <w:tcW w:w="1316" w:type="dxa"/>
            <w:tcBorders>
              <w:top w:val="nil"/>
              <w:left w:val="nil"/>
              <w:bottom w:val="single" w:sz="4" w:space="0" w:color="auto"/>
              <w:right w:val="single" w:sz="4" w:space="0" w:color="auto"/>
            </w:tcBorders>
            <w:noWrap/>
            <w:vAlign w:val="bottom"/>
            <w:hideMark/>
          </w:tcPr>
          <w:p w14:paraId="714EDEE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4,788,960</w:t>
            </w:r>
          </w:p>
        </w:tc>
        <w:tc>
          <w:tcPr>
            <w:tcW w:w="1316" w:type="dxa"/>
            <w:tcBorders>
              <w:top w:val="nil"/>
              <w:left w:val="nil"/>
              <w:bottom w:val="single" w:sz="4" w:space="0" w:color="auto"/>
              <w:right w:val="single" w:sz="4" w:space="0" w:color="auto"/>
            </w:tcBorders>
            <w:noWrap/>
            <w:vAlign w:val="bottom"/>
            <w:hideMark/>
          </w:tcPr>
          <w:p w14:paraId="79CA91E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4,887,226</w:t>
            </w:r>
          </w:p>
        </w:tc>
        <w:tc>
          <w:tcPr>
            <w:tcW w:w="1316" w:type="dxa"/>
            <w:tcBorders>
              <w:top w:val="nil"/>
              <w:left w:val="nil"/>
              <w:bottom w:val="single" w:sz="4" w:space="0" w:color="auto"/>
              <w:right w:val="single" w:sz="4" w:space="0" w:color="auto"/>
            </w:tcBorders>
            <w:noWrap/>
            <w:vAlign w:val="bottom"/>
            <w:hideMark/>
          </w:tcPr>
          <w:p w14:paraId="6B4BE4C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4,901,507</w:t>
            </w:r>
          </w:p>
        </w:tc>
        <w:tc>
          <w:tcPr>
            <w:tcW w:w="1316" w:type="dxa"/>
            <w:tcBorders>
              <w:top w:val="nil"/>
              <w:left w:val="nil"/>
              <w:bottom w:val="single" w:sz="4" w:space="0" w:color="auto"/>
              <w:right w:val="single" w:sz="4" w:space="0" w:color="auto"/>
            </w:tcBorders>
            <w:noWrap/>
            <w:vAlign w:val="bottom"/>
            <w:hideMark/>
          </w:tcPr>
          <w:p w14:paraId="599426A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4,915,830</w:t>
            </w:r>
          </w:p>
        </w:tc>
      </w:tr>
      <w:tr w:rsidR="00EA0FD7" w:rsidRPr="00EA0FD7" w14:paraId="106A85A5" w14:textId="77777777" w:rsidTr="00EA0FD7">
        <w:trPr>
          <w:trHeight w:val="240"/>
        </w:trPr>
        <w:tc>
          <w:tcPr>
            <w:tcW w:w="1196" w:type="dxa"/>
            <w:tcBorders>
              <w:top w:val="nil"/>
              <w:left w:val="single" w:sz="8" w:space="0" w:color="auto"/>
              <w:bottom w:val="single" w:sz="4" w:space="0" w:color="auto"/>
              <w:right w:val="single" w:sz="4" w:space="0" w:color="auto"/>
            </w:tcBorders>
            <w:noWrap/>
            <w:vAlign w:val="bottom"/>
            <w:hideMark/>
          </w:tcPr>
          <w:p w14:paraId="3CFD3FF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611200</w:t>
            </w:r>
          </w:p>
        </w:tc>
        <w:tc>
          <w:tcPr>
            <w:tcW w:w="2505" w:type="dxa"/>
            <w:tcBorders>
              <w:top w:val="nil"/>
              <w:left w:val="nil"/>
              <w:bottom w:val="single" w:sz="4" w:space="0" w:color="auto"/>
              <w:right w:val="single" w:sz="4" w:space="0" w:color="auto"/>
            </w:tcBorders>
            <w:vAlign w:val="bottom"/>
            <w:hideMark/>
          </w:tcPr>
          <w:p w14:paraId="5A8CA40D"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Накнаде трошкова запослених</w:t>
            </w:r>
          </w:p>
        </w:tc>
        <w:tc>
          <w:tcPr>
            <w:tcW w:w="1435" w:type="dxa"/>
            <w:tcBorders>
              <w:top w:val="nil"/>
              <w:left w:val="nil"/>
              <w:bottom w:val="single" w:sz="4" w:space="0" w:color="auto"/>
              <w:right w:val="single" w:sz="4" w:space="0" w:color="auto"/>
            </w:tcBorders>
            <w:noWrap/>
            <w:vAlign w:val="bottom"/>
            <w:hideMark/>
          </w:tcPr>
          <w:p w14:paraId="607E6A1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190,018.00</w:t>
            </w:r>
          </w:p>
        </w:tc>
        <w:tc>
          <w:tcPr>
            <w:tcW w:w="1368" w:type="dxa"/>
            <w:tcBorders>
              <w:top w:val="nil"/>
              <w:left w:val="nil"/>
              <w:bottom w:val="single" w:sz="4" w:space="0" w:color="auto"/>
              <w:right w:val="single" w:sz="4" w:space="0" w:color="auto"/>
            </w:tcBorders>
            <w:noWrap/>
            <w:vAlign w:val="bottom"/>
            <w:hideMark/>
          </w:tcPr>
          <w:p w14:paraId="6CB8558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160,903.76</w:t>
            </w:r>
          </w:p>
        </w:tc>
        <w:tc>
          <w:tcPr>
            <w:tcW w:w="1368" w:type="dxa"/>
            <w:tcBorders>
              <w:top w:val="nil"/>
              <w:left w:val="nil"/>
              <w:bottom w:val="single" w:sz="4" w:space="0" w:color="auto"/>
              <w:right w:val="single" w:sz="4" w:space="0" w:color="auto"/>
            </w:tcBorders>
            <w:noWrap/>
            <w:vAlign w:val="bottom"/>
            <w:hideMark/>
          </w:tcPr>
          <w:p w14:paraId="76B7360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329,297.00</w:t>
            </w:r>
          </w:p>
        </w:tc>
        <w:tc>
          <w:tcPr>
            <w:tcW w:w="1316" w:type="dxa"/>
            <w:tcBorders>
              <w:top w:val="nil"/>
              <w:left w:val="nil"/>
              <w:bottom w:val="single" w:sz="4" w:space="0" w:color="auto"/>
              <w:right w:val="single" w:sz="4" w:space="0" w:color="auto"/>
            </w:tcBorders>
            <w:noWrap/>
            <w:vAlign w:val="bottom"/>
            <w:hideMark/>
          </w:tcPr>
          <w:p w14:paraId="6DA1682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319,243</w:t>
            </w:r>
          </w:p>
        </w:tc>
        <w:tc>
          <w:tcPr>
            <w:tcW w:w="1316" w:type="dxa"/>
            <w:tcBorders>
              <w:top w:val="nil"/>
              <w:left w:val="nil"/>
              <w:bottom w:val="single" w:sz="4" w:space="0" w:color="auto"/>
              <w:right w:val="single" w:sz="4" w:space="0" w:color="auto"/>
            </w:tcBorders>
            <w:noWrap/>
            <w:vAlign w:val="bottom"/>
            <w:hideMark/>
          </w:tcPr>
          <w:p w14:paraId="6425EC3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329,243</w:t>
            </w:r>
          </w:p>
        </w:tc>
        <w:tc>
          <w:tcPr>
            <w:tcW w:w="1316" w:type="dxa"/>
            <w:tcBorders>
              <w:top w:val="nil"/>
              <w:left w:val="nil"/>
              <w:bottom w:val="single" w:sz="4" w:space="0" w:color="auto"/>
              <w:right w:val="single" w:sz="4" w:space="0" w:color="auto"/>
            </w:tcBorders>
            <w:noWrap/>
            <w:vAlign w:val="bottom"/>
            <w:hideMark/>
          </w:tcPr>
          <w:p w14:paraId="1DE32B6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344,243</w:t>
            </w:r>
          </w:p>
        </w:tc>
        <w:tc>
          <w:tcPr>
            <w:tcW w:w="1316" w:type="dxa"/>
            <w:tcBorders>
              <w:top w:val="nil"/>
              <w:left w:val="nil"/>
              <w:bottom w:val="single" w:sz="4" w:space="0" w:color="auto"/>
              <w:right w:val="single" w:sz="4" w:space="0" w:color="auto"/>
            </w:tcBorders>
            <w:noWrap/>
            <w:vAlign w:val="bottom"/>
            <w:hideMark/>
          </w:tcPr>
          <w:p w14:paraId="2F0413B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322,543</w:t>
            </w:r>
          </w:p>
        </w:tc>
        <w:tc>
          <w:tcPr>
            <w:tcW w:w="1316" w:type="dxa"/>
            <w:tcBorders>
              <w:top w:val="nil"/>
              <w:left w:val="nil"/>
              <w:bottom w:val="single" w:sz="4" w:space="0" w:color="auto"/>
              <w:right w:val="single" w:sz="4" w:space="0" w:color="auto"/>
            </w:tcBorders>
            <w:noWrap/>
            <w:vAlign w:val="bottom"/>
            <w:hideMark/>
          </w:tcPr>
          <w:p w14:paraId="4A740C8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332,543</w:t>
            </w:r>
          </w:p>
        </w:tc>
        <w:tc>
          <w:tcPr>
            <w:tcW w:w="1316" w:type="dxa"/>
            <w:tcBorders>
              <w:top w:val="nil"/>
              <w:left w:val="nil"/>
              <w:bottom w:val="single" w:sz="4" w:space="0" w:color="auto"/>
              <w:right w:val="single" w:sz="4" w:space="0" w:color="auto"/>
            </w:tcBorders>
            <w:noWrap/>
            <w:vAlign w:val="bottom"/>
            <w:hideMark/>
          </w:tcPr>
          <w:p w14:paraId="611226E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347,543</w:t>
            </w:r>
          </w:p>
        </w:tc>
      </w:tr>
      <w:tr w:rsidR="00EA0FD7" w:rsidRPr="00EA0FD7" w14:paraId="28096A06" w14:textId="77777777" w:rsidTr="00EA0FD7">
        <w:trPr>
          <w:trHeight w:val="480"/>
        </w:trPr>
        <w:tc>
          <w:tcPr>
            <w:tcW w:w="1196" w:type="dxa"/>
            <w:tcBorders>
              <w:top w:val="nil"/>
              <w:left w:val="single" w:sz="8" w:space="0" w:color="auto"/>
              <w:bottom w:val="single" w:sz="4" w:space="0" w:color="auto"/>
              <w:right w:val="single" w:sz="4" w:space="0" w:color="auto"/>
            </w:tcBorders>
            <w:noWrap/>
            <w:vAlign w:val="bottom"/>
            <w:hideMark/>
          </w:tcPr>
          <w:p w14:paraId="6195C0B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613000</w:t>
            </w:r>
          </w:p>
        </w:tc>
        <w:tc>
          <w:tcPr>
            <w:tcW w:w="2505" w:type="dxa"/>
            <w:tcBorders>
              <w:top w:val="nil"/>
              <w:left w:val="nil"/>
              <w:bottom w:val="single" w:sz="4" w:space="0" w:color="auto"/>
              <w:right w:val="single" w:sz="4" w:space="0" w:color="auto"/>
            </w:tcBorders>
            <w:vAlign w:val="bottom"/>
            <w:hideMark/>
          </w:tcPr>
          <w:p w14:paraId="490FFC89"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материјал, робе, ситан инвентар и услуге</w:t>
            </w:r>
          </w:p>
        </w:tc>
        <w:tc>
          <w:tcPr>
            <w:tcW w:w="1435" w:type="dxa"/>
            <w:tcBorders>
              <w:top w:val="nil"/>
              <w:left w:val="nil"/>
              <w:bottom w:val="single" w:sz="4" w:space="0" w:color="auto"/>
              <w:right w:val="single" w:sz="4" w:space="0" w:color="auto"/>
            </w:tcBorders>
            <w:noWrap/>
            <w:vAlign w:val="bottom"/>
            <w:hideMark/>
          </w:tcPr>
          <w:p w14:paraId="0557E08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997,774.00</w:t>
            </w:r>
          </w:p>
        </w:tc>
        <w:tc>
          <w:tcPr>
            <w:tcW w:w="1368" w:type="dxa"/>
            <w:tcBorders>
              <w:top w:val="nil"/>
              <w:left w:val="nil"/>
              <w:bottom w:val="single" w:sz="4" w:space="0" w:color="auto"/>
              <w:right w:val="single" w:sz="4" w:space="0" w:color="auto"/>
            </w:tcBorders>
            <w:noWrap/>
            <w:vAlign w:val="bottom"/>
            <w:hideMark/>
          </w:tcPr>
          <w:p w14:paraId="174C41F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878,371.75</w:t>
            </w:r>
          </w:p>
        </w:tc>
        <w:tc>
          <w:tcPr>
            <w:tcW w:w="1368" w:type="dxa"/>
            <w:tcBorders>
              <w:top w:val="nil"/>
              <w:left w:val="nil"/>
              <w:bottom w:val="single" w:sz="4" w:space="0" w:color="auto"/>
              <w:right w:val="single" w:sz="4" w:space="0" w:color="auto"/>
            </w:tcBorders>
            <w:noWrap/>
            <w:vAlign w:val="bottom"/>
            <w:hideMark/>
          </w:tcPr>
          <w:p w14:paraId="638BE57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1,188,168.00</w:t>
            </w:r>
          </w:p>
        </w:tc>
        <w:tc>
          <w:tcPr>
            <w:tcW w:w="1316" w:type="dxa"/>
            <w:tcBorders>
              <w:top w:val="nil"/>
              <w:left w:val="nil"/>
              <w:bottom w:val="single" w:sz="4" w:space="0" w:color="auto"/>
              <w:right w:val="single" w:sz="4" w:space="0" w:color="auto"/>
            </w:tcBorders>
            <w:noWrap/>
            <w:vAlign w:val="bottom"/>
            <w:hideMark/>
          </w:tcPr>
          <w:p w14:paraId="08EFEC2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878,372</w:t>
            </w:r>
          </w:p>
        </w:tc>
        <w:tc>
          <w:tcPr>
            <w:tcW w:w="1316" w:type="dxa"/>
            <w:tcBorders>
              <w:top w:val="nil"/>
              <w:left w:val="nil"/>
              <w:bottom w:val="single" w:sz="4" w:space="0" w:color="auto"/>
              <w:right w:val="single" w:sz="4" w:space="0" w:color="auto"/>
            </w:tcBorders>
            <w:noWrap/>
            <w:vAlign w:val="bottom"/>
            <w:hideMark/>
          </w:tcPr>
          <w:p w14:paraId="7743D57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878,372</w:t>
            </w:r>
          </w:p>
        </w:tc>
        <w:tc>
          <w:tcPr>
            <w:tcW w:w="1316" w:type="dxa"/>
            <w:tcBorders>
              <w:top w:val="nil"/>
              <w:left w:val="nil"/>
              <w:bottom w:val="single" w:sz="4" w:space="0" w:color="auto"/>
              <w:right w:val="single" w:sz="4" w:space="0" w:color="auto"/>
            </w:tcBorders>
            <w:noWrap/>
            <w:vAlign w:val="bottom"/>
            <w:hideMark/>
          </w:tcPr>
          <w:p w14:paraId="0061C1C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878,372</w:t>
            </w:r>
          </w:p>
        </w:tc>
        <w:tc>
          <w:tcPr>
            <w:tcW w:w="1316" w:type="dxa"/>
            <w:tcBorders>
              <w:top w:val="nil"/>
              <w:left w:val="nil"/>
              <w:bottom w:val="single" w:sz="4" w:space="0" w:color="auto"/>
              <w:right w:val="single" w:sz="4" w:space="0" w:color="auto"/>
            </w:tcBorders>
            <w:noWrap/>
            <w:vAlign w:val="bottom"/>
            <w:hideMark/>
          </w:tcPr>
          <w:p w14:paraId="4154A18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878,372</w:t>
            </w:r>
          </w:p>
        </w:tc>
        <w:tc>
          <w:tcPr>
            <w:tcW w:w="1316" w:type="dxa"/>
            <w:tcBorders>
              <w:top w:val="nil"/>
              <w:left w:val="nil"/>
              <w:bottom w:val="single" w:sz="4" w:space="0" w:color="auto"/>
              <w:right w:val="single" w:sz="4" w:space="0" w:color="auto"/>
            </w:tcBorders>
            <w:noWrap/>
            <w:vAlign w:val="bottom"/>
            <w:hideMark/>
          </w:tcPr>
          <w:p w14:paraId="66C5798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878,372</w:t>
            </w:r>
          </w:p>
        </w:tc>
        <w:tc>
          <w:tcPr>
            <w:tcW w:w="1316" w:type="dxa"/>
            <w:tcBorders>
              <w:top w:val="nil"/>
              <w:left w:val="nil"/>
              <w:bottom w:val="single" w:sz="4" w:space="0" w:color="auto"/>
              <w:right w:val="single" w:sz="4" w:space="0" w:color="auto"/>
            </w:tcBorders>
            <w:noWrap/>
            <w:vAlign w:val="bottom"/>
            <w:hideMark/>
          </w:tcPr>
          <w:p w14:paraId="40D4353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878,372</w:t>
            </w:r>
          </w:p>
        </w:tc>
      </w:tr>
      <w:tr w:rsidR="00EA0FD7" w:rsidRPr="00EA0FD7" w14:paraId="07151EA8" w14:textId="77777777" w:rsidTr="00EA0FD7">
        <w:trPr>
          <w:trHeight w:val="480"/>
        </w:trPr>
        <w:tc>
          <w:tcPr>
            <w:tcW w:w="1196" w:type="dxa"/>
            <w:tcBorders>
              <w:top w:val="nil"/>
              <w:left w:val="single" w:sz="8" w:space="0" w:color="auto"/>
              <w:bottom w:val="single" w:sz="4" w:space="0" w:color="auto"/>
              <w:right w:val="single" w:sz="4" w:space="0" w:color="auto"/>
            </w:tcBorders>
            <w:vAlign w:val="bottom"/>
            <w:hideMark/>
          </w:tcPr>
          <w:p w14:paraId="0C353E2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614000</w:t>
            </w:r>
          </w:p>
        </w:tc>
        <w:tc>
          <w:tcPr>
            <w:tcW w:w="2505" w:type="dxa"/>
            <w:tcBorders>
              <w:top w:val="nil"/>
              <w:left w:val="nil"/>
              <w:bottom w:val="single" w:sz="4" w:space="0" w:color="auto"/>
              <w:right w:val="single" w:sz="4" w:space="0" w:color="auto"/>
            </w:tcBorders>
            <w:vAlign w:val="bottom"/>
            <w:hideMark/>
          </w:tcPr>
          <w:p w14:paraId="719D1236"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Текући трансфери, донације и субвенције</w:t>
            </w:r>
          </w:p>
        </w:tc>
        <w:tc>
          <w:tcPr>
            <w:tcW w:w="1435" w:type="dxa"/>
            <w:tcBorders>
              <w:top w:val="nil"/>
              <w:left w:val="nil"/>
              <w:bottom w:val="single" w:sz="4" w:space="0" w:color="auto"/>
              <w:right w:val="single" w:sz="4" w:space="0" w:color="auto"/>
            </w:tcBorders>
            <w:noWrap/>
            <w:vAlign w:val="bottom"/>
            <w:hideMark/>
          </w:tcPr>
          <w:p w14:paraId="31D0917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68" w:type="dxa"/>
            <w:tcBorders>
              <w:top w:val="nil"/>
              <w:left w:val="nil"/>
              <w:bottom w:val="single" w:sz="4" w:space="0" w:color="auto"/>
              <w:right w:val="single" w:sz="4" w:space="0" w:color="auto"/>
            </w:tcBorders>
            <w:noWrap/>
            <w:vAlign w:val="bottom"/>
            <w:hideMark/>
          </w:tcPr>
          <w:p w14:paraId="296A233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68" w:type="dxa"/>
            <w:tcBorders>
              <w:top w:val="nil"/>
              <w:left w:val="nil"/>
              <w:bottom w:val="single" w:sz="4" w:space="0" w:color="auto"/>
              <w:right w:val="single" w:sz="4" w:space="0" w:color="auto"/>
            </w:tcBorders>
            <w:noWrap/>
            <w:vAlign w:val="bottom"/>
            <w:hideMark/>
          </w:tcPr>
          <w:p w14:paraId="67D6587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16" w:type="dxa"/>
            <w:tcBorders>
              <w:top w:val="nil"/>
              <w:left w:val="nil"/>
              <w:bottom w:val="single" w:sz="4" w:space="0" w:color="auto"/>
              <w:right w:val="single" w:sz="4" w:space="0" w:color="auto"/>
            </w:tcBorders>
            <w:noWrap/>
            <w:vAlign w:val="bottom"/>
            <w:hideMark/>
          </w:tcPr>
          <w:p w14:paraId="250C926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6E58D2E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609FDA2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6F82170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6CBBA06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7506206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r>
      <w:tr w:rsidR="00EA0FD7" w:rsidRPr="00EA0FD7" w14:paraId="78D7BC61" w14:textId="77777777" w:rsidTr="00EA0FD7">
        <w:trPr>
          <w:trHeight w:val="240"/>
        </w:trPr>
        <w:tc>
          <w:tcPr>
            <w:tcW w:w="1196" w:type="dxa"/>
            <w:tcBorders>
              <w:top w:val="nil"/>
              <w:left w:val="single" w:sz="8" w:space="0" w:color="auto"/>
              <w:bottom w:val="nil"/>
              <w:right w:val="single" w:sz="4" w:space="0" w:color="auto"/>
            </w:tcBorders>
            <w:vAlign w:val="bottom"/>
            <w:hideMark/>
          </w:tcPr>
          <w:p w14:paraId="5045B86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615000</w:t>
            </w:r>
          </w:p>
        </w:tc>
        <w:tc>
          <w:tcPr>
            <w:tcW w:w="2505" w:type="dxa"/>
            <w:tcBorders>
              <w:top w:val="nil"/>
              <w:left w:val="nil"/>
              <w:bottom w:val="nil"/>
              <w:right w:val="single" w:sz="4" w:space="0" w:color="auto"/>
            </w:tcBorders>
            <w:vAlign w:val="bottom"/>
            <w:hideMark/>
          </w:tcPr>
          <w:p w14:paraId="1DC0D337"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Капитални трансфери и донације</w:t>
            </w:r>
          </w:p>
        </w:tc>
        <w:tc>
          <w:tcPr>
            <w:tcW w:w="1435" w:type="dxa"/>
            <w:tcBorders>
              <w:top w:val="nil"/>
              <w:left w:val="nil"/>
              <w:bottom w:val="single" w:sz="4" w:space="0" w:color="auto"/>
              <w:right w:val="single" w:sz="4" w:space="0" w:color="auto"/>
            </w:tcBorders>
            <w:noWrap/>
            <w:vAlign w:val="bottom"/>
            <w:hideMark/>
          </w:tcPr>
          <w:p w14:paraId="09739F8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68" w:type="dxa"/>
            <w:tcBorders>
              <w:top w:val="nil"/>
              <w:left w:val="nil"/>
              <w:bottom w:val="single" w:sz="4" w:space="0" w:color="auto"/>
              <w:right w:val="single" w:sz="4" w:space="0" w:color="auto"/>
            </w:tcBorders>
            <w:noWrap/>
            <w:vAlign w:val="bottom"/>
            <w:hideMark/>
          </w:tcPr>
          <w:p w14:paraId="33BAC60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68" w:type="dxa"/>
            <w:tcBorders>
              <w:top w:val="nil"/>
              <w:left w:val="nil"/>
              <w:bottom w:val="single" w:sz="4" w:space="0" w:color="auto"/>
              <w:right w:val="single" w:sz="4" w:space="0" w:color="auto"/>
            </w:tcBorders>
            <w:noWrap/>
            <w:vAlign w:val="bottom"/>
            <w:hideMark/>
          </w:tcPr>
          <w:p w14:paraId="1F4B837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16" w:type="dxa"/>
            <w:tcBorders>
              <w:top w:val="nil"/>
              <w:left w:val="nil"/>
              <w:bottom w:val="single" w:sz="4" w:space="0" w:color="auto"/>
              <w:right w:val="single" w:sz="4" w:space="0" w:color="auto"/>
            </w:tcBorders>
            <w:noWrap/>
            <w:vAlign w:val="bottom"/>
            <w:hideMark/>
          </w:tcPr>
          <w:p w14:paraId="2EFF10F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0A39EDE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6B68968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26638A3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53B948D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062C9EE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r>
      <w:tr w:rsidR="00EA0FD7" w:rsidRPr="00EA0FD7" w14:paraId="65855F8D" w14:textId="77777777" w:rsidTr="00EA0FD7">
        <w:trPr>
          <w:trHeight w:val="480"/>
        </w:trPr>
        <w:tc>
          <w:tcPr>
            <w:tcW w:w="1196" w:type="dxa"/>
            <w:tcBorders>
              <w:top w:val="single" w:sz="4" w:space="0" w:color="auto"/>
              <w:left w:val="single" w:sz="8" w:space="0" w:color="auto"/>
              <w:bottom w:val="nil"/>
              <w:right w:val="single" w:sz="4" w:space="0" w:color="auto"/>
            </w:tcBorders>
            <w:noWrap/>
            <w:vAlign w:val="bottom"/>
            <w:hideMark/>
          </w:tcPr>
          <w:p w14:paraId="0762E09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821000</w:t>
            </w:r>
          </w:p>
        </w:tc>
        <w:tc>
          <w:tcPr>
            <w:tcW w:w="2505" w:type="dxa"/>
            <w:tcBorders>
              <w:top w:val="single" w:sz="4" w:space="0" w:color="auto"/>
              <w:left w:val="nil"/>
              <w:bottom w:val="nil"/>
              <w:right w:val="single" w:sz="4" w:space="0" w:color="auto"/>
            </w:tcBorders>
            <w:vAlign w:val="bottom"/>
            <w:hideMark/>
          </w:tcPr>
          <w:p w14:paraId="774F6E73"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набавку сталних средстава</w:t>
            </w:r>
          </w:p>
        </w:tc>
        <w:tc>
          <w:tcPr>
            <w:tcW w:w="1435" w:type="dxa"/>
            <w:tcBorders>
              <w:top w:val="nil"/>
              <w:left w:val="nil"/>
              <w:bottom w:val="single" w:sz="4" w:space="0" w:color="auto"/>
              <w:right w:val="single" w:sz="4" w:space="0" w:color="auto"/>
            </w:tcBorders>
            <w:noWrap/>
            <w:vAlign w:val="bottom"/>
            <w:hideMark/>
          </w:tcPr>
          <w:p w14:paraId="3D4D314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634,630.00</w:t>
            </w:r>
          </w:p>
        </w:tc>
        <w:tc>
          <w:tcPr>
            <w:tcW w:w="1368" w:type="dxa"/>
            <w:tcBorders>
              <w:top w:val="nil"/>
              <w:left w:val="nil"/>
              <w:bottom w:val="single" w:sz="4" w:space="0" w:color="auto"/>
              <w:right w:val="single" w:sz="4" w:space="0" w:color="auto"/>
            </w:tcBorders>
            <w:noWrap/>
            <w:vAlign w:val="bottom"/>
            <w:hideMark/>
          </w:tcPr>
          <w:p w14:paraId="55695D2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48,856.86</w:t>
            </w:r>
          </w:p>
        </w:tc>
        <w:tc>
          <w:tcPr>
            <w:tcW w:w="1368" w:type="dxa"/>
            <w:tcBorders>
              <w:top w:val="nil"/>
              <w:left w:val="nil"/>
              <w:bottom w:val="single" w:sz="4" w:space="0" w:color="auto"/>
              <w:right w:val="single" w:sz="4" w:space="0" w:color="auto"/>
            </w:tcBorders>
            <w:noWrap/>
            <w:vAlign w:val="bottom"/>
            <w:hideMark/>
          </w:tcPr>
          <w:p w14:paraId="462820A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16" w:type="dxa"/>
            <w:tcBorders>
              <w:top w:val="nil"/>
              <w:left w:val="nil"/>
              <w:bottom w:val="single" w:sz="4" w:space="0" w:color="auto"/>
              <w:right w:val="single" w:sz="4" w:space="0" w:color="auto"/>
            </w:tcBorders>
            <w:noWrap/>
            <w:vAlign w:val="bottom"/>
            <w:hideMark/>
          </w:tcPr>
          <w:p w14:paraId="0C7A4F7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2,760,000</w:t>
            </w:r>
          </w:p>
        </w:tc>
        <w:tc>
          <w:tcPr>
            <w:tcW w:w="1316" w:type="dxa"/>
            <w:tcBorders>
              <w:top w:val="nil"/>
              <w:left w:val="nil"/>
              <w:bottom w:val="single" w:sz="4" w:space="0" w:color="auto"/>
              <w:right w:val="single" w:sz="4" w:space="0" w:color="auto"/>
            </w:tcBorders>
            <w:noWrap/>
            <w:vAlign w:val="bottom"/>
            <w:hideMark/>
          </w:tcPr>
          <w:p w14:paraId="4B4727B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03CAE2F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19719E2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2,760,000</w:t>
            </w:r>
          </w:p>
        </w:tc>
        <w:tc>
          <w:tcPr>
            <w:tcW w:w="1316" w:type="dxa"/>
            <w:tcBorders>
              <w:top w:val="nil"/>
              <w:left w:val="nil"/>
              <w:bottom w:val="single" w:sz="4" w:space="0" w:color="auto"/>
              <w:right w:val="single" w:sz="4" w:space="0" w:color="auto"/>
            </w:tcBorders>
            <w:noWrap/>
            <w:vAlign w:val="bottom"/>
            <w:hideMark/>
          </w:tcPr>
          <w:p w14:paraId="36CE27F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8" w:space="0" w:color="auto"/>
            </w:tcBorders>
            <w:noWrap/>
            <w:vAlign w:val="bottom"/>
            <w:hideMark/>
          </w:tcPr>
          <w:p w14:paraId="1DE140F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r>
      <w:tr w:rsidR="00EA0FD7" w:rsidRPr="00EA0FD7" w14:paraId="4EC6FD81" w14:textId="77777777" w:rsidTr="00EA0FD7">
        <w:trPr>
          <w:trHeight w:val="240"/>
        </w:trPr>
        <w:tc>
          <w:tcPr>
            <w:tcW w:w="1196" w:type="dxa"/>
            <w:tcBorders>
              <w:top w:val="single" w:sz="4" w:space="0" w:color="auto"/>
              <w:left w:val="single" w:sz="8" w:space="0" w:color="auto"/>
              <w:bottom w:val="single" w:sz="4" w:space="0" w:color="auto"/>
              <w:right w:val="single" w:sz="4" w:space="0" w:color="auto"/>
            </w:tcBorders>
            <w:noWrap/>
            <w:vAlign w:val="bottom"/>
            <w:hideMark/>
          </w:tcPr>
          <w:p w14:paraId="48AF83AE"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505" w:type="dxa"/>
            <w:tcBorders>
              <w:top w:val="single" w:sz="4" w:space="0" w:color="auto"/>
              <w:left w:val="nil"/>
              <w:bottom w:val="single" w:sz="4" w:space="0" w:color="auto"/>
              <w:right w:val="single" w:sz="4" w:space="0" w:color="auto"/>
            </w:tcBorders>
            <w:vAlign w:val="bottom"/>
            <w:hideMark/>
          </w:tcPr>
          <w:p w14:paraId="105B93CA"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Отплата дуга</w:t>
            </w:r>
          </w:p>
        </w:tc>
        <w:tc>
          <w:tcPr>
            <w:tcW w:w="1435" w:type="dxa"/>
            <w:tcBorders>
              <w:top w:val="nil"/>
              <w:left w:val="nil"/>
              <w:bottom w:val="single" w:sz="4" w:space="0" w:color="auto"/>
              <w:right w:val="nil"/>
            </w:tcBorders>
            <w:noWrap/>
            <w:vAlign w:val="bottom"/>
            <w:hideMark/>
          </w:tcPr>
          <w:p w14:paraId="24415D3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9,177,577.00</w:t>
            </w:r>
          </w:p>
        </w:tc>
        <w:tc>
          <w:tcPr>
            <w:tcW w:w="1368" w:type="dxa"/>
            <w:tcBorders>
              <w:top w:val="nil"/>
              <w:left w:val="single" w:sz="4" w:space="0" w:color="auto"/>
              <w:bottom w:val="single" w:sz="4" w:space="0" w:color="auto"/>
              <w:right w:val="single" w:sz="4" w:space="0" w:color="auto"/>
            </w:tcBorders>
            <w:noWrap/>
            <w:vAlign w:val="bottom"/>
            <w:hideMark/>
          </w:tcPr>
          <w:p w14:paraId="7AA2B11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7,953,703.92</w:t>
            </w:r>
          </w:p>
        </w:tc>
        <w:tc>
          <w:tcPr>
            <w:tcW w:w="1368" w:type="dxa"/>
            <w:tcBorders>
              <w:top w:val="nil"/>
              <w:left w:val="nil"/>
              <w:bottom w:val="single" w:sz="4" w:space="0" w:color="auto"/>
              <w:right w:val="nil"/>
            </w:tcBorders>
            <w:noWrap/>
            <w:vAlign w:val="bottom"/>
            <w:hideMark/>
          </w:tcPr>
          <w:p w14:paraId="4E71C26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10,270,076.00</w:t>
            </w:r>
          </w:p>
        </w:tc>
        <w:tc>
          <w:tcPr>
            <w:tcW w:w="1316" w:type="dxa"/>
            <w:tcBorders>
              <w:top w:val="nil"/>
              <w:left w:val="single" w:sz="4" w:space="0" w:color="auto"/>
              <w:bottom w:val="single" w:sz="4" w:space="0" w:color="auto"/>
              <w:right w:val="single" w:sz="4" w:space="0" w:color="auto"/>
            </w:tcBorders>
            <w:noWrap/>
            <w:vAlign w:val="bottom"/>
            <w:hideMark/>
          </w:tcPr>
          <w:p w14:paraId="7D3D03F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11,133,140</w:t>
            </w:r>
          </w:p>
        </w:tc>
        <w:tc>
          <w:tcPr>
            <w:tcW w:w="1316" w:type="dxa"/>
            <w:tcBorders>
              <w:top w:val="nil"/>
              <w:left w:val="nil"/>
              <w:bottom w:val="single" w:sz="4" w:space="0" w:color="auto"/>
              <w:right w:val="single" w:sz="4" w:space="0" w:color="auto"/>
            </w:tcBorders>
            <w:noWrap/>
            <w:vAlign w:val="bottom"/>
            <w:hideMark/>
          </w:tcPr>
          <w:p w14:paraId="28CD632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12,845,951</w:t>
            </w:r>
          </w:p>
        </w:tc>
        <w:tc>
          <w:tcPr>
            <w:tcW w:w="1316" w:type="dxa"/>
            <w:tcBorders>
              <w:top w:val="nil"/>
              <w:left w:val="nil"/>
              <w:bottom w:val="single" w:sz="4" w:space="0" w:color="auto"/>
              <w:right w:val="single" w:sz="4" w:space="0" w:color="auto"/>
            </w:tcBorders>
            <w:noWrap/>
            <w:vAlign w:val="bottom"/>
            <w:hideMark/>
          </w:tcPr>
          <w:p w14:paraId="6A60F1E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11,440,829</w:t>
            </w:r>
          </w:p>
        </w:tc>
        <w:tc>
          <w:tcPr>
            <w:tcW w:w="1316" w:type="dxa"/>
            <w:tcBorders>
              <w:top w:val="nil"/>
              <w:left w:val="nil"/>
              <w:bottom w:val="single" w:sz="4" w:space="0" w:color="auto"/>
              <w:right w:val="single" w:sz="4" w:space="0" w:color="auto"/>
            </w:tcBorders>
            <w:noWrap/>
            <w:vAlign w:val="bottom"/>
            <w:hideMark/>
          </w:tcPr>
          <w:p w14:paraId="242C3F7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11,133,140</w:t>
            </w:r>
          </w:p>
        </w:tc>
        <w:tc>
          <w:tcPr>
            <w:tcW w:w="1316" w:type="dxa"/>
            <w:tcBorders>
              <w:top w:val="nil"/>
              <w:left w:val="nil"/>
              <w:bottom w:val="single" w:sz="4" w:space="0" w:color="auto"/>
              <w:right w:val="single" w:sz="4" w:space="0" w:color="auto"/>
            </w:tcBorders>
            <w:noWrap/>
            <w:vAlign w:val="bottom"/>
            <w:hideMark/>
          </w:tcPr>
          <w:p w14:paraId="508BCCA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12,845,951</w:t>
            </w:r>
          </w:p>
        </w:tc>
        <w:tc>
          <w:tcPr>
            <w:tcW w:w="1316" w:type="dxa"/>
            <w:tcBorders>
              <w:top w:val="nil"/>
              <w:left w:val="nil"/>
              <w:bottom w:val="single" w:sz="4" w:space="0" w:color="auto"/>
              <w:right w:val="single" w:sz="4" w:space="0" w:color="auto"/>
            </w:tcBorders>
            <w:noWrap/>
            <w:vAlign w:val="bottom"/>
            <w:hideMark/>
          </w:tcPr>
          <w:p w14:paraId="1E37691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11,440,829</w:t>
            </w:r>
          </w:p>
        </w:tc>
      </w:tr>
      <w:tr w:rsidR="00EA0FD7" w:rsidRPr="00EA0FD7" w14:paraId="1BD51A8B" w14:textId="77777777" w:rsidTr="00EA0FD7">
        <w:trPr>
          <w:trHeight w:val="480"/>
        </w:trPr>
        <w:tc>
          <w:tcPr>
            <w:tcW w:w="1196" w:type="dxa"/>
            <w:tcBorders>
              <w:top w:val="nil"/>
              <w:left w:val="single" w:sz="8" w:space="0" w:color="auto"/>
              <w:bottom w:val="nil"/>
              <w:right w:val="single" w:sz="4" w:space="0" w:color="auto"/>
            </w:tcBorders>
            <w:noWrap/>
            <w:vAlign w:val="bottom"/>
            <w:hideMark/>
          </w:tcPr>
          <w:p w14:paraId="42F82484"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505" w:type="dxa"/>
            <w:tcBorders>
              <w:top w:val="nil"/>
              <w:left w:val="nil"/>
              <w:bottom w:val="nil"/>
              <w:right w:val="single" w:sz="4" w:space="0" w:color="auto"/>
            </w:tcBorders>
            <w:vAlign w:val="bottom"/>
            <w:hideMark/>
          </w:tcPr>
          <w:p w14:paraId="449DAFF3"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Судске пресуде и вансудска поравнања</w:t>
            </w:r>
          </w:p>
        </w:tc>
        <w:tc>
          <w:tcPr>
            <w:tcW w:w="1435" w:type="dxa"/>
            <w:tcBorders>
              <w:top w:val="nil"/>
              <w:left w:val="nil"/>
              <w:bottom w:val="nil"/>
              <w:right w:val="single" w:sz="4" w:space="0" w:color="auto"/>
            </w:tcBorders>
            <w:noWrap/>
            <w:vAlign w:val="bottom"/>
            <w:hideMark/>
          </w:tcPr>
          <w:p w14:paraId="7073C88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1,349,846.00</w:t>
            </w:r>
          </w:p>
        </w:tc>
        <w:tc>
          <w:tcPr>
            <w:tcW w:w="1368" w:type="dxa"/>
            <w:tcBorders>
              <w:top w:val="nil"/>
              <w:left w:val="nil"/>
              <w:bottom w:val="nil"/>
              <w:right w:val="single" w:sz="4" w:space="0" w:color="auto"/>
            </w:tcBorders>
            <w:noWrap/>
            <w:vAlign w:val="bottom"/>
            <w:hideMark/>
          </w:tcPr>
          <w:p w14:paraId="24DFE4C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1,233,705.17</w:t>
            </w:r>
          </w:p>
        </w:tc>
        <w:tc>
          <w:tcPr>
            <w:tcW w:w="1368" w:type="dxa"/>
            <w:tcBorders>
              <w:top w:val="nil"/>
              <w:left w:val="nil"/>
              <w:bottom w:val="nil"/>
              <w:right w:val="single" w:sz="4" w:space="0" w:color="auto"/>
            </w:tcBorders>
            <w:noWrap/>
            <w:vAlign w:val="bottom"/>
            <w:hideMark/>
          </w:tcPr>
          <w:p w14:paraId="3C58F0D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1,550,556.00</w:t>
            </w:r>
          </w:p>
        </w:tc>
        <w:tc>
          <w:tcPr>
            <w:tcW w:w="1316" w:type="dxa"/>
            <w:tcBorders>
              <w:top w:val="nil"/>
              <w:left w:val="nil"/>
              <w:bottom w:val="nil"/>
              <w:right w:val="single" w:sz="4" w:space="0" w:color="auto"/>
            </w:tcBorders>
            <w:noWrap/>
            <w:vAlign w:val="bottom"/>
            <w:hideMark/>
          </w:tcPr>
          <w:p w14:paraId="3B1BA78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1,233,705</w:t>
            </w:r>
          </w:p>
        </w:tc>
        <w:tc>
          <w:tcPr>
            <w:tcW w:w="1316" w:type="dxa"/>
            <w:tcBorders>
              <w:top w:val="nil"/>
              <w:left w:val="nil"/>
              <w:bottom w:val="nil"/>
              <w:right w:val="single" w:sz="4" w:space="0" w:color="auto"/>
            </w:tcBorders>
            <w:noWrap/>
            <w:vAlign w:val="bottom"/>
            <w:hideMark/>
          </w:tcPr>
          <w:p w14:paraId="2EF65D2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1,233,705</w:t>
            </w:r>
          </w:p>
        </w:tc>
        <w:tc>
          <w:tcPr>
            <w:tcW w:w="1316" w:type="dxa"/>
            <w:tcBorders>
              <w:top w:val="nil"/>
              <w:left w:val="nil"/>
              <w:bottom w:val="nil"/>
              <w:right w:val="single" w:sz="4" w:space="0" w:color="auto"/>
            </w:tcBorders>
            <w:noWrap/>
            <w:vAlign w:val="bottom"/>
            <w:hideMark/>
          </w:tcPr>
          <w:p w14:paraId="3C5F7D3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1,233,705</w:t>
            </w:r>
          </w:p>
        </w:tc>
        <w:tc>
          <w:tcPr>
            <w:tcW w:w="1316" w:type="dxa"/>
            <w:tcBorders>
              <w:top w:val="nil"/>
              <w:left w:val="nil"/>
              <w:bottom w:val="nil"/>
              <w:right w:val="single" w:sz="4" w:space="0" w:color="auto"/>
            </w:tcBorders>
            <w:noWrap/>
            <w:vAlign w:val="bottom"/>
            <w:hideMark/>
          </w:tcPr>
          <w:p w14:paraId="3653E36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1,233,705</w:t>
            </w:r>
          </w:p>
        </w:tc>
        <w:tc>
          <w:tcPr>
            <w:tcW w:w="1316" w:type="dxa"/>
            <w:tcBorders>
              <w:top w:val="nil"/>
              <w:left w:val="nil"/>
              <w:bottom w:val="nil"/>
              <w:right w:val="single" w:sz="4" w:space="0" w:color="auto"/>
            </w:tcBorders>
            <w:noWrap/>
            <w:vAlign w:val="bottom"/>
            <w:hideMark/>
          </w:tcPr>
          <w:p w14:paraId="4B489FC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1,233,705</w:t>
            </w:r>
          </w:p>
        </w:tc>
        <w:tc>
          <w:tcPr>
            <w:tcW w:w="1316" w:type="dxa"/>
            <w:tcBorders>
              <w:top w:val="nil"/>
              <w:left w:val="nil"/>
              <w:bottom w:val="nil"/>
              <w:right w:val="single" w:sz="4" w:space="0" w:color="auto"/>
            </w:tcBorders>
            <w:noWrap/>
            <w:vAlign w:val="bottom"/>
            <w:hideMark/>
          </w:tcPr>
          <w:p w14:paraId="3C2613D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1,233,705</w:t>
            </w:r>
          </w:p>
        </w:tc>
      </w:tr>
      <w:tr w:rsidR="00EA0FD7" w:rsidRPr="00EA0FD7" w14:paraId="1276469D" w14:textId="77777777" w:rsidTr="00EA0FD7">
        <w:trPr>
          <w:trHeight w:val="240"/>
        </w:trPr>
        <w:tc>
          <w:tcPr>
            <w:tcW w:w="1196" w:type="dxa"/>
            <w:tcBorders>
              <w:top w:val="single" w:sz="8" w:space="0" w:color="auto"/>
              <w:left w:val="single" w:sz="8" w:space="0" w:color="auto"/>
              <w:bottom w:val="single" w:sz="8" w:space="0" w:color="auto"/>
              <w:right w:val="single" w:sz="8" w:space="0" w:color="auto"/>
            </w:tcBorders>
            <w:noWrap/>
            <w:vAlign w:val="bottom"/>
            <w:hideMark/>
          </w:tcPr>
          <w:p w14:paraId="596819B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05" w:type="dxa"/>
            <w:tcBorders>
              <w:top w:val="single" w:sz="8" w:space="0" w:color="auto"/>
              <w:left w:val="nil"/>
              <w:bottom w:val="single" w:sz="8" w:space="0" w:color="auto"/>
              <w:right w:val="single" w:sz="8" w:space="0" w:color="auto"/>
            </w:tcBorders>
            <w:noWrap/>
            <w:vAlign w:val="bottom"/>
            <w:hideMark/>
          </w:tcPr>
          <w:p w14:paraId="09B0604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435" w:type="dxa"/>
            <w:tcBorders>
              <w:top w:val="single" w:sz="8" w:space="0" w:color="auto"/>
              <w:left w:val="nil"/>
              <w:bottom w:val="single" w:sz="8" w:space="0" w:color="auto"/>
              <w:right w:val="single" w:sz="8" w:space="0" w:color="auto"/>
            </w:tcBorders>
            <w:noWrap/>
            <w:vAlign w:val="bottom"/>
            <w:hideMark/>
          </w:tcPr>
          <w:p w14:paraId="4E6B080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16,704,211.92</w:t>
            </w:r>
          </w:p>
        </w:tc>
        <w:tc>
          <w:tcPr>
            <w:tcW w:w="1368" w:type="dxa"/>
            <w:tcBorders>
              <w:top w:val="single" w:sz="8" w:space="0" w:color="auto"/>
              <w:left w:val="nil"/>
              <w:bottom w:val="single" w:sz="8" w:space="0" w:color="auto"/>
              <w:right w:val="single" w:sz="8" w:space="0" w:color="auto"/>
            </w:tcBorders>
            <w:noWrap/>
            <w:vAlign w:val="bottom"/>
            <w:hideMark/>
          </w:tcPr>
          <w:p w14:paraId="7B1F7B6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14,436,744.96</w:t>
            </w:r>
          </w:p>
        </w:tc>
        <w:tc>
          <w:tcPr>
            <w:tcW w:w="1368" w:type="dxa"/>
            <w:tcBorders>
              <w:top w:val="single" w:sz="8" w:space="0" w:color="auto"/>
              <w:left w:val="nil"/>
              <w:bottom w:val="single" w:sz="8" w:space="0" w:color="auto"/>
              <w:right w:val="single" w:sz="8" w:space="0" w:color="auto"/>
            </w:tcBorders>
            <w:noWrap/>
            <w:vAlign w:val="bottom"/>
            <w:hideMark/>
          </w:tcPr>
          <w:p w14:paraId="01CF467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18,076,886.65</w:t>
            </w:r>
          </w:p>
        </w:tc>
        <w:tc>
          <w:tcPr>
            <w:tcW w:w="1316" w:type="dxa"/>
            <w:tcBorders>
              <w:top w:val="single" w:sz="8" w:space="0" w:color="auto"/>
              <w:left w:val="nil"/>
              <w:bottom w:val="single" w:sz="8" w:space="0" w:color="auto"/>
              <w:right w:val="single" w:sz="8" w:space="0" w:color="auto"/>
            </w:tcBorders>
            <w:noWrap/>
            <w:vAlign w:val="bottom"/>
            <w:hideMark/>
          </w:tcPr>
          <w:p w14:paraId="07CE0CE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21,084,816</w:t>
            </w:r>
          </w:p>
        </w:tc>
        <w:tc>
          <w:tcPr>
            <w:tcW w:w="1316" w:type="dxa"/>
            <w:tcBorders>
              <w:top w:val="single" w:sz="8" w:space="0" w:color="auto"/>
              <w:left w:val="nil"/>
              <w:bottom w:val="single" w:sz="8" w:space="0" w:color="auto"/>
              <w:right w:val="single" w:sz="8" w:space="0" w:color="auto"/>
            </w:tcBorders>
            <w:noWrap/>
            <w:vAlign w:val="bottom"/>
            <w:hideMark/>
          </w:tcPr>
          <w:p w14:paraId="06D2E2E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20,061,908</w:t>
            </w:r>
          </w:p>
        </w:tc>
        <w:tc>
          <w:tcPr>
            <w:tcW w:w="1316" w:type="dxa"/>
            <w:tcBorders>
              <w:top w:val="single" w:sz="8" w:space="0" w:color="auto"/>
              <w:left w:val="nil"/>
              <w:bottom w:val="single" w:sz="8" w:space="0" w:color="auto"/>
              <w:right w:val="single" w:sz="8" w:space="0" w:color="auto"/>
            </w:tcBorders>
            <w:noWrap/>
            <w:vAlign w:val="bottom"/>
            <w:hideMark/>
          </w:tcPr>
          <w:p w14:paraId="63586E1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18,686,109</w:t>
            </w:r>
          </w:p>
        </w:tc>
        <w:tc>
          <w:tcPr>
            <w:tcW w:w="1316" w:type="dxa"/>
            <w:tcBorders>
              <w:top w:val="single" w:sz="8" w:space="0" w:color="auto"/>
              <w:left w:val="nil"/>
              <w:bottom w:val="single" w:sz="8" w:space="0" w:color="auto"/>
              <w:right w:val="single" w:sz="8" w:space="0" w:color="auto"/>
            </w:tcBorders>
            <w:noWrap/>
            <w:vAlign w:val="bottom"/>
            <w:hideMark/>
          </w:tcPr>
          <w:p w14:paraId="528518D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21,214,986</w:t>
            </w:r>
          </w:p>
        </w:tc>
        <w:tc>
          <w:tcPr>
            <w:tcW w:w="1316" w:type="dxa"/>
            <w:tcBorders>
              <w:top w:val="single" w:sz="8" w:space="0" w:color="auto"/>
              <w:left w:val="nil"/>
              <w:bottom w:val="single" w:sz="8" w:space="0" w:color="auto"/>
              <w:right w:val="single" w:sz="8" w:space="0" w:color="auto"/>
            </w:tcBorders>
            <w:noWrap/>
            <w:vAlign w:val="bottom"/>
            <w:hideMark/>
          </w:tcPr>
          <w:p w14:paraId="5715EB6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20,192,078</w:t>
            </w:r>
          </w:p>
        </w:tc>
        <w:tc>
          <w:tcPr>
            <w:tcW w:w="1316" w:type="dxa"/>
            <w:tcBorders>
              <w:top w:val="single" w:sz="8" w:space="0" w:color="auto"/>
              <w:left w:val="nil"/>
              <w:bottom w:val="single" w:sz="8" w:space="0" w:color="auto"/>
              <w:right w:val="single" w:sz="8" w:space="0" w:color="auto"/>
            </w:tcBorders>
            <w:noWrap/>
            <w:vAlign w:val="bottom"/>
            <w:hideMark/>
          </w:tcPr>
          <w:p w14:paraId="7EF4DAA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18,816,279</w:t>
            </w:r>
          </w:p>
        </w:tc>
      </w:tr>
      <w:tr w:rsidR="00EA0FD7" w:rsidRPr="00EA0FD7" w14:paraId="38E8520C" w14:textId="77777777" w:rsidTr="00EA0FD7">
        <w:trPr>
          <w:trHeight w:val="63"/>
        </w:trPr>
        <w:tc>
          <w:tcPr>
            <w:tcW w:w="1196" w:type="dxa"/>
            <w:tcBorders>
              <w:top w:val="nil"/>
              <w:left w:val="single" w:sz="8" w:space="0" w:color="auto"/>
              <w:bottom w:val="single" w:sz="8" w:space="0" w:color="auto"/>
              <w:right w:val="nil"/>
            </w:tcBorders>
            <w:noWrap/>
            <w:vAlign w:val="bottom"/>
          </w:tcPr>
          <w:p w14:paraId="5E7FC32F"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2505" w:type="dxa"/>
            <w:tcBorders>
              <w:top w:val="nil"/>
              <w:left w:val="nil"/>
              <w:bottom w:val="single" w:sz="8" w:space="0" w:color="auto"/>
              <w:right w:val="nil"/>
            </w:tcBorders>
            <w:noWrap/>
            <w:vAlign w:val="bottom"/>
            <w:hideMark/>
          </w:tcPr>
          <w:p w14:paraId="666FCD3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35" w:type="dxa"/>
            <w:tcBorders>
              <w:top w:val="nil"/>
              <w:left w:val="nil"/>
              <w:bottom w:val="single" w:sz="8" w:space="0" w:color="auto"/>
              <w:right w:val="nil"/>
            </w:tcBorders>
            <w:noWrap/>
            <w:vAlign w:val="bottom"/>
            <w:hideMark/>
          </w:tcPr>
          <w:p w14:paraId="6A20D3C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68" w:type="dxa"/>
            <w:tcBorders>
              <w:top w:val="nil"/>
              <w:left w:val="nil"/>
              <w:bottom w:val="single" w:sz="8" w:space="0" w:color="auto"/>
              <w:right w:val="nil"/>
            </w:tcBorders>
            <w:noWrap/>
            <w:vAlign w:val="bottom"/>
            <w:hideMark/>
          </w:tcPr>
          <w:p w14:paraId="086A665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68" w:type="dxa"/>
            <w:tcBorders>
              <w:top w:val="nil"/>
              <w:left w:val="nil"/>
              <w:bottom w:val="single" w:sz="8" w:space="0" w:color="auto"/>
              <w:right w:val="nil"/>
            </w:tcBorders>
            <w:noWrap/>
            <w:vAlign w:val="bottom"/>
            <w:hideMark/>
          </w:tcPr>
          <w:p w14:paraId="74E5160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138A34F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381F242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single" w:sz="8" w:space="0" w:color="auto"/>
              <w:bottom w:val="single" w:sz="8" w:space="0" w:color="auto"/>
              <w:right w:val="single" w:sz="8" w:space="0" w:color="auto"/>
            </w:tcBorders>
            <w:noWrap/>
            <w:vAlign w:val="bottom"/>
            <w:hideMark/>
          </w:tcPr>
          <w:p w14:paraId="1DBBA58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42C9AA9F"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nil"/>
            </w:tcBorders>
            <w:noWrap/>
            <w:vAlign w:val="bottom"/>
            <w:hideMark/>
          </w:tcPr>
          <w:p w14:paraId="4DA35E4B"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single" w:sz="8" w:space="0" w:color="auto"/>
            </w:tcBorders>
            <w:noWrap/>
            <w:vAlign w:val="bottom"/>
            <w:hideMark/>
          </w:tcPr>
          <w:p w14:paraId="0F65367F"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554630C8" w14:textId="77777777" w:rsidTr="00EA0FD7">
        <w:trPr>
          <w:trHeight w:val="240"/>
        </w:trPr>
        <w:tc>
          <w:tcPr>
            <w:tcW w:w="1196" w:type="dxa"/>
            <w:tcBorders>
              <w:top w:val="nil"/>
              <w:left w:val="single" w:sz="8" w:space="0" w:color="auto"/>
              <w:bottom w:val="single" w:sz="8" w:space="0" w:color="auto"/>
              <w:right w:val="single" w:sz="8" w:space="0" w:color="auto"/>
            </w:tcBorders>
            <w:noWrap/>
            <w:vAlign w:val="bottom"/>
            <w:hideMark/>
          </w:tcPr>
          <w:p w14:paraId="43A05AC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05" w:type="dxa"/>
            <w:tcBorders>
              <w:top w:val="nil"/>
              <w:left w:val="nil"/>
              <w:bottom w:val="single" w:sz="8" w:space="0" w:color="auto"/>
              <w:right w:val="single" w:sz="8" w:space="0" w:color="auto"/>
            </w:tcBorders>
            <w:noWrap/>
            <w:vAlign w:val="bottom"/>
            <w:hideMark/>
          </w:tcPr>
          <w:p w14:paraId="79C70B2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435" w:type="dxa"/>
            <w:tcBorders>
              <w:top w:val="nil"/>
              <w:left w:val="nil"/>
              <w:bottom w:val="single" w:sz="8" w:space="0" w:color="auto"/>
              <w:right w:val="single" w:sz="8" w:space="0" w:color="auto"/>
            </w:tcBorders>
            <w:noWrap/>
            <w:vAlign w:val="bottom"/>
            <w:hideMark/>
          </w:tcPr>
          <w:p w14:paraId="6404FF2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150</w:t>
            </w:r>
          </w:p>
        </w:tc>
        <w:tc>
          <w:tcPr>
            <w:tcW w:w="1368" w:type="dxa"/>
            <w:tcBorders>
              <w:top w:val="nil"/>
              <w:left w:val="nil"/>
              <w:bottom w:val="single" w:sz="8" w:space="0" w:color="auto"/>
              <w:right w:val="single" w:sz="8" w:space="0" w:color="auto"/>
            </w:tcBorders>
            <w:noWrap/>
            <w:vAlign w:val="bottom"/>
            <w:hideMark/>
          </w:tcPr>
          <w:p w14:paraId="2EBEAAA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139</w:t>
            </w:r>
          </w:p>
        </w:tc>
        <w:tc>
          <w:tcPr>
            <w:tcW w:w="1368" w:type="dxa"/>
            <w:tcBorders>
              <w:top w:val="nil"/>
              <w:left w:val="nil"/>
              <w:bottom w:val="single" w:sz="8" w:space="0" w:color="auto"/>
              <w:right w:val="single" w:sz="8" w:space="0" w:color="auto"/>
            </w:tcBorders>
            <w:noWrap/>
            <w:vAlign w:val="bottom"/>
            <w:hideMark/>
          </w:tcPr>
          <w:p w14:paraId="63A6B1A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154</w:t>
            </w:r>
          </w:p>
        </w:tc>
        <w:tc>
          <w:tcPr>
            <w:tcW w:w="1316" w:type="dxa"/>
            <w:tcBorders>
              <w:top w:val="nil"/>
              <w:left w:val="nil"/>
              <w:bottom w:val="single" w:sz="8" w:space="0" w:color="auto"/>
              <w:right w:val="single" w:sz="8" w:space="0" w:color="auto"/>
            </w:tcBorders>
            <w:noWrap/>
            <w:vAlign w:val="bottom"/>
            <w:hideMark/>
          </w:tcPr>
          <w:p w14:paraId="0CFAF2D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151</w:t>
            </w:r>
          </w:p>
        </w:tc>
        <w:tc>
          <w:tcPr>
            <w:tcW w:w="1316" w:type="dxa"/>
            <w:tcBorders>
              <w:top w:val="nil"/>
              <w:left w:val="nil"/>
              <w:bottom w:val="single" w:sz="8" w:space="0" w:color="auto"/>
              <w:right w:val="single" w:sz="8" w:space="0" w:color="auto"/>
            </w:tcBorders>
            <w:noWrap/>
            <w:vAlign w:val="bottom"/>
            <w:hideMark/>
          </w:tcPr>
          <w:p w14:paraId="1244114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151</w:t>
            </w:r>
          </w:p>
        </w:tc>
        <w:tc>
          <w:tcPr>
            <w:tcW w:w="1316" w:type="dxa"/>
            <w:tcBorders>
              <w:top w:val="nil"/>
              <w:left w:val="nil"/>
              <w:bottom w:val="single" w:sz="8" w:space="0" w:color="auto"/>
              <w:right w:val="single" w:sz="8" w:space="0" w:color="auto"/>
            </w:tcBorders>
            <w:noWrap/>
            <w:vAlign w:val="bottom"/>
            <w:hideMark/>
          </w:tcPr>
          <w:p w14:paraId="5856C5F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151</w:t>
            </w:r>
          </w:p>
        </w:tc>
        <w:tc>
          <w:tcPr>
            <w:tcW w:w="1316" w:type="dxa"/>
            <w:tcBorders>
              <w:top w:val="nil"/>
              <w:left w:val="nil"/>
              <w:bottom w:val="single" w:sz="8" w:space="0" w:color="auto"/>
              <w:right w:val="single" w:sz="8" w:space="0" w:color="auto"/>
            </w:tcBorders>
            <w:noWrap/>
            <w:vAlign w:val="bottom"/>
            <w:hideMark/>
          </w:tcPr>
          <w:p w14:paraId="13F4E53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154</w:t>
            </w:r>
          </w:p>
        </w:tc>
        <w:tc>
          <w:tcPr>
            <w:tcW w:w="1316" w:type="dxa"/>
            <w:tcBorders>
              <w:top w:val="nil"/>
              <w:left w:val="nil"/>
              <w:bottom w:val="single" w:sz="8" w:space="0" w:color="auto"/>
              <w:right w:val="single" w:sz="8" w:space="0" w:color="auto"/>
            </w:tcBorders>
            <w:noWrap/>
            <w:vAlign w:val="bottom"/>
            <w:hideMark/>
          </w:tcPr>
          <w:p w14:paraId="350AB5C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154</w:t>
            </w:r>
          </w:p>
        </w:tc>
        <w:tc>
          <w:tcPr>
            <w:tcW w:w="1316" w:type="dxa"/>
            <w:tcBorders>
              <w:top w:val="nil"/>
              <w:left w:val="nil"/>
              <w:bottom w:val="single" w:sz="8" w:space="0" w:color="auto"/>
              <w:right w:val="single" w:sz="8" w:space="0" w:color="auto"/>
            </w:tcBorders>
            <w:noWrap/>
            <w:vAlign w:val="bottom"/>
            <w:hideMark/>
          </w:tcPr>
          <w:p w14:paraId="76EBF5E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154</w:t>
            </w:r>
          </w:p>
        </w:tc>
      </w:tr>
      <w:tr w:rsidR="00EA0FD7" w:rsidRPr="00EA0FD7" w14:paraId="4A770C39" w14:textId="77777777" w:rsidTr="00EA0FD7">
        <w:trPr>
          <w:trHeight w:val="240"/>
        </w:trPr>
        <w:tc>
          <w:tcPr>
            <w:tcW w:w="1196" w:type="dxa"/>
            <w:noWrap/>
            <w:vAlign w:val="bottom"/>
          </w:tcPr>
          <w:p w14:paraId="00CA3E9A"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2505" w:type="dxa"/>
            <w:noWrap/>
            <w:vAlign w:val="bottom"/>
          </w:tcPr>
          <w:p w14:paraId="69D05A88"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435" w:type="dxa"/>
            <w:noWrap/>
            <w:vAlign w:val="bottom"/>
          </w:tcPr>
          <w:p w14:paraId="792E0346"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68" w:type="dxa"/>
            <w:noWrap/>
            <w:vAlign w:val="bottom"/>
          </w:tcPr>
          <w:p w14:paraId="754080F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p>
        </w:tc>
        <w:tc>
          <w:tcPr>
            <w:tcW w:w="1368" w:type="dxa"/>
            <w:noWrap/>
            <w:vAlign w:val="bottom"/>
          </w:tcPr>
          <w:p w14:paraId="46A1BE7B"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46155AA9"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3C43E767"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14112460"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70AD3510"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3FD99DE0"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1A8A65FB" w14:textId="77777777" w:rsidR="00EA0FD7" w:rsidRPr="00EA0FD7" w:rsidRDefault="00EA0FD7" w:rsidP="00EA0FD7">
            <w:pPr>
              <w:spacing w:after="0" w:line="240" w:lineRule="auto"/>
              <w:rPr>
                <w:rFonts w:ascii="Arial" w:eastAsia="Times New Roman" w:hAnsi="Arial" w:cs="Arial"/>
                <w:b/>
                <w:bCs/>
                <w:sz w:val="18"/>
                <w:szCs w:val="18"/>
                <w:lang w:val="sr-Cyrl-RS"/>
              </w:rPr>
            </w:pPr>
          </w:p>
        </w:tc>
      </w:tr>
      <w:tr w:rsidR="00EA0FD7" w:rsidRPr="00EA0FD7" w14:paraId="28D5D093" w14:textId="77777777" w:rsidTr="00EA0FD7">
        <w:trPr>
          <w:trHeight w:val="360"/>
        </w:trPr>
        <w:tc>
          <w:tcPr>
            <w:tcW w:w="7872" w:type="dxa"/>
            <w:gridSpan w:val="5"/>
            <w:tcBorders>
              <w:top w:val="nil"/>
              <w:left w:val="nil"/>
              <w:bottom w:val="single" w:sz="8" w:space="0" w:color="auto"/>
              <w:right w:val="nil"/>
            </w:tcBorders>
            <w:noWrap/>
            <w:vAlign w:val="bottom"/>
            <w:hideMark/>
          </w:tcPr>
          <w:p w14:paraId="541CCFD5" w14:textId="2AAB8110"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17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ОДЈЕЉЕЊЕ ЗА ПРИВРЕДНИ РАЗВОЈ, СПОРТ И КУЛТУРУ</w:t>
            </w:r>
          </w:p>
        </w:tc>
        <w:tc>
          <w:tcPr>
            <w:tcW w:w="1316" w:type="dxa"/>
            <w:noWrap/>
            <w:vAlign w:val="bottom"/>
          </w:tcPr>
          <w:p w14:paraId="705DF225"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5F1F787D"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555E47C6"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1CF45425"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644CC16B"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6FA505A0"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50B90706" w14:textId="77777777" w:rsidTr="00EA0FD7">
        <w:trPr>
          <w:trHeight w:val="300"/>
        </w:trPr>
        <w:tc>
          <w:tcPr>
            <w:tcW w:w="1196" w:type="dxa"/>
            <w:vMerge w:val="restart"/>
            <w:tcBorders>
              <w:top w:val="nil"/>
              <w:left w:val="single" w:sz="8" w:space="0" w:color="auto"/>
              <w:bottom w:val="single" w:sz="8" w:space="0" w:color="000000"/>
              <w:right w:val="single" w:sz="8" w:space="0" w:color="auto"/>
            </w:tcBorders>
            <w:shd w:val="clear" w:color="auto" w:fill="808080"/>
            <w:vAlign w:val="center"/>
            <w:hideMark/>
          </w:tcPr>
          <w:p w14:paraId="2DAF5E3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505" w:type="dxa"/>
            <w:vMerge w:val="restart"/>
            <w:tcBorders>
              <w:top w:val="nil"/>
              <w:left w:val="single" w:sz="8" w:space="0" w:color="auto"/>
              <w:bottom w:val="single" w:sz="8" w:space="0" w:color="000000"/>
              <w:right w:val="single" w:sz="8" w:space="0" w:color="auto"/>
            </w:tcBorders>
            <w:shd w:val="clear" w:color="auto" w:fill="808080"/>
            <w:vAlign w:val="center"/>
            <w:hideMark/>
          </w:tcPr>
          <w:p w14:paraId="3BBE0A0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435" w:type="dxa"/>
            <w:vMerge w:val="restart"/>
            <w:tcBorders>
              <w:top w:val="nil"/>
              <w:left w:val="single" w:sz="8" w:space="0" w:color="auto"/>
              <w:bottom w:val="single" w:sz="8" w:space="0" w:color="000000"/>
              <w:right w:val="single" w:sz="8" w:space="0" w:color="auto"/>
            </w:tcBorders>
            <w:shd w:val="clear" w:color="auto" w:fill="808080"/>
            <w:vAlign w:val="center"/>
            <w:hideMark/>
          </w:tcPr>
          <w:p w14:paraId="04942C5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368" w:type="dxa"/>
            <w:vMerge w:val="restart"/>
            <w:tcBorders>
              <w:top w:val="nil"/>
              <w:left w:val="single" w:sz="8" w:space="0" w:color="auto"/>
              <w:bottom w:val="single" w:sz="8" w:space="0" w:color="000000"/>
              <w:right w:val="single" w:sz="8" w:space="0" w:color="auto"/>
            </w:tcBorders>
            <w:shd w:val="clear" w:color="auto" w:fill="808080"/>
            <w:vAlign w:val="center"/>
            <w:hideMark/>
          </w:tcPr>
          <w:p w14:paraId="43754E4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68" w:type="dxa"/>
            <w:vMerge w:val="restart"/>
            <w:tcBorders>
              <w:top w:val="nil"/>
              <w:left w:val="single" w:sz="8" w:space="0" w:color="auto"/>
              <w:bottom w:val="single" w:sz="8" w:space="0" w:color="000000"/>
              <w:right w:val="single" w:sz="8" w:space="0" w:color="auto"/>
            </w:tcBorders>
            <w:shd w:val="clear" w:color="auto" w:fill="808080"/>
            <w:vAlign w:val="center"/>
            <w:hideMark/>
          </w:tcPr>
          <w:p w14:paraId="064A0498"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609EF12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4C96D011"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55082766"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654F4BC4"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2E1A8F32"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4BF447B5"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756FBCB9"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5AA7FA78"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tcBorders>
              <w:top w:val="nil"/>
              <w:left w:val="nil"/>
              <w:bottom w:val="single" w:sz="8" w:space="0" w:color="auto"/>
              <w:right w:val="single" w:sz="4" w:space="0" w:color="auto"/>
            </w:tcBorders>
            <w:shd w:val="clear" w:color="auto" w:fill="808080"/>
            <w:noWrap/>
            <w:vAlign w:val="center"/>
            <w:hideMark/>
          </w:tcPr>
          <w:p w14:paraId="7940B1C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41F0CD2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4DFB0AF0"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tcBorders>
              <w:top w:val="nil"/>
              <w:left w:val="nil"/>
              <w:bottom w:val="single" w:sz="8" w:space="0" w:color="auto"/>
              <w:right w:val="single" w:sz="4" w:space="0" w:color="auto"/>
            </w:tcBorders>
            <w:shd w:val="clear" w:color="auto" w:fill="808080"/>
            <w:noWrap/>
            <w:vAlign w:val="center"/>
            <w:hideMark/>
          </w:tcPr>
          <w:p w14:paraId="32DF74C0"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418EC23E"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1CBE8BD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42F29724" w14:textId="77777777" w:rsidTr="00EA0FD7">
        <w:trPr>
          <w:trHeight w:val="240"/>
        </w:trPr>
        <w:tc>
          <w:tcPr>
            <w:tcW w:w="1196" w:type="dxa"/>
            <w:tcBorders>
              <w:top w:val="nil"/>
              <w:left w:val="single" w:sz="8" w:space="0" w:color="auto"/>
              <w:bottom w:val="single" w:sz="4" w:space="0" w:color="auto"/>
              <w:right w:val="single" w:sz="4" w:space="0" w:color="auto"/>
            </w:tcBorders>
            <w:noWrap/>
            <w:vAlign w:val="bottom"/>
            <w:hideMark/>
          </w:tcPr>
          <w:p w14:paraId="34DC61E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05" w:type="dxa"/>
            <w:tcBorders>
              <w:top w:val="nil"/>
              <w:left w:val="nil"/>
              <w:bottom w:val="single" w:sz="4" w:space="0" w:color="auto"/>
              <w:right w:val="single" w:sz="4" w:space="0" w:color="auto"/>
            </w:tcBorders>
            <w:noWrap/>
            <w:vAlign w:val="bottom"/>
            <w:hideMark/>
          </w:tcPr>
          <w:p w14:paraId="05A4995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435" w:type="dxa"/>
            <w:tcBorders>
              <w:top w:val="nil"/>
              <w:left w:val="nil"/>
              <w:bottom w:val="single" w:sz="4" w:space="0" w:color="auto"/>
              <w:right w:val="single" w:sz="4" w:space="0" w:color="auto"/>
            </w:tcBorders>
            <w:noWrap/>
            <w:vAlign w:val="bottom"/>
            <w:hideMark/>
          </w:tcPr>
          <w:p w14:paraId="169B377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68" w:type="dxa"/>
            <w:tcBorders>
              <w:top w:val="nil"/>
              <w:left w:val="nil"/>
              <w:bottom w:val="single" w:sz="4" w:space="0" w:color="auto"/>
              <w:right w:val="single" w:sz="4" w:space="0" w:color="auto"/>
            </w:tcBorders>
            <w:noWrap/>
            <w:vAlign w:val="bottom"/>
            <w:hideMark/>
          </w:tcPr>
          <w:p w14:paraId="5BAC4F3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68" w:type="dxa"/>
            <w:tcBorders>
              <w:top w:val="nil"/>
              <w:left w:val="nil"/>
              <w:bottom w:val="single" w:sz="4" w:space="0" w:color="auto"/>
              <w:right w:val="single" w:sz="4" w:space="0" w:color="auto"/>
            </w:tcBorders>
            <w:noWrap/>
            <w:vAlign w:val="bottom"/>
            <w:hideMark/>
          </w:tcPr>
          <w:p w14:paraId="7C67A92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2FD2060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273E1CE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14E8768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35180F5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7711E8A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8" w:space="0" w:color="auto"/>
            </w:tcBorders>
            <w:noWrap/>
            <w:vAlign w:val="bottom"/>
            <w:hideMark/>
          </w:tcPr>
          <w:p w14:paraId="051648C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29D1277C" w14:textId="77777777" w:rsidTr="00EA0FD7">
        <w:trPr>
          <w:trHeight w:val="480"/>
        </w:trPr>
        <w:tc>
          <w:tcPr>
            <w:tcW w:w="1196" w:type="dxa"/>
            <w:tcBorders>
              <w:top w:val="nil"/>
              <w:left w:val="single" w:sz="8" w:space="0" w:color="auto"/>
              <w:bottom w:val="single" w:sz="4" w:space="0" w:color="auto"/>
              <w:right w:val="single" w:sz="4" w:space="0" w:color="auto"/>
            </w:tcBorders>
            <w:vAlign w:val="bottom"/>
            <w:hideMark/>
          </w:tcPr>
          <w:p w14:paraId="6F9D174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611100</w:t>
            </w:r>
            <w:r w:rsidRPr="00EA0FD7">
              <w:rPr>
                <w:rFonts w:ascii="Arial" w:eastAsia="Times New Roman" w:hAnsi="Arial" w:cs="Arial"/>
                <w:sz w:val="17"/>
                <w:szCs w:val="17"/>
                <w:lang w:val="sr-Cyrl-RS"/>
              </w:rPr>
              <w:br/>
              <w:t>612100</w:t>
            </w:r>
          </w:p>
        </w:tc>
        <w:tc>
          <w:tcPr>
            <w:tcW w:w="2505" w:type="dxa"/>
            <w:tcBorders>
              <w:top w:val="nil"/>
              <w:left w:val="nil"/>
              <w:bottom w:val="single" w:sz="4" w:space="0" w:color="auto"/>
              <w:right w:val="single" w:sz="4" w:space="0" w:color="auto"/>
            </w:tcBorders>
            <w:vAlign w:val="bottom"/>
            <w:hideMark/>
          </w:tcPr>
          <w:p w14:paraId="78938291"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Бруто плате и доприноси послодавца</w:t>
            </w:r>
          </w:p>
        </w:tc>
        <w:tc>
          <w:tcPr>
            <w:tcW w:w="1435" w:type="dxa"/>
            <w:tcBorders>
              <w:top w:val="nil"/>
              <w:left w:val="nil"/>
              <w:bottom w:val="single" w:sz="4" w:space="0" w:color="auto"/>
              <w:right w:val="single" w:sz="4" w:space="0" w:color="auto"/>
            </w:tcBorders>
            <w:noWrap/>
            <w:vAlign w:val="bottom"/>
            <w:hideMark/>
          </w:tcPr>
          <w:p w14:paraId="4E04EB4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1,123,947.94</w:t>
            </w:r>
          </w:p>
        </w:tc>
        <w:tc>
          <w:tcPr>
            <w:tcW w:w="1368" w:type="dxa"/>
            <w:tcBorders>
              <w:top w:val="nil"/>
              <w:left w:val="nil"/>
              <w:bottom w:val="single" w:sz="4" w:space="0" w:color="auto"/>
              <w:right w:val="single" w:sz="4" w:space="0" w:color="auto"/>
            </w:tcBorders>
            <w:noWrap/>
            <w:vAlign w:val="bottom"/>
            <w:hideMark/>
          </w:tcPr>
          <w:p w14:paraId="2DC33E0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1,082,538.83</w:t>
            </w:r>
          </w:p>
        </w:tc>
        <w:tc>
          <w:tcPr>
            <w:tcW w:w="1368" w:type="dxa"/>
            <w:tcBorders>
              <w:top w:val="nil"/>
              <w:left w:val="nil"/>
              <w:bottom w:val="single" w:sz="4" w:space="0" w:color="auto"/>
              <w:right w:val="single" w:sz="4" w:space="0" w:color="auto"/>
            </w:tcBorders>
            <w:noWrap/>
            <w:vAlign w:val="bottom"/>
            <w:hideMark/>
          </w:tcPr>
          <w:p w14:paraId="362FDC6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1,201,539.16</w:t>
            </w:r>
          </w:p>
        </w:tc>
        <w:tc>
          <w:tcPr>
            <w:tcW w:w="1316" w:type="dxa"/>
            <w:tcBorders>
              <w:top w:val="nil"/>
              <w:left w:val="nil"/>
              <w:bottom w:val="single" w:sz="4" w:space="0" w:color="auto"/>
              <w:right w:val="single" w:sz="4" w:space="0" w:color="auto"/>
            </w:tcBorders>
            <w:noWrap/>
            <w:vAlign w:val="bottom"/>
            <w:hideMark/>
          </w:tcPr>
          <w:p w14:paraId="65271BE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1,235,975</w:t>
            </w:r>
          </w:p>
        </w:tc>
        <w:tc>
          <w:tcPr>
            <w:tcW w:w="1316" w:type="dxa"/>
            <w:tcBorders>
              <w:top w:val="nil"/>
              <w:left w:val="nil"/>
              <w:bottom w:val="single" w:sz="4" w:space="0" w:color="auto"/>
              <w:right w:val="single" w:sz="4" w:space="0" w:color="auto"/>
            </w:tcBorders>
            <w:noWrap/>
            <w:vAlign w:val="bottom"/>
            <w:hideMark/>
          </w:tcPr>
          <w:p w14:paraId="2867625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1,239,391</w:t>
            </w:r>
          </w:p>
        </w:tc>
        <w:tc>
          <w:tcPr>
            <w:tcW w:w="1316" w:type="dxa"/>
            <w:tcBorders>
              <w:top w:val="nil"/>
              <w:left w:val="nil"/>
              <w:bottom w:val="single" w:sz="4" w:space="0" w:color="auto"/>
              <w:right w:val="single" w:sz="4" w:space="0" w:color="auto"/>
            </w:tcBorders>
            <w:noWrap/>
            <w:vAlign w:val="bottom"/>
            <w:hideMark/>
          </w:tcPr>
          <w:p w14:paraId="213548A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1,242,807</w:t>
            </w:r>
          </w:p>
        </w:tc>
        <w:tc>
          <w:tcPr>
            <w:tcW w:w="1316" w:type="dxa"/>
            <w:tcBorders>
              <w:top w:val="nil"/>
              <w:left w:val="nil"/>
              <w:bottom w:val="single" w:sz="4" w:space="0" w:color="auto"/>
              <w:right w:val="single" w:sz="4" w:space="0" w:color="auto"/>
            </w:tcBorders>
            <w:noWrap/>
            <w:vAlign w:val="bottom"/>
            <w:hideMark/>
          </w:tcPr>
          <w:p w14:paraId="1430F15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1,235,975</w:t>
            </w:r>
          </w:p>
        </w:tc>
        <w:tc>
          <w:tcPr>
            <w:tcW w:w="1316" w:type="dxa"/>
            <w:tcBorders>
              <w:top w:val="nil"/>
              <w:left w:val="nil"/>
              <w:bottom w:val="single" w:sz="4" w:space="0" w:color="auto"/>
              <w:right w:val="single" w:sz="4" w:space="0" w:color="auto"/>
            </w:tcBorders>
            <w:noWrap/>
            <w:vAlign w:val="bottom"/>
            <w:hideMark/>
          </w:tcPr>
          <w:p w14:paraId="34A7FCD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1,239,391</w:t>
            </w:r>
          </w:p>
        </w:tc>
        <w:tc>
          <w:tcPr>
            <w:tcW w:w="1316" w:type="dxa"/>
            <w:tcBorders>
              <w:top w:val="nil"/>
              <w:left w:val="nil"/>
              <w:bottom w:val="single" w:sz="4" w:space="0" w:color="auto"/>
              <w:right w:val="single" w:sz="4" w:space="0" w:color="auto"/>
            </w:tcBorders>
            <w:noWrap/>
            <w:vAlign w:val="bottom"/>
            <w:hideMark/>
          </w:tcPr>
          <w:p w14:paraId="2B9C64B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1,242,807</w:t>
            </w:r>
          </w:p>
        </w:tc>
      </w:tr>
      <w:tr w:rsidR="00EA0FD7" w:rsidRPr="00EA0FD7" w14:paraId="415AECC2" w14:textId="77777777" w:rsidTr="00EA0FD7">
        <w:trPr>
          <w:trHeight w:val="240"/>
        </w:trPr>
        <w:tc>
          <w:tcPr>
            <w:tcW w:w="1196" w:type="dxa"/>
            <w:tcBorders>
              <w:top w:val="nil"/>
              <w:left w:val="single" w:sz="8" w:space="0" w:color="auto"/>
              <w:bottom w:val="single" w:sz="4" w:space="0" w:color="auto"/>
              <w:right w:val="single" w:sz="4" w:space="0" w:color="auto"/>
            </w:tcBorders>
            <w:noWrap/>
            <w:vAlign w:val="bottom"/>
            <w:hideMark/>
          </w:tcPr>
          <w:p w14:paraId="57E499C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611200</w:t>
            </w:r>
          </w:p>
        </w:tc>
        <w:tc>
          <w:tcPr>
            <w:tcW w:w="2505" w:type="dxa"/>
            <w:tcBorders>
              <w:top w:val="nil"/>
              <w:left w:val="nil"/>
              <w:bottom w:val="single" w:sz="4" w:space="0" w:color="auto"/>
              <w:right w:val="single" w:sz="4" w:space="0" w:color="auto"/>
            </w:tcBorders>
            <w:vAlign w:val="bottom"/>
            <w:hideMark/>
          </w:tcPr>
          <w:p w14:paraId="77ED8B43"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Накнаде трошкова запослених</w:t>
            </w:r>
          </w:p>
        </w:tc>
        <w:tc>
          <w:tcPr>
            <w:tcW w:w="1435" w:type="dxa"/>
            <w:tcBorders>
              <w:top w:val="nil"/>
              <w:left w:val="nil"/>
              <w:bottom w:val="single" w:sz="4" w:space="0" w:color="auto"/>
              <w:right w:val="single" w:sz="4" w:space="0" w:color="auto"/>
            </w:tcBorders>
            <w:noWrap/>
            <w:vAlign w:val="bottom"/>
            <w:hideMark/>
          </w:tcPr>
          <w:p w14:paraId="6F048D3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40,423.00</w:t>
            </w:r>
          </w:p>
        </w:tc>
        <w:tc>
          <w:tcPr>
            <w:tcW w:w="1368" w:type="dxa"/>
            <w:tcBorders>
              <w:top w:val="nil"/>
              <w:left w:val="nil"/>
              <w:bottom w:val="single" w:sz="4" w:space="0" w:color="auto"/>
              <w:right w:val="single" w:sz="4" w:space="0" w:color="auto"/>
            </w:tcBorders>
            <w:noWrap/>
            <w:vAlign w:val="bottom"/>
            <w:hideMark/>
          </w:tcPr>
          <w:p w14:paraId="1CAA44D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30,214.00</w:t>
            </w:r>
          </w:p>
        </w:tc>
        <w:tc>
          <w:tcPr>
            <w:tcW w:w="1368" w:type="dxa"/>
            <w:tcBorders>
              <w:top w:val="nil"/>
              <w:left w:val="nil"/>
              <w:bottom w:val="single" w:sz="4" w:space="0" w:color="auto"/>
              <w:right w:val="single" w:sz="4" w:space="0" w:color="auto"/>
            </w:tcBorders>
            <w:noWrap/>
            <w:vAlign w:val="bottom"/>
            <w:hideMark/>
          </w:tcPr>
          <w:p w14:paraId="4B1F6EB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80,022.00</w:t>
            </w:r>
          </w:p>
        </w:tc>
        <w:tc>
          <w:tcPr>
            <w:tcW w:w="1316" w:type="dxa"/>
            <w:tcBorders>
              <w:top w:val="nil"/>
              <w:left w:val="nil"/>
              <w:bottom w:val="single" w:sz="4" w:space="0" w:color="auto"/>
              <w:right w:val="single" w:sz="4" w:space="0" w:color="auto"/>
            </w:tcBorders>
            <w:noWrap/>
            <w:vAlign w:val="bottom"/>
            <w:hideMark/>
          </w:tcPr>
          <w:p w14:paraId="0FE7BD2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78,612</w:t>
            </w:r>
          </w:p>
        </w:tc>
        <w:tc>
          <w:tcPr>
            <w:tcW w:w="1316" w:type="dxa"/>
            <w:tcBorders>
              <w:top w:val="nil"/>
              <w:left w:val="nil"/>
              <w:bottom w:val="single" w:sz="4" w:space="0" w:color="auto"/>
              <w:right w:val="single" w:sz="4" w:space="0" w:color="auto"/>
            </w:tcBorders>
            <w:noWrap/>
            <w:vAlign w:val="bottom"/>
            <w:hideMark/>
          </w:tcPr>
          <w:p w14:paraId="484F292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106,612</w:t>
            </w:r>
          </w:p>
        </w:tc>
        <w:tc>
          <w:tcPr>
            <w:tcW w:w="1316" w:type="dxa"/>
            <w:tcBorders>
              <w:top w:val="nil"/>
              <w:left w:val="nil"/>
              <w:bottom w:val="single" w:sz="4" w:space="0" w:color="auto"/>
              <w:right w:val="single" w:sz="4" w:space="0" w:color="auto"/>
            </w:tcBorders>
            <w:noWrap/>
            <w:vAlign w:val="bottom"/>
            <w:hideMark/>
          </w:tcPr>
          <w:p w14:paraId="1FEA7D4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95,612</w:t>
            </w:r>
          </w:p>
        </w:tc>
        <w:tc>
          <w:tcPr>
            <w:tcW w:w="1316" w:type="dxa"/>
            <w:tcBorders>
              <w:top w:val="nil"/>
              <w:left w:val="nil"/>
              <w:bottom w:val="single" w:sz="4" w:space="0" w:color="auto"/>
              <w:right w:val="single" w:sz="4" w:space="0" w:color="auto"/>
            </w:tcBorders>
            <w:noWrap/>
            <w:vAlign w:val="bottom"/>
            <w:hideMark/>
          </w:tcPr>
          <w:p w14:paraId="01D605C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72,012</w:t>
            </w:r>
          </w:p>
        </w:tc>
        <w:tc>
          <w:tcPr>
            <w:tcW w:w="1316" w:type="dxa"/>
            <w:tcBorders>
              <w:top w:val="nil"/>
              <w:left w:val="nil"/>
              <w:bottom w:val="single" w:sz="4" w:space="0" w:color="auto"/>
              <w:right w:val="single" w:sz="4" w:space="0" w:color="auto"/>
            </w:tcBorders>
            <w:noWrap/>
            <w:vAlign w:val="bottom"/>
            <w:hideMark/>
          </w:tcPr>
          <w:p w14:paraId="0AA7B6F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106,612</w:t>
            </w:r>
          </w:p>
        </w:tc>
        <w:tc>
          <w:tcPr>
            <w:tcW w:w="1316" w:type="dxa"/>
            <w:tcBorders>
              <w:top w:val="nil"/>
              <w:left w:val="nil"/>
              <w:bottom w:val="single" w:sz="4" w:space="0" w:color="auto"/>
              <w:right w:val="single" w:sz="4" w:space="0" w:color="auto"/>
            </w:tcBorders>
            <w:noWrap/>
            <w:vAlign w:val="bottom"/>
            <w:hideMark/>
          </w:tcPr>
          <w:p w14:paraId="5F22491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95,612</w:t>
            </w:r>
          </w:p>
        </w:tc>
      </w:tr>
      <w:tr w:rsidR="00EA0FD7" w:rsidRPr="00EA0FD7" w14:paraId="5A9DD510" w14:textId="77777777" w:rsidTr="00EA0FD7">
        <w:trPr>
          <w:trHeight w:val="379"/>
        </w:trPr>
        <w:tc>
          <w:tcPr>
            <w:tcW w:w="1196" w:type="dxa"/>
            <w:tcBorders>
              <w:top w:val="nil"/>
              <w:left w:val="single" w:sz="8" w:space="0" w:color="auto"/>
              <w:bottom w:val="single" w:sz="4" w:space="0" w:color="auto"/>
              <w:right w:val="single" w:sz="4" w:space="0" w:color="auto"/>
            </w:tcBorders>
            <w:noWrap/>
            <w:vAlign w:val="bottom"/>
            <w:hideMark/>
          </w:tcPr>
          <w:p w14:paraId="5839B13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613000</w:t>
            </w:r>
          </w:p>
        </w:tc>
        <w:tc>
          <w:tcPr>
            <w:tcW w:w="2505" w:type="dxa"/>
            <w:tcBorders>
              <w:top w:val="nil"/>
              <w:left w:val="nil"/>
              <w:bottom w:val="single" w:sz="4" w:space="0" w:color="auto"/>
              <w:right w:val="single" w:sz="4" w:space="0" w:color="auto"/>
            </w:tcBorders>
            <w:vAlign w:val="bottom"/>
            <w:hideMark/>
          </w:tcPr>
          <w:p w14:paraId="38510DB5"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материјал, робе, ситан инвентар и услуге</w:t>
            </w:r>
          </w:p>
        </w:tc>
        <w:tc>
          <w:tcPr>
            <w:tcW w:w="1435" w:type="dxa"/>
            <w:tcBorders>
              <w:top w:val="nil"/>
              <w:left w:val="nil"/>
              <w:bottom w:val="single" w:sz="4" w:space="0" w:color="auto"/>
              <w:right w:val="single" w:sz="4" w:space="0" w:color="auto"/>
            </w:tcBorders>
            <w:noWrap/>
            <w:vAlign w:val="bottom"/>
            <w:hideMark/>
          </w:tcPr>
          <w:p w14:paraId="1887BA7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1,048,462.00</w:t>
            </w:r>
          </w:p>
        </w:tc>
        <w:tc>
          <w:tcPr>
            <w:tcW w:w="1368" w:type="dxa"/>
            <w:tcBorders>
              <w:top w:val="nil"/>
              <w:left w:val="nil"/>
              <w:bottom w:val="single" w:sz="4" w:space="0" w:color="auto"/>
              <w:right w:val="single" w:sz="4" w:space="0" w:color="auto"/>
            </w:tcBorders>
            <w:noWrap/>
            <w:vAlign w:val="bottom"/>
            <w:hideMark/>
          </w:tcPr>
          <w:p w14:paraId="2A09155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860,274.83</w:t>
            </w:r>
          </w:p>
        </w:tc>
        <w:tc>
          <w:tcPr>
            <w:tcW w:w="1368" w:type="dxa"/>
            <w:tcBorders>
              <w:top w:val="nil"/>
              <w:left w:val="nil"/>
              <w:bottom w:val="single" w:sz="4" w:space="0" w:color="auto"/>
              <w:right w:val="single" w:sz="4" w:space="0" w:color="auto"/>
            </w:tcBorders>
            <w:noWrap/>
            <w:vAlign w:val="bottom"/>
            <w:hideMark/>
          </w:tcPr>
          <w:p w14:paraId="39836CB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1,117,916.90</w:t>
            </w:r>
          </w:p>
        </w:tc>
        <w:tc>
          <w:tcPr>
            <w:tcW w:w="1316" w:type="dxa"/>
            <w:tcBorders>
              <w:top w:val="nil"/>
              <w:left w:val="nil"/>
              <w:bottom w:val="single" w:sz="4" w:space="0" w:color="auto"/>
              <w:right w:val="single" w:sz="4" w:space="0" w:color="auto"/>
            </w:tcBorders>
            <w:noWrap/>
            <w:vAlign w:val="bottom"/>
            <w:hideMark/>
          </w:tcPr>
          <w:p w14:paraId="01EF5DD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1,311,575</w:t>
            </w:r>
          </w:p>
        </w:tc>
        <w:tc>
          <w:tcPr>
            <w:tcW w:w="1316" w:type="dxa"/>
            <w:tcBorders>
              <w:top w:val="nil"/>
              <w:left w:val="nil"/>
              <w:bottom w:val="single" w:sz="4" w:space="0" w:color="auto"/>
              <w:right w:val="single" w:sz="4" w:space="0" w:color="auto"/>
            </w:tcBorders>
            <w:noWrap/>
            <w:vAlign w:val="bottom"/>
            <w:hideMark/>
          </w:tcPr>
          <w:p w14:paraId="56F09A8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1,300,775</w:t>
            </w:r>
          </w:p>
        </w:tc>
        <w:tc>
          <w:tcPr>
            <w:tcW w:w="1316" w:type="dxa"/>
            <w:tcBorders>
              <w:top w:val="nil"/>
              <w:left w:val="nil"/>
              <w:bottom w:val="single" w:sz="4" w:space="0" w:color="auto"/>
              <w:right w:val="single" w:sz="4" w:space="0" w:color="auto"/>
            </w:tcBorders>
            <w:noWrap/>
            <w:vAlign w:val="bottom"/>
            <w:hideMark/>
          </w:tcPr>
          <w:p w14:paraId="67655CE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1,310,775</w:t>
            </w:r>
          </w:p>
        </w:tc>
        <w:tc>
          <w:tcPr>
            <w:tcW w:w="1316" w:type="dxa"/>
            <w:tcBorders>
              <w:top w:val="nil"/>
              <w:left w:val="nil"/>
              <w:bottom w:val="single" w:sz="4" w:space="0" w:color="auto"/>
              <w:right w:val="single" w:sz="4" w:space="0" w:color="auto"/>
            </w:tcBorders>
            <w:noWrap/>
            <w:vAlign w:val="bottom"/>
            <w:hideMark/>
          </w:tcPr>
          <w:p w14:paraId="36A9E05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1,311,575</w:t>
            </w:r>
          </w:p>
        </w:tc>
        <w:tc>
          <w:tcPr>
            <w:tcW w:w="1316" w:type="dxa"/>
            <w:tcBorders>
              <w:top w:val="nil"/>
              <w:left w:val="nil"/>
              <w:bottom w:val="single" w:sz="4" w:space="0" w:color="auto"/>
              <w:right w:val="single" w:sz="4" w:space="0" w:color="auto"/>
            </w:tcBorders>
            <w:noWrap/>
            <w:vAlign w:val="bottom"/>
            <w:hideMark/>
          </w:tcPr>
          <w:p w14:paraId="2E0F211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1,300,775</w:t>
            </w:r>
          </w:p>
        </w:tc>
        <w:tc>
          <w:tcPr>
            <w:tcW w:w="1316" w:type="dxa"/>
            <w:tcBorders>
              <w:top w:val="nil"/>
              <w:left w:val="nil"/>
              <w:bottom w:val="single" w:sz="4" w:space="0" w:color="auto"/>
              <w:right w:val="single" w:sz="4" w:space="0" w:color="auto"/>
            </w:tcBorders>
            <w:noWrap/>
            <w:vAlign w:val="bottom"/>
            <w:hideMark/>
          </w:tcPr>
          <w:p w14:paraId="1575933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1,310,775</w:t>
            </w:r>
          </w:p>
        </w:tc>
      </w:tr>
      <w:tr w:rsidR="00EA0FD7" w:rsidRPr="00EA0FD7" w14:paraId="34F4FF03" w14:textId="77777777" w:rsidTr="00EA0FD7">
        <w:trPr>
          <w:trHeight w:val="480"/>
        </w:trPr>
        <w:tc>
          <w:tcPr>
            <w:tcW w:w="1196" w:type="dxa"/>
            <w:tcBorders>
              <w:top w:val="nil"/>
              <w:left w:val="single" w:sz="8" w:space="0" w:color="auto"/>
              <w:bottom w:val="single" w:sz="4" w:space="0" w:color="auto"/>
              <w:right w:val="single" w:sz="4" w:space="0" w:color="auto"/>
            </w:tcBorders>
            <w:vAlign w:val="bottom"/>
            <w:hideMark/>
          </w:tcPr>
          <w:p w14:paraId="74039B1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614000</w:t>
            </w:r>
          </w:p>
        </w:tc>
        <w:tc>
          <w:tcPr>
            <w:tcW w:w="2505" w:type="dxa"/>
            <w:tcBorders>
              <w:top w:val="nil"/>
              <w:left w:val="nil"/>
              <w:bottom w:val="single" w:sz="4" w:space="0" w:color="auto"/>
              <w:right w:val="single" w:sz="4" w:space="0" w:color="auto"/>
            </w:tcBorders>
            <w:vAlign w:val="bottom"/>
            <w:hideMark/>
          </w:tcPr>
          <w:p w14:paraId="496241E9"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Текући трансфери, донације и субвенције</w:t>
            </w:r>
          </w:p>
        </w:tc>
        <w:tc>
          <w:tcPr>
            <w:tcW w:w="1435" w:type="dxa"/>
            <w:tcBorders>
              <w:top w:val="nil"/>
              <w:left w:val="nil"/>
              <w:bottom w:val="single" w:sz="4" w:space="0" w:color="auto"/>
              <w:right w:val="single" w:sz="4" w:space="0" w:color="auto"/>
            </w:tcBorders>
            <w:noWrap/>
            <w:vAlign w:val="bottom"/>
            <w:hideMark/>
          </w:tcPr>
          <w:p w14:paraId="59875F1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15,172,277.00</w:t>
            </w:r>
          </w:p>
        </w:tc>
        <w:tc>
          <w:tcPr>
            <w:tcW w:w="1368" w:type="dxa"/>
            <w:tcBorders>
              <w:top w:val="nil"/>
              <w:left w:val="nil"/>
              <w:bottom w:val="single" w:sz="4" w:space="0" w:color="auto"/>
              <w:right w:val="single" w:sz="4" w:space="0" w:color="auto"/>
            </w:tcBorders>
            <w:noWrap/>
            <w:vAlign w:val="bottom"/>
            <w:hideMark/>
          </w:tcPr>
          <w:p w14:paraId="3957A7D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12,892,889.99</w:t>
            </w:r>
          </w:p>
        </w:tc>
        <w:tc>
          <w:tcPr>
            <w:tcW w:w="1368" w:type="dxa"/>
            <w:tcBorders>
              <w:top w:val="nil"/>
              <w:left w:val="nil"/>
              <w:bottom w:val="single" w:sz="4" w:space="0" w:color="auto"/>
              <w:right w:val="single" w:sz="4" w:space="0" w:color="auto"/>
            </w:tcBorders>
            <w:noWrap/>
            <w:vAlign w:val="bottom"/>
            <w:hideMark/>
          </w:tcPr>
          <w:p w14:paraId="72CF66B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14,026,500.00</w:t>
            </w:r>
          </w:p>
        </w:tc>
        <w:tc>
          <w:tcPr>
            <w:tcW w:w="1316" w:type="dxa"/>
            <w:tcBorders>
              <w:top w:val="nil"/>
              <w:left w:val="nil"/>
              <w:bottom w:val="single" w:sz="4" w:space="0" w:color="auto"/>
              <w:right w:val="single" w:sz="4" w:space="0" w:color="auto"/>
            </w:tcBorders>
            <w:noWrap/>
            <w:vAlign w:val="bottom"/>
            <w:hideMark/>
          </w:tcPr>
          <w:p w14:paraId="19A4FC8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15,723,000</w:t>
            </w:r>
          </w:p>
        </w:tc>
        <w:tc>
          <w:tcPr>
            <w:tcW w:w="1316" w:type="dxa"/>
            <w:tcBorders>
              <w:top w:val="nil"/>
              <w:left w:val="nil"/>
              <w:bottom w:val="single" w:sz="4" w:space="0" w:color="auto"/>
              <w:right w:val="single" w:sz="4" w:space="0" w:color="auto"/>
            </w:tcBorders>
            <w:noWrap/>
            <w:vAlign w:val="bottom"/>
            <w:hideMark/>
          </w:tcPr>
          <w:p w14:paraId="6978DD1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15,853,000</w:t>
            </w:r>
          </w:p>
        </w:tc>
        <w:tc>
          <w:tcPr>
            <w:tcW w:w="1316" w:type="dxa"/>
            <w:tcBorders>
              <w:top w:val="nil"/>
              <w:left w:val="nil"/>
              <w:bottom w:val="single" w:sz="4" w:space="0" w:color="auto"/>
              <w:right w:val="single" w:sz="4" w:space="0" w:color="auto"/>
            </w:tcBorders>
            <w:noWrap/>
            <w:vAlign w:val="bottom"/>
            <w:hideMark/>
          </w:tcPr>
          <w:p w14:paraId="5CC7E7C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15,833,000</w:t>
            </w:r>
          </w:p>
        </w:tc>
        <w:tc>
          <w:tcPr>
            <w:tcW w:w="1316" w:type="dxa"/>
            <w:tcBorders>
              <w:top w:val="nil"/>
              <w:left w:val="nil"/>
              <w:bottom w:val="single" w:sz="4" w:space="0" w:color="auto"/>
              <w:right w:val="single" w:sz="4" w:space="0" w:color="auto"/>
            </w:tcBorders>
            <w:noWrap/>
            <w:vAlign w:val="bottom"/>
            <w:hideMark/>
          </w:tcPr>
          <w:p w14:paraId="7C14486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14,738,000</w:t>
            </w:r>
          </w:p>
        </w:tc>
        <w:tc>
          <w:tcPr>
            <w:tcW w:w="1316" w:type="dxa"/>
            <w:tcBorders>
              <w:top w:val="nil"/>
              <w:left w:val="nil"/>
              <w:bottom w:val="single" w:sz="4" w:space="0" w:color="auto"/>
              <w:right w:val="single" w:sz="4" w:space="0" w:color="auto"/>
            </w:tcBorders>
            <w:noWrap/>
            <w:vAlign w:val="bottom"/>
            <w:hideMark/>
          </w:tcPr>
          <w:p w14:paraId="312AD30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15,353,000</w:t>
            </w:r>
          </w:p>
        </w:tc>
        <w:tc>
          <w:tcPr>
            <w:tcW w:w="1316" w:type="dxa"/>
            <w:tcBorders>
              <w:top w:val="nil"/>
              <w:left w:val="nil"/>
              <w:bottom w:val="single" w:sz="4" w:space="0" w:color="auto"/>
              <w:right w:val="single" w:sz="4" w:space="0" w:color="auto"/>
            </w:tcBorders>
            <w:noWrap/>
            <w:vAlign w:val="bottom"/>
            <w:hideMark/>
          </w:tcPr>
          <w:p w14:paraId="52EEF9E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15,833,000</w:t>
            </w:r>
          </w:p>
        </w:tc>
      </w:tr>
      <w:tr w:rsidR="00EA0FD7" w:rsidRPr="00EA0FD7" w14:paraId="69C3F202" w14:textId="77777777" w:rsidTr="00EA0FD7">
        <w:trPr>
          <w:trHeight w:val="240"/>
        </w:trPr>
        <w:tc>
          <w:tcPr>
            <w:tcW w:w="1196" w:type="dxa"/>
            <w:tcBorders>
              <w:top w:val="nil"/>
              <w:left w:val="single" w:sz="8" w:space="0" w:color="auto"/>
              <w:bottom w:val="nil"/>
              <w:right w:val="single" w:sz="4" w:space="0" w:color="auto"/>
            </w:tcBorders>
            <w:vAlign w:val="bottom"/>
            <w:hideMark/>
          </w:tcPr>
          <w:p w14:paraId="35E7DA8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615000</w:t>
            </w:r>
          </w:p>
        </w:tc>
        <w:tc>
          <w:tcPr>
            <w:tcW w:w="2505" w:type="dxa"/>
            <w:tcBorders>
              <w:top w:val="nil"/>
              <w:left w:val="nil"/>
              <w:bottom w:val="nil"/>
              <w:right w:val="single" w:sz="4" w:space="0" w:color="auto"/>
            </w:tcBorders>
            <w:vAlign w:val="bottom"/>
            <w:hideMark/>
          </w:tcPr>
          <w:p w14:paraId="1AB6341F"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Капитални трансфери и донације</w:t>
            </w:r>
          </w:p>
        </w:tc>
        <w:tc>
          <w:tcPr>
            <w:tcW w:w="1435" w:type="dxa"/>
            <w:tcBorders>
              <w:top w:val="nil"/>
              <w:left w:val="nil"/>
              <w:bottom w:val="single" w:sz="4" w:space="0" w:color="auto"/>
              <w:right w:val="single" w:sz="4" w:space="0" w:color="auto"/>
            </w:tcBorders>
            <w:noWrap/>
            <w:vAlign w:val="bottom"/>
            <w:hideMark/>
          </w:tcPr>
          <w:p w14:paraId="5AFA580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68" w:type="dxa"/>
            <w:tcBorders>
              <w:top w:val="nil"/>
              <w:left w:val="nil"/>
              <w:bottom w:val="single" w:sz="4" w:space="0" w:color="auto"/>
              <w:right w:val="single" w:sz="4" w:space="0" w:color="auto"/>
            </w:tcBorders>
            <w:noWrap/>
            <w:vAlign w:val="bottom"/>
            <w:hideMark/>
          </w:tcPr>
          <w:p w14:paraId="510F414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68" w:type="dxa"/>
            <w:tcBorders>
              <w:top w:val="nil"/>
              <w:left w:val="nil"/>
              <w:bottom w:val="single" w:sz="4" w:space="0" w:color="auto"/>
              <w:right w:val="single" w:sz="4" w:space="0" w:color="auto"/>
            </w:tcBorders>
            <w:noWrap/>
            <w:vAlign w:val="bottom"/>
            <w:hideMark/>
          </w:tcPr>
          <w:p w14:paraId="5147567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16" w:type="dxa"/>
            <w:tcBorders>
              <w:top w:val="nil"/>
              <w:left w:val="nil"/>
              <w:bottom w:val="single" w:sz="4" w:space="0" w:color="auto"/>
              <w:right w:val="single" w:sz="4" w:space="0" w:color="auto"/>
            </w:tcBorders>
            <w:noWrap/>
            <w:vAlign w:val="bottom"/>
            <w:hideMark/>
          </w:tcPr>
          <w:p w14:paraId="38CD1D1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2FE22A5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127E1DE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0B4EBEE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66FF5BE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single" w:sz="4" w:space="0" w:color="auto"/>
              <w:right w:val="single" w:sz="4" w:space="0" w:color="auto"/>
            </w:tcBorders>
            <w:noWrap/>
            <w:vAlign w:val="bottom"/>
            <w:hideMark/>
          </w:tcPr>
          <w:p w14:paraId="6D762DB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r>
      <w:tr w:rsidR="00EA0FD7" w:rsidRPr="00EA0FD7" w14:paraId="572C6610" w14:textId="77777777" w:rsidTr="00EA0FD7">
        <w:trPr>
          <w:trHeight w:val="298"/>
        </w:trPr>
        <w:tc>
          <w:tcPr>
            <w:tcW w:w="1196" w:type="dxa"/>
            <w:tcBorders>
              <w:top w:val="single" w:sz="4" w:space="0" w:color="auto"/>
              <w:left w:val="single" w:sz="8" w:space="0" w:color="auto"/>
              <w:bottom w:val="nil"/>
              <w:right w:val="single" w:sz="4" w:space="0" w:color="auto"/>
            </w:tcBorders>
            <w:noWrap/>
            <w:vAlign w:val="bottom"/>
            <w:hideMark/>
          </w:tcPr>
          <w:p w14:paraId="1D2829B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821000</w:t>
            </w:r>
          </w:p>
        </w:tc>
        <w:tc>
          <w:tcPr>
            <w:tcW w:w="2505" w:type="dxa"/>
            <w:tcBorders>
              <w:top w:val="single" w:sz="4" w:space="0" w:color="auto"/>
              <w:left w:val="nil"/>
              <w:bottom w:val="nil"/>
              <w:right w:val="single" w:sz="4" w:space="0" w:color="auto"/>
            </w:tcBorders>
            <w:vAlign w:val="bottom"/>
            <w:hideMark/>
          </w:tcPr>
          <w:p w14:paraId="28D630E5"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набавку сталних средстава</w:t>
            </w:r>
          </w:p>
        </w:tc>
        <w:tc>
          <w:tcPr>
            <w:tcW w:w="1435" w:type="dxa"/>
            <w:tcBorders>
              <w:top w:val="nil"/>
              <w:left w:val="nil"/>
              <w:bottom w:val="nil"/>
              <w:right w:val="single" w:sz="4" w:space="0" w:color="auto"/>
            </w:tcBorders>
            <w:noWrap/>
            <w:vAlign w:val="bottom"/>
            <w:hideMark/>
          </w:tcPr>
          <w:p w14:paraId="3C1E96F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643,024.24</w:t>
            </w:r>
          </w:p>
        </w:tc>
        <w:tc>
          <w:tcPr>
            <w:tcW w:w="1368" w:type="dxa"/>
            <w:tcBorders>
              <w:top w:val="nil"/>
              <w:left w:val="nil"/>
              <w:bottom w:val="nil"/>
              <w:right w:val="single" w:sz="4" w:space="0" w:color="auto"/>
            </w:tcBorders>
            <w:noWrap/>
            <w:vAlign w:val="bottom"/>
            <w:hideMark/>
          </w:tcPr>
          <w:p w14:paraId="7C931A8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1,532.41</w:t>
            </w:r>
          </w:p>
        </w:tc>
        <w:tc>
          <w:tcPr>
            <w:tcW w:w="1368" w:type="dxa"/>
            <w:tcBorders>
              <w:top w:val="nil"/>
              <w:left w:val="nil"/>
              <w:bottom w:val="nil"/>
              <w:right w:val="single" w:sz="4" w:space="0" w:color="auto"/>
            </w:tcBorders>
            <w:noWrap/>
            <w:vAlign w:val="bottom"/>
            <w:hideMark/>
          </w:tcPr>
          <w:p w14:paraId="326ED80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172,547.20</w:t>
            </w:r>
          </w:p>
        </w:tc>
        <w:tc>
          <w:tcPr>
            <w:tcW w:w="1316" w:type="dxa"/>
            <w:tcBorders>
              <w:top w:val="nil"/>
              <w:left w:val="nil"/>
              <w:bottom w:val="nil"/>
              <w:right w:val="single" w:sz="4" w:space="0" w:color="auto"/>
            </w:tcBorders>
            <w:noWrap/>
            <w:vAlign w:val="bottom"/>
            <w:hideMark/>
          </w:tcPr>
          <w:p w14:paraId="616397E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5,282,000</w:t>
            </w:r>
          </w:p>
        </w:tc>
        <w:tc>
          <w:tcPr>
            <w:tcW w:w="1316" w:type="dxa"/>
            <w:tcBorders>
              <w:top w:val="nil"/>
              <w:left w:val="nil"/>
              <w:bottom w:val="nil"/>
              <w:right w:val="single" w:sz="4" w:space="0" w:color="auto"/>
            </w:tcBorders>
            <w:noWrap/>
            <w:vAlign w:val="bottom"/>
            <w:hideMark/>
          </w:tcPr>
          <w:p w14:paraId="44C68A2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65,000</w:t>
            </w:r>
          </w:p>
        </w:tc>
        <w:tc>
          <w:tcPr>
            <w:tcW w:w="1316" w:type="dxa"/>
            <w:tcBorders>
              <w:top w:val="nil"/>
              <w:left w:val="nil"/>
              <w:bottom w:val="nil"/>
              <w:right w:val="single" w:sz="4" w:space="0" w:color="auto"/>
            </w:tcBorders>
            <w:noWrap/>
            <w:vAlign w:val="bottom"/>
            <w:hideMark/>
          </w:tcPr>
          <w:p w14:paraId="0FAFA85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65,000</w:t>
            </w:r>
          </w:p>
        </w:tc>
        <w:tc>
          <w:tcPr>
            <w:tcW w:w="1316" w:type="dxa"/>
            <w:tcBorders>
              <w:top w:val="nil"/>
              <w:left w:val="nil"/>
              <w:bottom w:val="nil"/>
              <w:right w:val="single" w:sz="4" w:space="0" w:color="auto"/>
            </w:tcBorders>
            <w:noWrap/>
            <w:vAlign w:val="bottom"/>
            <w:hideMark/>
          </w:tcPr>
          <w:p w14:paraId="60DA73E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2,585,000</w:t>
            </w:r>
          </w:p>
        </w:tc>
        <w:tc>
          <w:tcPr>
            <w:tcW w:w="1316" w:type="dxa"/>
            <w:tcBorders>
              <w:top w:val="nil"/>
              <w:left w:val="nil"/>
              <w:bottom w:val="nil"/>
              <w:right w:val="single" w:sz="4" w:space="0" w:color="auto"/>
            </w:tcBorders>
            <w:noWrap/>
            <w:vAlign w:val="bottom"/>
            <w:hideMark/>
          </w:tcPr>
          <w:p w14:paraId="379CBA9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65,000</w:t>
            </w:r>
          </w:p>
        </w:tc>
        <w:tc>
          <w:tcPr>
            <w:tcW w:w="1316" w:type="dxa"/>
            <w:tcBorders>
              <w:top w:val="nil"/>
              <w:left w:val="nil"/>
              <w:bottom w:val="nil"/>
              <w:right w:val="single" w:sz="4" w:space="0" w:color="auto"/>
            </w:tcBorders>
            <w:noWrap/>
            <w:vAlign w:val="bottom"/>
            <w:hideMark/>
          </w:tcPr>
          <w:p w14:paraId="12AECE4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2,065,000</w:t>
            </w:r>
          </w:p>
        </w:tc>
      </w:tr>
      <w:tr w:rsidR="00EA0FD7" w:rsidRPr="00EA0FD7" w14:paraId="6E46CEF2" w14:textId="77777777" w:rsidTr="00EA0FD7">
        <w:trPr>
          <w:trHeight w:val="285"/>
        </w:trPr>
        <w:tc>
          <w:tcPr>
            <w:tcW w:w="1196" w:type="dxa"/>
            <w:tcBorders>
              <w:top w:val="single" w:sz="8" w:space="0" w:color="auto"/>
              <w:left w:val="single" w:sz="8" w:space="0" w:color="auto"/>
              <w:bottom w:val="single" w:sz="8" w:space="0" w:color="auto"/>
              <w:right w:val="single" w:sz="8" w:space="0" w:color="auto"/>
            </w:tcBorders>
            <w:noWrap/>
            <w:vAlign w:val="bottom"/>
            <w:hideMark/>
          </w:tcPr>
          <w:p w14:paraId="5D545FB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05" w:type="dxa"/>
            <w:tcBorders>
              <w:top w:val="single" w:sz="8" w:space="0" w:color="auto"/>
              <w:left w:val="nil"/>
              <w:bottom w:val="single" w:sz="8" w:space="0" w:color="auto"/>
              <w:right w:val="single" w:sz="8" w:space="0" w:color="auto"/>
            </w:tcBorders>
            <w:noWrap/>
            <w:vAlign w:val="bottom"/>
            <w:hideMark/>
          </w:tcPr>
          <w:p w14:paraId="08E8922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435" w:type="dxa"/>
            <w:tcBorders>
              <w:top w:val="single" w:sz="8" w:space="0" w:color="auto"/>
              <w:left w:val="nil"/>
              <w:bottom w:val="single" w:sz="8" w:space="0" w:color="auto"/>
              <w:right w:val="single" w:sz="8" w:space="0" w:color="auto"/>
            </w:tcBorders>
            <w:noWrap/>
            <w:vAlign w:val="bottom"/>
            <w:hideMark/>
          </w:tcPr>
          <w:p w14:paraId="5D3C7FA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18,028,134.18</w:t>
            </w:r>
          </w:p>
        </w:tc>
        <w:tc>
          <w:tcPr>
            <w:tcW w:w="1368" w:type="dxa"/>
            <w:tcBorders>
              <w:top w:val="single" w:sz="8" w:space="0" w:color="auto"/>
              <w:left w:val="nil"/>
              <w:bottom w:val="single" w:sz="8" w:space="0" w:color="auto"/>
              <w:right w:val="single" w:sz="8" w:space="0" w:color="auto"/>
            </w:tcBorders>
            <w:noWrap/>
            <w:vAlign w:val="bottom"/>
            <w:hideMark/>
          </w:tcPr>
          <w:p w14:paraId="74F9B8B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14,867,450.06</w:t>
            </w:r>
          </w:p>
        </w:tc>
        <w:tc>
          <w:tcPr>
            <w:tcW w:w="1368" w:type="dxa"/>
            <w:tcBorders>
              <w:top w:val="single" w:sz="8" w:space="0" w:color="auto"/>
              <w:left w:val="nil"/>
              <w:bottom w:val="single" w:sz="8" w:space="0" w:color="auto"/>
              <w:right w:val="single" w:sz="8" w:space="0" w:color="auto"/>
            </w:tcBorders>
            <w:noWrap/>
            <w:vAlign w:val="bottom"/>
            <w:hideMark/>
          </w:tcPr>
          <w:p w14:paraId="2B30A4F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16,598,525.26</w:t>
            </w:r>
          </w:p>
        </w:tc>
        <w:tc>
          <w:tcPr>
            <w:tcW w:w="1316" w:type="dxa"/>
            <w:tcBorders>
              <w:top w:val="single" w:sz="8" w:space="0" w:color="auto"/>
              <w:left w:val="nil"/>
              <w:bottom w:val="single" w:sz="8" w:space="0" w:color="auto"/>
              <w:right w:val="single" w:sz="8" w:space="0" w:color="auto"/>
            </w:tcBorders>
            <w:noWrap/>
            <w:vAlign w:val="bottom"/>
            <w:hideMark/>
          </w:tcPr>
          <w:p w14:paraId="0435791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23,631,162</w:t>
            </w:r>
          </w:p>
        </w:tc>
        <w:tc>
          <w:tcPr>
            <w:tcW w:w="1316" w:type="dxa"/>
            <w:tcBorders>
              <w:top w:val="single" w:sz="8" w:space="0" w:color="auto"/>
              <w:left w:val="nil"/>
              <w:bottom w:val="single" w:sz="8" w:space="0" w:color="auto"/>
              <w:right w:val="single" w:sz="8" w:space="0" w:color="auto"/>
            </w:tcBorders>
            <w:noWrap/>
            <w:vAlign w:val="bottom"/>
            <w:hideMark/>
          </w:tcPr>
          <w:p w14:paraId="127232C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18,564,778</w:t>
            </w:r>
          </w:p>
        </w:tc>
        <w:tc>
          <w:tcPr>
            <w:tcW w:w="1316" w:type="dxa"/>
            <w:tcBorders>
              <w:top w:val="single" w:sz="8" w:space="0" w:color="auto"/>
              <w:left w:val="nil"/>
              <w:bottom w:val="single" w:sz="8" w:space="0" w:color="auto"/>
              <w:right w:val="single" w:sz="8" w:space="0" w:color="auto"/>
            </w:tcBorders>
            <w:noWrap/>
            <w:vAlign w:val="bottom"/>
            <w:hideMark/>
          </w:tcPr>
          <w:p w14:paraId="4212DF9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18,547,194</w:t>
            </w:r>
          </w:p>
        </w:tc>
        <w:tc>
          <w:tcPr>
            <w:tcW w:w="1316" w:type="dxa"/>
            <w:tcBorders>
              <w:top w:val="single" w:sz="8" w:space="0" w:color="auto"/>
              <w:left w:val="nil"/>
              <w:bottom w:val="single" w:sz="8" w:space="0" w:color="auto"/>
              <w:right w:val="single" w:sz="8" w:space="0" w:color="auto"/>
            </w:tcBorders>
            <w:noWrap/>
            <w:vAlign w:val="bottom"/>
            <w:hideMark/>
          </w:tcPr>
          <w:p w14:paraId="6917D7B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19,942,562</w:t>
            </w:r>
          </w:p>
        </w:tc>
        <w:tc>
          <w:tcPr>
            <w:tcW w:w="1316" w:type="dxa"/>
            <w:tcBorders>
              <w:top w:val="single" w:sz="8" w:space="0" w:color="auto"/>
              <w:left w:val="nil"/>
              <w:bottom w:val="single" w:sz="8" w:space="0" w:color="auto"/>
              <w:right w:val="single" w:sz="8" w:space="0" w:color="auto"/>
            </w:tcBorders>
            <w:noWrap/>
            <w:vAlign w:val="bottom"/>
            <w:hideMark/>
          </w:tcPr>
          <w:p w14:paraId="52BBE5C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18,064,778</w:t>
            </w:r>
          </w:p>
        </w:tc>
        <w:tc>
          <w:tcPr>
            <w:tcW w:w="1316" w:type="dxa"/>
            <w:tcBorders>
              <w:top w:val="single" w:sz="8" w:space="0" w:color="auto"/>
              <w:left w:val="nil"/>
              <w:bottom w:val="single" w:sz="8" w:space="0" w:color="auto"/>
              <w:right w:val="single" w:sz="8" w:space="0" w:color="auto"/>
            </w:tcBorders>
            <w:noWrap/>
            <w:vAlign w:val="bottom"/>
            <w:hideMark/>
          </w:tcPr>
          <w:p w14:paraId="0D6B73D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20,547,194</w:t>
            </w:r>
          </w:p>
        </w:tc>
      </w:tr>
      <w:tr w:rsidR="00EA0FD7" w:rsidRPr="00EA0FD7" w14:paraId="456D2ACF" w14:textId="77777777" w:rsidTr="00EA0FD7">
        <w:trPr>
          <w:trHeight w:val="90"/>
        </w:trPr>
        <w:tc>
          <w:tcPr>
            <w:tcW w:w="1196" w:type="dxa"/>
            <w:tcBorders>
              <w:top w:val="nil"/>
              <w:left w:val="single" w:sz="8" w:space="0" w:color="auto"/>
              <w:bottom w:val="single" w:sz="8" w:space="0" w:color="auto"/>
              <w:right w:val="nil"/>
            </w:tcBorders>
            <w:noWrap/>
            <w:vAlign w:val="bottom"/>
          </w:tcPr>
          <w:p w14:paraId="2D7E18B2"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2505" w:type="dxa"/>
            <w:tcBorders>
              <w:top w:val="nil"/>
              <w:left w:val="nil"/>
              <w:bottom w:val="single" w:sz="8" w:space="0" w:color="auto"/>
              <w:right w:val="nil"/>
            </w:tcBorders>
            <w:noWrap/>
            <w:vAlign w:val="bottom"/>
            <w:hideMark/>
          </w:tcPr>
          <w:p w14:paraId="5986250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35" w:type="dxa"/>
            <w:tcBorders>
              <w:top w:val="nil"/>
              <w:left w:val="nil"/>
              <w:bottom w:val="single" w:sz="8" w:space="0" w:color="auto"/>
              <w:right w:val="nil"/>
            </w:tcBorders>
            <w:noWrap/>
            <w:vAlign w:val="bottom"/>
            <w:hideMark/>
          </w:tcPr>
          <w:p w14:paraId="0A47588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68" w:type="dxa"/>
            <w:tcBorders>
              <w:top w:val="nil"/>
              <w:left w:val="nil"/>
              <w:bottom w:val="single" w:sz="8" w:space="0" w:color="auto"/>
              <w:right w:val="nil"/>
            </w:tcBorders>
            <w:noWrap/>
            <w:vAlign w:val="bottom"/>
            <w:hideMark/>
          </w:tcPr>
          <w:p w14:paraId="6E1B3A5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68" w:type="dxa"/>
            <w:tcBorders>
              <w:top w:val="nil"/>
              <w:left w:val="nil"/>
              <w:bottom w:val="single" w:sz="8" w:space="0" w:color="auto"/>
              <w:right w:val="nil"/>
            </w:tcBorders>
            <w:noWrap/>
            <w:vAlign w:val="bottom"/>
            <w:hideMark/>
          </w:tcPr>
          <w:p w14:paraId="2599B72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1515338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6967B23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4A2DBE5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57EB7322"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nil"/>
            </w:tcBorders>
            <w:noWrap/>
            <w:vAlign w:val="bottom"/>
            <w:hideMark/>
          </w:tcPr>
          <w:p w14:paraId="7EACB84A"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single" w:sz="8" w:space="0" w:color="auto"/>
            </w:tcBorders>
            <w:noWrap/>
            <w:vAlign w:val="bottom"/>
            <w:hideMark/>
          </w:tcPr>
          <w:p w14:paraId="4326E006"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1D735D6A" w14:textId="77777777" w:rsidTr="00EA0FD7">
        <w:trPr>
          <w:trHeight w:val="240"/>
        </w:trPr>
        <w:tc>
          <w:tcPr>
            <w:tcW w:w="1196" w:type="dxa"/>
            <w:tcBorders>
              <w:top w:val="nil"/>
              <w:left w:val="single" w:sz="8" w:space="0" w:color="auto"/>
              <w:bottom w:val="single" w:sz="8" w:space="0" w:color="auto"/>
              <w:right w:val="single" w:sz="8" w:space="0" w:color="auto"/>
            </w:tcBorders>
            <w:noWrap/>
            <w:vAlign w:val="bottom"/>
            <w:hideMark/>
          </w:tcPr>
          <w:p w14:paraId="08101ED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05" w:type="dxa"/>
            <w:tcBorders>
              <w:top w:val="nil"/>
              <w:left w:val="nil"/>
              <w:bottom w:val="single" w:sz="8" w:space="0" w:color="auto"/>
              <w:right w:val="single" w:sz="8" w:space="0" w:color="auto"/>
            </w:tcBorders>
            <w:noWrap/>
            <w:vAlign w:val="bottom"/>
            <w:hideMark/>
          </w:tcPr>
          <w:p w14:paraId="6D7CF20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435" w:type="dxa"/>
            <w:tcBorders>
              <w:top w:val="nil"/>
              <w:left w:val="nil"/>
              <w:bottom w:val="single" w:sz="8" w:space="0" w:color="auto"/>
              <w:right w:val="single" w:sz="8" w:space="0" w:color="auto"/>
            </w:tcBorders>
            <w:noWrap/>
            <w:vAlign w:val="bottom"/>
            <w:hideMark/>
          </w:tcPr>
          <w:p w14:paraId="6D5EE0E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45</w:t>
            </w:r>
          </w:p>
        </w:tc>
        <w:tc>
          <w:tcPr>
            <w:tcW w:w="1368" w:type="dxa"/>
            <w:tcBorders>
              <w:top w:val="nil"/>
              <w:left w:val="nil"/>
              <w:bottom w:val="single" w:sz="8" w:space="0" w:color="auto"/>
              <w:right w:val="single" w:sz="8" w:space="0" w:color="auto"/>
            </w:tcBorders>
            <w:noWrap/>
            <w:vAlign w:val="bottom"/>
            <w:hideMark/>
          </w:tcPr>
          <w:p w14:paraId="6BE69AE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40</w:t>
            </w:r>
          </w:p>
        </w:tc>
        <w:tc>
          <w:tcPr>
            <w:tcW w:w="1368" w:type="dxa"/>
            <w:tcBorders>
              <w:top w:val="nil"/>
              <w:left w:val="nil"/>
              <w:bottom w:val="single" w:sz="8" w:space="0" w:color="auto"/>
              <w:right w:val="single" w:sz="8" w:space="0" w:color="auto"/>
            </w:tcBorders>
            <w:noWrap/>
            <w:vAlign w:val="bottom"/>
            <w:hideMark/>
          </w:tcPr>
          <w:p w14:paraId="08D1E83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46</w:t>
            </w:r>
          </w:p>
        </w:tc>
        <w:tc>
          <w:tcPr>
            <w:tcW w:w="1316" w:type="dxa"/>
            <w:tcBorders>
              <w:top w:val="nil"/>
              <w:left w:val="nil"/>
              <w:bottom w:val="single" w:sz="8" w:space="0" w:color="auto"/>
              <w:right w:val="single" w:sz="8" w:space="0" w:color="auto"/>
            </w:tcBorders>
            <w:noWrap/>
            <w:vAlign w:val="bottom"/>
            <w:hideMark/>
          </w:tcPr>
          <w:p w14:paraId="77C72EE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46</w:t>
            </w:r>
          </w:p>
        </w:tc>
        <w:tc>
          <w:tcPr>
            <w:tcW w:w="1316" w:type="dxa"/>
            <w:tcBorders>
              <w:top w:val="nil"/>
              <w:left w:val="nil"/>
              <w:bottom w:val="single" w:sz="8" w:space="0" w:color="auto"/>
              <w:right w:val="single" w:sz="8" w:space="0" w:color="auto"/>
            </w:tcBorders>
            <w:noWrap/>
            <w:vAlign w:val="bottom"/>
            <w:hideMark/>
          </w:tcPr>
          <w:p w14:paraId="2F5FE78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46</w:t>
            </w:r>
          </w:p>
        </w:tc>
        <w:tc>
          <w:tcPr>
            <w:tcW w:w="1316" w:type="dxa"/>
            <w:tcBorders>
              <w:top w:val="nil"/>
              <w:left w:val="nil"/>
              <w:bottom w:val="single" w:sz="8" w:space="0" w:color="auto"/>
              <w:right w:val="single" w:sz="8" w:space="0" w:color="auto"/>
            </w:tcBorders>
            <w:noWrap/>
            <w:vAlign w:val="bottom"/>
            <w:hideMark/>
          </w:tcPr>
          <w:p w14:paraId="0D411CB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46</w:t>
            </w:r>
          </w:p>
        </w:tc>
        <w:tc>
          <w:tcPr>
            <w:tcW w:w="1316" w:type="dxa"/>
            <w:tcBorders>
              <w:top w:val="nil"/>
              <w:left w:val="nil"/>
              <w:bottom w:val="single" w:sz="8" w:space="0" w:color="auto"/>
              <w:right w:val="single" w:sz="8" w:space="0" w:color="auto"/>
            </w:tcBorders>
            <w:noWrap/>
            <w:vAlign w:val="bottom"/>
            <w:hideMark/>
          </w:tcPr>
          <w:p w14:paraId="15F6DAE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46</w:t>
            </w:r>
          </w:p>
        </w:tc>
        <w:tc>
          <w:tcPr>
            <w:tcW w:w="1316" w:type="dxa"/>
            <w:tcBorders>
              <w:top w:val="nil"/>
              <w:left w:val="nil"/>
              <w:bottom w:val="single" w:sz="8" w:space="0" w:color="auto"/>
              <w:right w:val="single" w:sz="8" w:space="0" w:color="auto"/>
            </w:tcBorders>
            <w:noWrap/>
            <w:vAlign w:val="bottom"/>
            <w:hideMark/>
          </w:tcPr>
          <w:p w14:paraId="3A382AD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46</w:t>
            </w:r>
          </w:p>
        </w:tc>
        <w:tc>
          <w:tcPr>
            <w:tcW w:w="1316" w:type="dxa"/>
            <w:tcBorders>
              <w:top w:val="nil"/>
              <w:left w:val="nil"/>
              <w:bottom w:val="single" w:sz="8" w:space="0" w:color="auto"/>
              <w:right w:val="single" w:sz="8" w:space="0" w:color="auto"/>
            </w:tcBorders>
            <w:noWrap/>
            <w:vAlign w:val="bottom"/>
            <w:hideMark/>
          </w:tcPr>
          <w:p w14:paraId="17CFE43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46</w:t>
            </w:r>
          </w:p>
        </w:tc>
      </w:tr>
    </w:tbl>
    <w:p w14:paraId="6DD364E7" w14:textId="77777777" w:rsidR="00EA0FD7" w:rsidRPr="00EA0FD7" w:rsidRDefault="00EA0FD7" w:rsidP="00EA0FD7">
      <w:pPr>
        <w:spacing w:after="0" w:line="240" w:lineRule="auto"/>
        <w:rPr>
          <w:rFonts w:ascii="Times New Roman" w:eastAsia="Times New Roman" w:hAnsi="Times New Roman" w:cs="Times New Roman"/>
          <w:bCs/>
          <w:sz w:val="24"/>
          <w:lang w:val="sr-Cyrl-RS" w:eastAsia="hr-HR"/>
        </w:rPr>
        <w:sectPr w:rsidR="00EA0FD7" w:rsidRPr="00EA0FD7">
          <w:pgSz w:w="16834" w:h="11909" w:orient="landscape"/>
          <w:pgMar w:top="547" w:right="1282" w:bottom="1411" w:left="720" w:header="706" w:footer="706" w:gutter="0"/>
          <w:cols w:space="720"/>
        </w:sectPr>
      </w:pPr>
    </w:p>
    <w:tbl>
      <w:tblPr>
        <w:tblW w:w="15684" w:type="dxa"/>
        <w:tblInd w:w="108" w:type="dxa"/>
        <w:tblLook w:val="04A0" w:firstRow="1" w:lastRow="0" w:firstColumn="1" w:lastColumn="0" w:noHBand="0" w:noVBand="1"/>
      </w:tblPr>
      <w:tblGrid>
        <w:gridCol w:w="1189"/>
        <w:gridCol w:w="2429"/>
        <w:gridCol w:w="1396"/>
        <w:gridCol w:w="1393"/>
        <w:gridCol w:w="1393"/>
        <w:gridCol w:w="1316"/>
        <w:gridCol w:w="1316"/>
        <w:gridCol w:w="1316"/>
        <w:gridCol w:w="1316"/>
        <w:gridCol w:w="1316"/>
        <w:gridCol w:w="1316"/>
      </w:tblGrid>
      <w:tr w:rsidR="00EA0FD7" w:rsidRPr="00EA0FD7" w14:paraId="6179CB17" w14:textId="77777777" w:rsidTr="00EA0FD7">
        <w:trPr>
          <w:trHeight w:val="390"/>
        </w:trPr>
        <w:tc>
          <w:tcPr>
            <w:tcW w:w="7788" w:type="dxa"/>
            <w:gridSpan w:val="5"/>
            <w:tcBorders>
              <w:top w:val="nil"/>
              <w:left w:val="nil"/>
              <w:bottom w:val="single" w:sz="8" w:space="0" w:color="auto"/>
              <w:right w:val="nil"/>
            </w:tcBorders>
            <w:noWrap/>
            <w:vAlign w:val="bottom"/>
            <w:hideMark/>
          </w:tcPr>
          <w:p w14:paraId="61D2D100" w14:textId="59577035"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lastRenderedPageBreak/>
              <w:t xml:space="preserve">18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ОДЈЕЉЕЊЕ ЗА ПОЉОПРИВРЕДУ, ШУМАРСТВО И ВОДОПРИВРЕДУ</w:t>
            </w:r>
          </w:p>
        </w:tc>
        <w:tc>
          <w:tcPr>
            <w:tcW w:w="1316" w:type="dxa"/>
            <w:noWrap/>
            <w:vAlign w:val="bottom"/>
          </w:tcPr>
          <w:p w14:paraId="6FA8DA2B"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3BC69669"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4C851E79"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29EEEA1D"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4D98326D"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62D35BE8"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6790DC0D" w14:textId="77777777" w:rsidTr="00EA0FD7">
        <w:trPr>
          <w:trHeight w:val="300"/>
        </w:trPr>
        <w:tc>
          <w:tcPr>
            <w:tcW w:w="1177" w:type="dxa"/>
            <w:vMerge w:val="restart"/>
            <w:tcBorders>
              <w:top w:val="nil"/>
              <w:left w:val="single" w:sz="8" w:space="0" w:color="auto"/>
              <w:bottom w:val="single" w:sz="8" w:space="0" w:color="000000"/>
              <w:right w:val="single" w:sz="8" w:space="0" w:color="auto"/>
            </w:tcBorders>
            <w:shd w:val="clear" w:color="auto" w:fill="808080"/>
            <w:vAlign w:val="center"/>
            <w:hideMark/>
          </w:tcPr>
          <w:p w14:paraId="18711C3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429" w:type="dxa"/>
            <w:vMerge w:val="restart"/>
            <w:tcBorders>
              <w:top w:val="nil"/>
              <w:left w:val="single" w:sz="8" w:space="0" w:color="auto"/>
              <w:bottom w:val="single" w:sz="8" w:space="0" w:color="000000"/>
              <w:right w:val="single" w:sz="8" w:space="0" w:color="auto"/>
            </w:tcBorders>
            <w:shd w:val="clear" w:color="auto" w:fill="808080"/>
            <w:vAlign w:val="center"/>
            <w:hideMark/>
          </w:tcPr>
          <w:p w14:paraId="4653D17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396" w:type="dxa"/>
            <w:vMerge w:val="restart"/>
            <w:tcBorders>
              <w:top w:val="nil"/>
              <w:left w:val="single" w:sz="8" w:space="0" w:color="auto"/>
              <w:bottom w:val="single" w:sz="8" w:space="0" w:color="000000"/>
              <w:right w:val="single" w:sz="8" w:space="0" w:color="auto"/>
            </w:tcBorders>
            <w:shd w:val="clear" w:color="auto" w:fill="808080"/>
            <w:vAlign w:val="center"/>
            <w:hideMark/>
          </w:tcPr>
          <w:p w14:paraId="18982651"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393" w:type="dxa"/>
            <w:vMerge w:val="restart"/>
            <w:tcBorders>
              <w:top w:val="nil"/>
              <w:left w:val="single" w:sz="8" w:space="0" w:color="auto"/>
              <w:bottom w:val="single" w:sz="8" w:space="0" w:color="000000"/>
              <w:right w:val="single" w:sz="8" w:space="0" w:color="auto"/>
            </w:tcBorders>
            <w:shd w:val="clear" w:color="auto" w:fill="808080"/>
            <w:vAlign w:val="center"/>
            <w:hideMark/>
          </w:tcPr>
          <w:p w14:paraId="2002A19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93" w:type="dxa"/>
            <w:vMerge w:val="restart"/>
            <w:tcBorders>
              <w:top w:val="nil"/>
              <w:left w:val="single" w:sz="8" w:space="0" w:color="auto"/>
              <w:bottom w:val="single" w:sz="8" w:space="0" w:color="000000"/>
              <w:right w:val="single" w:sz="8" w:space="0" w:color="auto"/>
            </w:tcBorders>
            <w:shd w:val="clear" w:color="auto" w:fill="808080"/>
            <w:vAlign w:val="center"/>
            <w:hideMark/>
          </w:tcPr>
          <w:p w14:paraId="1FFE8948"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02E55E0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34562331"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1BEEBBD0"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3B56D9FB"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0DF5444F"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154A412D"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5CB310D8"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5C9A22D5"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tcBorders>
              <w:top w:val="nil"/>
              <w:left w:val="nil"/>
              <w:bottom w:val="single" w:sz="8" w:space="0" w:color="auto"/>
              <w:right w:val="single" w:sz="4" w:space="0" w:color="auto"/>
            </w:tcBorders>
            <w:shd w:val="clear" w:color="auto" w:fill="808080"/>
            <w:noWrap/>
            <w:vAlign w:val="center"/>
            <w:hideMark/>
          </w:tcPr>
          <w:p w14:paraId="20372298"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7E36D331"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185104E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tcBorders>
              <w:top w:val="nil"/>
              <w:left w:val="nil"/>
              <w:bottom w:val="single" w:sz="8" w:space="0" w:color="auto"/>
              <w:right w:val="single" w:sz="4" w:space="0" w:color="auto"/>
            </w:tcBorders>
            <w:shd w:val="clear" w:color="auto" w:fill="808080"/>
            <w:noWrap/>
            <w:vAlign w:val="center"/>
            <w:hideMark/>
          </w:tcPr>
          <w:p w14:paraId="7736B0F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082FEEC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31E7929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3F0CF66C" w14:textId="77777777" w:rsidTr="00EA0FD7">
        <w:trPr>
          <w:trHeight w:val="240"/>
        </w:trPr>
        <w:tc>
          <w:tcPr>
            <w:tcW w:w="1177" w:type="dxa"/>
            <w:tcBorders>
              <w:top w:val="nil"/>
              <w:left w:val="single" w:sz="8" w:space="0" w:color="auto"/>
              <w:bottom w:val="single" w:sz="4" w:space="0" w:color="auto"/>
              <w:right w:val="single" w:sz="4" w:space="0" w:color="auto"/>
            </w:tcBorders>
            <w:noWrap/>
            <w:vAlign w:val="bottom"/>
            <w:hideMark/>
          </w:tcPr>
          <w:p w14:paraId="30A7ED0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29" w:type="dxa"/>
            <w:tcBorders>
              <w:top w:val="nil"/>
              <w:left w:val="nil"/>
              <w:bottom w:val="single" w:sz="4" w:space="0" w:color="auto"/>
              <w:right w:val="single" w:sz="4" w:space="0" w:color="auto"/>
            </w:tcBorders>
            <w:noWrap/>
            <w:vAlign w:val="bottom"/>
            <w:hideMark/>
          </w:tcPr>
          <w:p w14:paraId="353E31C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396" w:type="dxa"/>
            <w:tcBorders>
              <w:top w:val="nil"/>
              <w:left w:val="nil"/>
              <w:bottom w:val="single" w:sz="4" w:space="0" w:color="auto"/>
              <w:right w:val="single" w:sz="4" w:space="0" w:color="auto"/>
            </w:tcBorders>
            <w:noWrap/>
            <w:vAlign w:val="bottom"/>
            <w:hideMark/>
          </w:tcPr>
          <w:p w14:paraId="2E07F37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93" w:type="dxa"/>
            <w:tcBorders>
              <w:top w:val="nil"/>
              <w:left w:val="nil"/>
              <w:bottom w:val="single" w:sz="4" w:space="0" w:color="auto"/>
              <w:right w:val="single" w:sz="4" w:space="0" w:color="auto"/>
            </w:tcBorders>
            <w:noWrap/>
            <w:vAlign w:val="bottom"/>
            <w:hideMark/>
          </w:tcPr>
          <w:p w14:paraId="0213C5B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93" w:type="dxa"/>
            <w:tcBorders>
              <w:top w:val="nil"/>
              <w:left w:val="nil"/>
              <w:bottom w:val="single" w:sz="4" w:space="0" w:color="auto"/>
              <w:right w:val="single" w:sz="4" w:space="0" w:color="auto"/>
            </w:tcBorders>
            <w:noWrap/>
            <w:vAlign w:val="bottom"/>
            <w:hideMark/>
          </w:tcPr>
          <w:p w14:paraId="4B95D5A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4E313F8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525F1E2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261548B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1992657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204ABAA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8" w:space="0" w:color="auto"/>
            </w:tcBorders>
            <w:noWrap/>
            <w:vAlign w:val="bottom"/>
            <w:hideMark/>
          </w:tcPr>
          <w:p w14:paraId="6DE681C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52180827" w14:textId="77777777" w:rsidTr="00EA0FD7">
        <w:trPr>
          <w:trHeight w:val="480"/>
        </w:trPr>
        <w:tc>
          <w:tcPr>
            <w:tcW w:w="1177" w:type="dxa"/>
            <w:tcBorders>
              <w:top w:val="nil"/>
              <w:left w:val="single" w:sz="8" w:space="0" w:color="auto"/>
              <w:bottom w:val="single" w:sz="4" w:space="0" w:color="auto"/>
              <w:right w:val="single" w:sz="4" w:space="0" w:color="auto"/>
            </w:tcBorders>
            <w:vAlign w:val="bottom"/>
            <w:hideMark/>
          </w:tcPr>
          <w:p w14:paraId="6F566C5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429" w:type="dxa"/>
            <w:tcBorders>
              <w:top w:val="nil"/>
              <w:left w:val="nil"/>
              <w:bottom w:val="single" w:sz="4" w:space="0" w:color="auto"/>
              <w:right w:val="single" w:sz="4" w:space="0" w:color="auto"/>
            </w:tcBorders>
            <w:vAlign w:val="bottom"/>
            <w:hideMark/>
          </w:tcPr>
          <w:p w14:paraId="61864C85"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396" w:type="dxa"/>
            <w:tcBorders>
              <w:top w:val="nil"/>
              <w:left w:val="nil"/>
              <w:bottom w:val="single" w:sz="4" w:space="0" w:color="auto"/>
              <w:right w:val="single" w:sz="4" w:space="0" w:color="auto"/>
            </w:tcBorders>
            <w:noWrap/>
            <w:vAlign w:val="bottom"/>
            <w:hideMark/>
          </w:tcPr>
          <w:p w14:paraId="7832762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2,178,336.24</w:t>
            </w:r>
          </w:p>
        </w:tc>
        <w:tc>
          <w:tcPr>
            <w:tcW w:w="1393" w:type="dxa"/>
            <w:tcBorders>
              <w:top w:val="nil"/>
              <w:left w:val="nil"/>
              <w:bottom w:val="single" w:sz="4" w:space="0" w:color="auto"/>
              <w:right w:val="single" w:sz="4" w:space="0" w:color="auto"/>
            </w:tcBorders>
            <w:noWrap/>
            <w:vAlign w:val="bottom"/>
            <w:hideMark/>
          </w:tcPr>
          <w:p w14:paraId="42EB052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2,079,657.60</w:t>
            </w:r>
          </w:p>
        </w:tc>
        <w:tc>
          <w:tcPr>
            <w:tcW w:w="1393" w:type="dxa"/>
            <w:tcBorders>
              <w:top w:val="nil"/>
              <w:left w:val="nil"/>
              <w:bottom w:val="single" w:sz="4" w:space="0" w:color="auto"/>
              <w:right w:val="single" w:sz="4" w:space="0" w:color="auto"/>
            </w:tcBorders>
            <w:noWrap/>
            <w:vAlign w:val="bottom"/>
            <w:hideMark/>
          </w:tcPr>
          <w:p w14:paraId="4D31FE3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2,232,413.07</w:t>
            </w:r>
          </w:p>
        </w:tc>
        <w:tc>
          <w:tcPr>
            <w:tcW w:w="1316" w:type="dxa"/>
            <w:tcBorders>
              <w:top w:val="nil"/>
              <w:left w:val="nil"/>
              <w:bottom w:val="single" w:sz="4" w:space="0" w:color="auto"/>
              <w:right w:val="single" w:sz="4" w:space="0" w:color="auto"/>
            </w:tcBorders>
            <w:noWrap/>
            <w:vAlign w:val="bottom"/>
            <w:hideMark/>
          </w:tcPr>
          <w:p w14:paraId="11F160C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2,422,367</w:t>
            </w:r>
          </w:p>
        </w:tc>
        <w:tc>
          <w:tcPr>
            <w:tcW w:w="1316" w:type="dxa"/>
            <w:tcBorders>
              <w:top w:val="nil"/>
              <w:left w:val="nil"/>
              <w:bottom w:val="single" w:sz="4" w:space="0" w:color="auto"/>
              <w:right w:val="single" w:sz="4" w:space="0" w:color="auto"/>
            </w:tcBorders>
            <w:noWrap/>
            <w:vAlign w:val="bottom"/>
            <w:hideMark/>
          </w:tcPr>
          <w:p w14:paraId="741AE7B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2,422,367</w:t>
            </w:r>
          </w:p>
        </w:tc>
        <w:tc>
          <w:tcPr>
            <w:tcW w:w="1316" w:type="dxa"/>
            <w:tcBorders>
              <w:top w:val="nil"/>
              <w:left w:val="nil"/>
              <w:bottom w:val="single" w:sz="4" w:space="0" w:color="auto"/>
              <w:right w:val="single" w:sz="4" w:space="0" w:color="auto"/>
            </w:tcBorders>
            <w:noWrap/>
            <w:vAlign w:val="bottom"/>
            <w:hideMark/>
          </w:tcPr>
          <w:p w14:paraId="473767F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2,422,367</w:t>
            </w:r>
          </w:p>
        </w:tc>
        <w:tc>
          <w:tcPr>
            <w:tcW w:w="1316" w:type="dxa"/>
            <w:tcBorders>
              <w:top w:val="nil"/>
              <w:left w:val="nil"/>
              <w:bottom w:val="single" w:sz="4" w:space="0" w:color="auto"/>
              <w:right w:val="single" w:sz="4" w:space="0" w:color="auto"/>
            </w:tcBorders>
            <w:noWrap/>
            <w:vAlign w:val="bottom"/>
            <w:hideMark/>
          </w:tcPr>
          <w:p w14:paraId="339D23F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2,397,893</w:t>
            </w:r>
          </w:p>
        </w:tc>
        <w:tc>
          <w:tcPr>
            <w:tcW w:w="1316" w:type="dxa"/>
            <w:tcBorders>
              <w:top w:val="nil"/>
              <w:left w:val="nil"/>
              <w:bottom w:val="single" w:sz="4" w:space="0" w:color="auto"/>
              <w:right w:val="single" w:sz="4" w:space="0" w:color="auto"/>
            </w:tcBorders>
            <w:noWrap/>
            <w:vAlign w:val="bottom"/>
            <w:hideMark/>
          </w:tcPr>
          <w:p w14:paraId="2E79600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2,397,893</w:t>
            </w:r>
          </w:p>
        </w:tc>
        <w:tc>
          <w:tcPr>
            <w:tcW w:w="1316" w:type="dxa"/>
            <w:tcBorders>
              <w:top w:val="nil"/>
              <w:left w:val="nil"/>
              <w:bottom w:val="single" w:sz="4" w:space="0" w:color="auto"/>
              <w:right w:val="single" w:sz="4" w:space="0" w:color="auto"/>
            </w:tcBorders>
            <w:noWrap/>
            <w:vAlign w:val="bottom"/>
            <w:hideMark/>
          </w:tcPr>
          <w:p w14:paraId="0166715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2,397,893</w:t>
            </w:r>
          </w:p>
        </w:tc>
      </w:tr>
      <w:tr w:rsidR="00EA0FD7" w:rsidRPr="00EA0FD7" w14:paraId="387EB9AE" w14:textId="77777777" w:rsidTr="00EA0FD7">
        <w:trPr>
          <w:trHeight w:val="240"/>
        </w:trPr>
        <w:tc>
          <w:tcPr>
            <w:tcW w:w="1177" w:type="dxa"/>
            <w:tcBorders>
              <w:top w:val="nil"/>
              <w:left w:val="single" w:sz="8" w:space="0" w:color="auto"/>
              <w:bottom w:val="single" w:sz="4" w:space="0" w:color="auto"/>
              <w:right w:val="single" w:sz="4" w:space="0" w:color="auto"/>
            </w:tcBorders>
            <w:noWrap/>
            <w:vAlign w:val="bottom"/>
            <w:hideMark/>
          </w:tcPr>
          <w:p w14:paraId="7EFD944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611200</w:t>
            </w:r>
          </w:p>
        </w:tc>
        <w:tc>
          <w:tcPr>
            <w:tcW w:w="2429" w:type="dxa"/>
            <w:tcBorders>
              <w:top w:val="nil"/>
              <w:left w:val="nil"/>
              <w:bottom w:val="single" w:sz="4" w:space="0" w:color="auto"/>
              <w:right w:val="single" w:sz="4" w:space="0" w:color="auto"/>
            </w:tcBorders>
            <w:vAlign w:val="bottom"/>
            <w:hideMark/>
          </w:tcPr>
          <w:p w14:paraId="612FA5B1"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396" w:type="dxa"/>
            <w:tcBorders>
              <w:top w:val="nil"/>
              <w:left w:val="nil"/>
              <w:bottom w:val="single" w:sz="4" w:space="0" w:color="auto"/>
              <w:right w:val="single" w:sz="4" w:space="0" w:color="auto"/>
            </w:tcBorders>
            <w:noWrap/>
            <w:vAlign w:val="bottom"/>
            <w:hideMark/>
          </w:tcPr>
          <w:p w14:paraId="7BF44F0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56,532.00</w:t>
            </w:r>
          </w:p>
        </w:tc>
        <w:tc>
          <w:tcPr>
            <w:tcW w:w="1393" w:type="dxa"/>
            <w:tcBorders>
              <w:top w:val="nil"/>
              <w:left w:val="nil"/>
              <w:bottom w:val="single" w:sz="4" w:space="0" w:color="auto"/>
              <w:right w:val="single" w:sz="4" w:space="0" w:color="auto"/>
            </w:tcBorders>
            <w:noWrap/>
            <w:vAlign w:val="bottom"/>
            <w:hideMark/>
          </w:tcPr>
          <w:p w14:paraId="6689275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47,176.46</w:t>
            </w:r>
          </w:p>
        </w:tc>
        <w:tc>
          <w:tcPr>
            <w:tcW w:w="1393" w:type="dxa"/>
            <w:tcBorders>
              <w:top w:val="nil"/>
              <w:left w:val="nil"/>
              <w:bottom w:val="single" w:sz="4" w:space="0" w:color="auto"/>
              <w:right w:val="single" w:sz="4" w:space="0" w:color="auto"/>
            </w:tcBorders>
            <w:noWrap/>
            <w:vAlign w:val="bottom"/>
            <w:hideMark/>
          </w:tcPr>
          <w:p w14:paraId="36B8415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128,940.00</w:t>
            </w:r>
          </w:p>
        </w:tc>
        <w:tc>
          <w:tcPr>
            <w:tcW w:w="1316" w:type="dxa"/>
            <w:tcBorders>
              <w:top w:val="nil"/>
              <w:left w:val="nil"/>
              <w:bottom w:val="single" w:sz="4" w:space="0" w:color="auto"/>
              <w:right w:val="single" w:sz="4" w:space="0" w:color="auto"/>
            </w:tcBorders>
            <w:noWrap/>
            <w:vAlign w:val="bottom"/>
            <w:hideMark/>
          </w:tcPr>
          <w:p w14:paraId="55AFEB5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139,260.00</w:t>
            </w:r>
          </w:p>
        </w:tc>
        <w:tc>
          <w:tcPr>
            <w:tcW w:w="1316" w:type="dxa"/>
            <w:tcBorders>
              <w:top w:val="nil"/>
              <w:left w:val="nil"/>
              <w:bottom w:val="single" w:sz="4" w:space="0" w:color="auto"/>
              <w:right w:val="single" w:sz="4" w:space="0" w:color="auto"/>
            </w:tcBorders>
            <w:noWrap/>
            <w:vAlign w:val="bottom"/>
            <w:hideMark/>
          </w:tcPr>
          <w:p w14:paraId="58E54E8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139,260.00</w:t>
            </w:r>
          </w:p>
        </w:tc>
        <w:tc>
          <w:tcPr>
            <w:tcW w:w="1316" w:type="dxa"/>
            <w:tcBorders>
              <w:top w:val="nil"/>
              <w:left w:val="nil"/>
              <w:bottom w:val="single" w:sz="4" w:space="0" w:color="auto"/>
              <w:right w:val="single" w:sz="4" w:space="0" w:color="auto"/>
            </w:tcBorders>
            <w:noWrap/>
            <w:vAlign w:val="bottom"/>
            <w:hideMark/>
          </w:tcPr>
          <w:p w14:paraId="7002D25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139,260.00</w:t>
            </w:r>
          </w:p>
        </w:tc>
        <w:tc>
          <w:tcPr>
            <w:tcW w:w="1316" w:type="dxa"/>
            <w:tcBorders>
              <w:top w:val="nil"/>
              <w:left w:val="nil"/>
              <w:bottom w:val="single" w:sz="4" w:space="0" w:color="auto"/>
              <w:right w:val="single" w:sz="4" w:space="0" w:color="auto"/>
            </w:tcBorders>
            <w:noWrap/>
            <w:vAlign w:val="bottom"/>
            <w:hideMark/>
          </w:tcPr>
          <w:p w14:paraId="374CDF2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139,260</w:t>
            </w:r>
          </w:p>
        </w:tc>
        <w:tc>
          <w:tcPr>
            <w:tcW w:w="1316" w:type="dxa"/>
            <w:tcBorders>
              <w:top w:val="nil"/>
              <w:left w:val="nil"/>
              <w:bottom w:val="single" w:sz="4" w:space="0" w:color="auto"/>
              <w:right w:val="single" w:sz="4" w:space="0" w:color="auto"/>
            </w:tcBorders>
            <w:noWrap/>
            <w:vAlign w:val="bottom"/>
            <w:hideMark/>
          </w:tcPr>
          <w:p w14:paraId="1B1A8D6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139,260</w:t>
            </w:r>
          </w:p>
        </w:tc>
        <w:tc>
          <w:tcPr>
            <w:tcW w:w="1316" w:type="dxa"/>
            <w:tcBorders>
              <w:top w:val="nil"/>
              <w:left w:val="nil"/>
              <w:bottom w:val="single" w:sz="4" w:space="0" w:color="auto"/>
              <w:right w:val="single" w:sz="4" w:space="0" w:color="auto"/>
            </w:tcBorders>
            <w:noWrap/>
            <w:vAlign w:val="bottom"/>
            <w:hideMark/>
          </w:tcPr>
          <w:p w14:paraId="64AF69E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139,260</w:t>
            </w:r>
          </w:p>
        </w:tc>
      </w:tr>
      <w:tr w:rsidR="00EA0FD7" w:rsidRPr="00EA0FD7" w14:paraId="38A5BF86" w14:textId="77777777" w:rsidTr="00EA0FD7">
        <w:trPr>
          <w:trHeight w:val="480"/>
        </w:trPr>
        <w:tc>
          <w:tcPr>
            <w:tcW w:w="1177" w:type="dxa"/>
            <w:tcBorders>
              <w:top w:val="nil"/>
              <w:left w:val="single" w:sz="8" w:space="0" w:color="auto"/>
              <w:bottom w:val="single" w:sz="4" w:space="0" w:color="auto"/>
              <w:right w:val="single" w:sz="4" w:space="0" w:color="auto"/>
            </w:tcBorders>
            <w:noWrap/>
            <w:vAlign w:val="bottom"/>
            <w:hideMark/>
          </w:tcPr>
          <w:p w14:paraId="70A61E3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429" w:type="dxa"/>
            <w:tcBorders>
              <w:top w:val="nil"/>
              <w:left w:val="nil"/>
              <w:bottom w:val="single" w:sz="4" w:space="0" w:color="auto"/>
              <w:right w:val="single" w:sz="4" w:space="0" w:color="auto"/>
            </w:tcBorders>
            <w:vAlign w:val="bottom"/>
            <w:hideMark/>
          </w:tcPr>
          <w:p w14:paraId="2FE284FE"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396" w:type="dxa"/>
            <w:tcBorders>
              <w:top w:val="nil"/>
              <w:left w:val="nil"/>
              <w:bottom w:val="single" w:sz="4" w:space="0" w:color="auto"/>
              <w:right w:val="single" w:sz="4" w:space="0" w:color="auto"/>
            </w:tcBorders>
            <w:noWrap/>
            <w:vAlign w:val="bottom"/>
            <w:hideMark/>
          </w:tcPr>
          <w:p w14:paraId="2014C9B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1,911,124.00</w:t>
            </w:r>
          </w:p>
        </w:tc>
        <w:tc>
          <w:tcPr>
            <w:tcW w:w="1393" w:type="dxa"/>
            <w:tcBorders>
              <w:top w:val="nil"/>
              <w:left w:val="nil"/>
              <w:bottom w:val="single" w:sz="4" w:space="0" w:color="auto"/>
              <w:right w:val="single" w:sz="4" w:space="0" w:color="auto"/>
            </w:tcBorders>
            <w:noWrap/>
            <w:vAlign w:val="bottom"/>
            <w:hideMark/>
          </w:tcPr>
          <w:p w14:paraId="588BF36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1,231,972.43</w:t>
            </w:r>
          </w:p>
        </w:tc>
        <w:tc>
          <w:tcPr>
            <w:tcW w:w="1393" w:type="dxa"/>
            <w:tcBorders>
              <w:top w:val="nil"/>
              <w:left w:val="nil"/>
              <w:bottom w:val="single" w:sz="4" w:space="0" w:color="auto"/>
              <w:right w:val="single" w:sz="4" w:space="0" w:color="auto"/>
            </w:tcBorders>
            <w:noWrap/>
            <w:vAlign w:val="bottom"/>
            <w:hideMark/>
          </w:tcPr>
          <w:p w14:paraId="0C04D86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1,511,582.00</w:t>
            </w:r>
          </w:p>
        </w:tc>
        <w:tc>
          <w:tcPr>
            <w:tcW w:w="1316" w:type="dxa"/>
            <w:tcBorders>
              <w:top w:val="nil"/>
              <w:left w:val="nil"/>
              <w:bottom w:val="single" w:sz="4" w:space="0" w:color="auto"/>
              <w:right w:val="single" w:sz="4" w:space="0" w:color="auto"/>
            </w:tcBorders>
            <w:noWrap/>
            <w:vAlign w:val="bottom"/>
            <w:hideMark/>
          </w:tcPr>
          <w:p w14:paraId="30EE030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1,572,082</w:t>
            </w:r>
          </w:p>
        </w:tc>
        <w:tc>
          <w:tcPr>
            <w:tcW w:w="1316" w:type="dxa"/>
            <w:tcBorders>
              <w:top w:val="nil"/>
              <w:left w:val="nil"/>
              <w:bottom w:val="single" w:sz="4" w:space="0" w:color="auto"/>
              <w:right w:val="single" w:sz="4" w:space="0" w:color="auto"/>
            </w:tcBorders>
            <w:noWrap/>
            <w:vAlign w:val="bottom"/>
            <w:hideMark/>
          </w:tcPr>
          <w:p w14:paraId="35F67B0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1,572,082</w:t>
            </w:r>
          </w:p>
        </w:tc>
        <w:tc>
          <w:tcPr>
            <w:tcW w:w="1316" w:type="dxa"/>
            <w:tcBorders>
              <w:top w:val="nil"/>
              <w:left w:val="nil"/>
              <w:bottom w:val="single" w:sz="4" w:space="0" w:color="auto"/>
              <w:right w:val="single" w:sz="4" w:space="0" w:color="auto"/>
            </w:tcBorders>
            <w:noWrap/>
            <w:vAlign w:val="bottom"/>
            <w:hideMark/>
          </w:tcPr>
          <w:p w14:paraId="4BD9CB4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1,572,082</w:t>
            </w:r>
          </w:p>
        </w:tc>
        <w:tc>
          <w:tcPr>
            <w:tcW w:w="1316" w:type="dxa"/>
            <w:tcBorders>
              <w:top w:val="nil"/>
              <w:left w:val="nil"/>
              <w:bottom w:val="single" w:sz="4" w:space="0" w:color="auto"/>
              <w:right w:val="single" w:sz="4" w:space="0" w:color="auto"/>
            </w:tcBorders>
            <w:noWrap/>
            <w:vAlign w:val="bottom"/>
            <w:hideMark/>
          </w:tcPr>
          <w:p w14:paraId="7D591F1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1,572,082</w:t>
            </w:r>
          </w:p>
        </w:tc>
        <w:tc>
          <w:tcPr>
            <w:tcW w:w="1316" w:type="dxa"/>
            <w:tcBorders>
              <w:top w:val="nil"/>
              <w:left w:val="nil"/>
              <w:bottom w:val="single" w:sz="4" w:space="0" w:color="auto"/>
              <w:right w:val="single" w:sz="4" w:space="0" w:color="auto"/>
            </w:tcBorders>
            <w:noWrap/>
            <w:vAlign w:val="bottom"/>
            <w:hideMark/>
          </w:tcPr>
          <w:p w14:paraId="5F099DB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1,572,082</w:t>
            </w:r>
          </w:p>
        </w:tc>
        <w:tc>
          <w:tcPr>
            <w:tcW w:w="1316" w:type="dxa"/>
            <w:tcBorders>
              <w:top w:val="nil"/>
              <w:left w:val="nil"/>
              <w:bottom w:val="single" w:sz="4" w:space="0" w:color="auto"/>
              <w:right w:val="single" w:sz="4" w:space="0" w:color="auto"/>
            </w:tcBorders>
            <w:noWrap/>
            <w:vAlign w:val="bottom"/>
            <w:hideMark/>
          </w:tcPr>
          <w:p w14:paraId="0EF3C3A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1,572,082</w:t>
            </w:r>
          </w:p>
        </w:tc>
      </w:tr>
      <w:tr w:rsidR="00EA0FD7" w:rsidRPr="00EA0FD7" w14:paraId="37559833" w14:textId="77777777" w:rsidTr="00EA0FD7">
        <w:trPr>
          <w:trHeight w:val="480"/>
        </w:trPr>
        <w:tc>
          <w:tcPr>
            <w:tcW w:w="1177" w:type="dxa"/>
            <w:tcBorders>
              <w:top w:val="nil"/>
              <w:left w:val="single" w:sz="8" w:space="0" w:color="auto"/>
              <w:bottom w:val="single" w:sz="4" w:space="0" w:color="auto"/>
              <w:right w:val="single" w:sz="4" w:space="0" w:color="auto"/>
            </w:tcBorders>
            <w:vAlign w:val="bottom"/>
            <w:hideMark/>
          </w:tcPr>
          <w:p w14:paraId="49B15A0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614000</w:t>
            </w:r>
          </w:p>
        </w:tc>
        <w:tc>
          <w:tcPr>
            <w:tcW w:w="2429" w:type="dxa"/>
            <w:tcBorders>
              <w:top w:val="nil"/>
              <w:left w:val="nil"/>
              <w:bottom w:val="single" w:sz="4" w:space="0" w:color="auto"/>
              <w:right w:val="single" w:sz="4" w:space="0" w:color="auto"/>
            </w:tcBorders>
            <w:vAlign w:val="bottom"/>
            <w:hideMark/>
          </w:tcPr>
          <w:p w14:paraId="33D8DE3F"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396" w:type="dxa"/>
            <w:tcBorders>
              <w:top w:val="nil"/>
              <w:left w:val="nil"/>
              <w:bottom w:val="single" w:sz="4" w:space="0" w:color="auto"/>
              <w:right w:val="single" w:sz="4" w:space="0" w:color="auto"/>
            </w:tcBorders>
            <w:noWrap/>
            <w:vAlign w:val="bottom"/>
            <w:hideMark/>
          </w:tcPr>
          <w:p w14:paraId="21D2E6D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15,035,000.00</w:t>
            </w:r>
          </w:p>
        </w:tc>
        <w:tc>
          <w:tcPr>
            <w:tcW w:w="1393" w:type="dxa"/>
            <w:tcBorders>
              <w:top w:val="nil"/>
              <w:left w:val="nil"/>
              <w:bottom w:val="single" w:sz="4" w:space="0" w:color="auto"/>
              <w:right w:val="single" w:sz="4" w:space="0" w:color="auto"/>
            </w:tcBorders>
            <w:noWrap/>
            <w:vAlign w:val="bottom"/>
            <w:hideMark/>
          </w:tcPr>
          <w:p w14:paraId="32EE725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11,510,316.26</w:t>
            </w:r>
          </w:p>
        </w:tc>
        <w:tc>
          <w:tcPr>
            <w:tcW w:w="1393" w:type="dxa"/>
            <w:tcBorders>
              <w:top w:val="nil"/>
              <w:left w:val="nil"/>
              <w:bottom w:val="single" w:sz="4" w:space="0" w:color="auto"/>
              <w:right w:val="single" w:sz="4" w:space="0" w:color="auto"/>
            </w:tcBorders>
            <w:noWrap/>
            <w:vAlign w:val="bottom"/>
            <w:hideMark/>
          </w:tcPr>
          <w:p w14:paraId="00A4475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16,500,000.00</w:t>
            </w:r>
          </w:p>
        </w:tc>
        <w:tc>
          <w:tcPr>
            <w:tcW w:w="1316" w:type="dxa"/>
            <w:tcBorders>
              <w:top w:val="nil"/>
              <w:left w:val="nil"/>
              <w:bottom w:val="single" w:sz="4" w:space="0" w:color="auto"/>
              <w:right w:val="single" w:sz="4" w:space="0" w:color="auto"/>
            </w:tcBorders>
            <w:noWrap/>
            <w:vAlign w:val="bottom"/>
            <w:hideMark/>
          </w:tcPr>
          <w:p w14:paraId="3951E47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12,535,000</w:t>
            </w:r>
          </w:p>
        </w:tc>
        <w:tc>
          <w:tcPr>
            <w:tcW w:w="1316" w:type="dxa"/>
            <w:tcBorders>
              <w:top w:val="nil"/>
              <w:left w:val="nil"/>
              <w:bottom w:val="single" w:sz="4" w:space="0" w:color="auto"/>
              <w:right w:val="single" w:sz="4" w:space="0" w:color="auto"/>
            </w:tcBorders>
            <w:noWrap/>
            <w:vAlign w:val="bottom"/>
            <w:hideMark/>
          </w:tcPr>
          <w:p w14:paraId="15B69FD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13,035,000</w:t>
            </w:r>
          </w:p>
        </w:tc>
        <w:tc>
          <w:tcPr>
            <w:tcW w:w="1316" w:type="dxa"/>
            <w:tcBorders>
              <w:top w:val="nil"/>
              <w:left w:val="nil"/>
              <w:bottom w:val="single" w:sz="4" w:space="0" w:color="auto"/>
              <w:right w:val="single" w:sz="4" w:space="0" w:color="auto"/>
            </w:tcBorders>
            <w:noWrap/>
            <w:vAlign w:val="bottom"/>
            <w:hideMark/>
          </w:tcPr>
          <w:p w14:paraId="1A1EF50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13,035,000</w:t>
            </w:r>
          </w:p>
        </w:tc>
        <w:tc>
          <w:tcPr>
            <w:tcW w:w="1316" w:type="dxa"/>
            <w:tcBorders>
              <w:top w:val="nil"/>
              <w:left w:val="nil"/>
              <w:bottom w:val="single" w:sz="4" w:space="0" w:color="auto"/>
              <w:right w:val="single" w:sz="4" w:space="0" w:color="auto"/>
            </w:tcBorders>
            <w:noWrap/>
            <w:vAlign w:val="bottom"/>
            <w:hideMark/>
          </w:tcPr>
          <w:p w14:paraId="30AA623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12,535,000</w:t>
            </w:r>
          </w:p>
        </w:tc>
        <w:tc>
          <w:tcPr>
            <w:tcW w:w="1316" w:type="dxa"/>
            <w:tcBorders>
              <w:top w:val="nil"/>
              <w:left w:val="nil"/>
              <w:bottom w:val="single" w:sz="4" w:space="0" w:color="auto"/>
              <w:right w:val="single" w:sz="4" w:space="0" w:color="auto"/>
            </w:tcBorders>
            <w:noWrap/>
            <w:vAlign w:val="bottom"/>
            <w:hideMark/>
          </w:tcPr>
          <w:p w14:paraId="1387721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13,035,000</w:t>
            </w:r>
          </w:p>
        </w:tc>
        <w:tc>
          <w:tcPr>
            <w:tcW w:w="1316" w:type="dxa"/>
            <w:tcBorders>
              <w:top w:val="nil"/>
              <w:left w:val="nil"/>
              <w:bottom w:val="single" w:sz="4" w:space="0" w:color="auto"/>
              <w:right w:val="single" w:sz="4" w:space="0" w:color="auto"/>
            </w:tcBorders>
            <w:noWrap/>
            <w:vAlign w:val="bottom"/>
            <w:hideMark/>
          </w:tcPr>
          <w:p w14:paraId="4E308B1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13,035,000</w:t>
            </w:r>
          </w:p>
        </w:tc>
      </w:tr>
      <w:tr w:rsidR="00EA0FD7" w:rsidRPr="00EA0FD7" w14:paraId="25A01792" w14:textId="77777777" w:rsidTr="00EA0FD7">
        <w:trPr>
          <w:trHeight w:val="240"/>
        </w:trPr>
        <w:tc>
          <w:tcPr>
            <w:tcW w:w="1177" w:type="dxa"/>
            <w:tcBorders>
              <w:top w:val="nil"/>
              <w:left w:val="single" w:sz="8" w:space="0" w:color="auto"/>
              <w:bottom w:val="nil"/>
              <w:right w:val="single" w:sz="4" w:space="0" w:color="auto"/>
            </w:tcBorders>
            <w:vAlign w:val="bottom"/>
            <w:hideMark/>
          </w:tcPr>
          <w:p w14:paraId="69BCAD0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615000</w:t>
            </w:r>
          </w:p>
        </w:tc>
        <w:tc>
          <w:tcPr>
            <w:tcW w:w="2429" w:type="dxa"/>
            <w:tcBorders>
              <w:top w:val="nil"/>
              <w:left w:val="nil"/>
              <w:bottom w:val="nil"/>
              <w:right w:val="single" w:sz="4" w:space="0" w:color="auto"/>
            </w:tcBorders>
            <w:vAlign w:val="bottom"/>
            <w:hideMark/>
          </w:tcPr>
          <w:p w14:paraId="0645B5FD"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396" w:type="dxa"/>
            <w:tcBorders>
              <w:top w:val="nil"/>
              <w:left w:val="nil"/>
              <w:bottom w:val="nil"/>
              <w:right w:val="single" w:sz="4" w:space="0" w:color="auto"/>
            </w:tcBorders>
            <w:noWrap/>
            <w:vAlign w:val="bottom"/>
            <w:hideMark/>
          </w:tcPr>
          <w:p w14:paraId="3B636E5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93" w:type="dxa"/>
            <w:tcBorders>
              <w:top w:val="nil"/>
              <w:left w:val="nil"/>
              <w:bottom w:val="nil"/>
              <w:right w:val="single" w:sz="4" w:space="0" w:color="auto"/>
            </w:tcBorders>
            <w:noWrap/>
            <w:vAlign w:val="bottom"/>
            <w:hideMark/>
          </w:tcPr>
          <w:p w14:paraId="708D121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93" w:type="dxa"/>
            <w:tcBorders>
              <w:top w:val="nil"/>
              <w:left w:val="nil"/>
              <w:bottom w:val="nil"/>
              <w:right w:val="single" w:sz="4" w:space="0" w:color="auto"/>
            </w:tcBorders>
            <w:noWrap/>
            <w:vAlign w:val="bottom"/>
            <w:hideMark/>
          </w:tcPr>
          <w:p w14:paraId="6EFBDA5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nil"/>
              <w:right w:val="single" w:sz="4" w:space="0" w:color="auto"/>
            </w:tcBorders>
            <w:noWrap/>
            <w:vAlign w:val="bottom"/>
            <w:hideMark/>
          </w:tcPr>
          <w:p w14:paraId="4EF326D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nil"/>
              <w:right w:val="single" w:sz="4" w:space="0" w:color="auto"/>
            </w:tcBorders>
            <w:noWrap/>
            <w:vAlign w:val="bottom"/>
            <w:hideMark/>
          </w:tcPr>
          <w:p w14:paraId="612723E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nil"/>
              <w:right w:val="single" w:sz="4" w:space="0" w:color="auto"/>
            </w:tcBorders>
            <w:noWrap/>
            <w:vAlign w:val="bottom"/>
            <w:hideMark/>
          </w:tcPr>
          <w:p w14:paraId="359A696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nil"/>
              <w:right w:val="single" w:sz="4" w:space="0" w:color="auto"/>
            </w:tcBorders>
            <w:noWrap/>
            <w:vAlign w:val="bottom"/>
            <w:hideMark/>
          </w:tcPr>
          <w:p w14:paraId="7FC99B1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7450581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495038C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73AD6E91" w14:textId="77777777" w:rsidTr="00EA0FD7">
        <w:trPr>
          <w:trHeight w:val="480"/>
        </w:trPr>
        <w:tc>
          <w:tcPr>
            <w:tcW w:w="1177" w:type="dxa"/>
            <w:tcBorders>
              <w:top w:val="single" w:sz="4" w:space="0" w:color="auto"/>
              <w:left w:val="single" w:sz="8" w:space="0" w:color="auto"/>
              <w:bottom w:val="nil"/>
              <w:right w:val="single" w:sz="4" w:space="0" w:color="auto"/>
            </w:tcBorders>
            <w:noWrap/>
            <w:vAlign w:val="bottom"/>
            <w:hideMark/>
          </w:tcPr>
          <w:p w14:paraId="09B502A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821000</w:t>
            </w:r>
          </w:p>
        </w:tc>
        <w:tc>
          <w:tcPr>
            <w:tcW w:w="2429" w:type="dxa"/>
            <w:tcBorders>
              <w:top w:val="single" w:sz="4" w:space="0" w:color="auto"/>
              <w:left w:val="nil"/>
              <w:bottom w:val="nil"/>
              <w:right w:val="single" w:sz="4" w:space="0" w:color="auto"/>
            </w:tcBorders>
            <w:vAlign w:val="bottom"/>
            <w:hideMark/>
          </w:tcPr>
          <w:p w14:paraId="00326BA7"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396" w:type="dxa"/>
            <w:tcBorders>
              <w:top w:val="single" w:sz="4" w:space="0" w:color="auto"/>
              <w:left w:val="nil"/>
              <w:bottom w:val="nil"/>
              <w:right w:val="single" w:sz="4" w:space="0" w:color="auto"/>
            </w:tcBorders>
            <w:noWrap/>
            <w:vAlign w:val="bottom"/>
            <w:hideMark/>
          </w:tcPr>
          <w:p w14:paraId="295889A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933,609.58</w:t>
            </w:r>
          </w:p>
        </w:tc>
        <w:tc>
          <w:tcPr>
            <w:tcW w:w="1393" w:type="dxa"/>
            <w:tcBorders>
              <w:top w:val="single" w:sz="4" w:space="0" w:color="auto"/>
              <w:left w:val="nil"/>
              <w:bottom w:val="nil"/>
              <w:right w:val="single" w:sz="4" w:space="0" w:color="auto"/>
            </w:tcBorders>
            <w:noWrap/>
            <w:vAlign w:val="bottom"/>
            <w:hideMark/>
          </w:tcPr>
          <w:p w14:paraId="44A4ECE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3,135.60</w:t>
            </w:r>
          </w:p>
        </w:tc>
        <w:tc>
          <w:tcPr>
            <w:tcW w:w="1393" w:type="dxa"/>
            <w:tcBorders>
              <w:top w:val="single" w:sz="4" w:space="0" w:color="auto"/>
              <w:left w:val="nil"/>
              <w:bottom w:val="nil"/>
              <w:right w:val="single" w:sz="4" w:space="0" w:color="auto"/>
            </w:tcBorders>
            <w:noWrap/>
            <w:vAlign w:val="bottom"/>
            <w:hideMark/>
          </w:tcPr>
          <w:p w14:paraId="06208AF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334,333.00</w:t>
            </w:r>
          </w:p>
        </w:tc>
        <w:tc>
          <w:tcPr>
            <w:tcW w:w="1316" w:type="dxa"/>
            <w:tcBorders>
              <w:top w:val="single" w:sz="4" w:space="0" w:color="auto"/>
              <w:left w:val="nil"/>
              <w:bottom w:val="nil"/>
              <w:right w:val="single" w:sz="4" w:space="0" w:color="auto"/>
            </w:tcBorders>
            <w:noWrap/>
            <w:vAlign w:val="bottom"/>
            <w:hideMark/>
          </w:tcPr>
          <w:p w14:paraId="297F2E8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595,000</w:t>
            </w:r>
          </w:p>
        </w:tc>
        <w:tc>
          <w:tcPr>
            <w:tcW w:w="1316" w:type="dxa"/>
            <w:tcBorders>
              <w:top w:val="single" w:sz="4" w:space="0" w:color="auto"/>
              <w:left w:val="nil"/>
              <w:bottom w:val="nil"/>
              <w:right w:val="single" w:sz="4" w:space="0" w:color="auto"/>
            </w:tcBorders>
            <w:noWrap/>
            <w:vAlign w:val="bottom"/>
            <w:hideMark/>
          </w:tcPr>
          <w:p w14:paraId="0F287E8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747,500</w:t>
            </w:r>
          </w:p>
        </w:tc>
        <w:tc>
          <w:tcPr>
            <w:tcW w:w="1316" w:type="dxa"/>
            <w:tcBorders>
              <w:top w:val="single" w:sz="4" w:space="0" w:color="auto"/>
              <w:left w:val="nil"/>
              <w:bottom w:val="nil"/>
              <w:right w:val="single" w:sz="4" w:space="0" w:color="auto"/>
            </w:tcBorders>
            <w:noWrap/>
            <w:vAlign w:val="bottom"/>
            <w:hideMark/>
          </w:tcPr>
          <w:p w14:paraId="1F8AF58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747,500</w:t>
            </w:r>
          </w:p>
        </w:tc>
        <w:tc>
          <w:tcPr>
            <w:tcW w:w="1316" w:type="dxa"/>
            <w:tcBorders>
              <w:top w:val="single" w:sz="4" w:space="0" w:color="auto"/>
              <w:left w:val="nil"/>
              <w:bottom w:val="nil"/>
              <w:right w:val="single" w:sz="4" w:space="0" w:color="auto"/>
            </w:tcBorders>
            <w:noWrap/>
            <w:vAlign w:val="bottom"/>
            <w:hideMark/>
          </w:tcPr>
          <w:p w14:paraId="30FB33B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595,000</w:t>
            </w:r>
          </w:p>
        </w:tc>
        <w:tc>
          <w:tcPr>
            <w:tcW w:w="1316" w:type="dxa"/>
            <w:tcBorders>
              <w:top w:val="single" w:sz="4" w:space="0" w:color="auto"/>
              <w:left w:val="nil"/>
              <w:bottom w:val="nil"/>
              <w:right w:val="single" w:sz="4" w:space="0" w:color="auto"/>
            </w:tcBorders>
            <w:noWrap/>
            <w:vAlign w:val="bottom"/>
            <w:hideMark/>
          </w:tcPr>
          <w:p w14:paraId="2FFC836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747,500</w:t>
            </w:r>
          </w:p>
        </w:tc>
        <w:tc>
          <w:tcPr>
            <w:tcW w:w="1316" w:type="dxa"/>
            <w:tcBorders>
              <w:top w:val="single" w:sz="4" w:space="0" w:color="auto"/>
              <w:left w:val="nil"/>
              <w:bottom w:val="nil"/>
              <w:right w:val="single" w:sz="4" w:space="0" w:color="auto"/>
            </w:tcBorders>
            <w:noWrap/>
            <w:vAlign w:val="bottom"/>
            <w:hideMark/>
          </w:tcPr>
          <w:p w14:paraId="05499A3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747,500</w:t>
            </w:r>
          </w:p>
        </w:tc>
      </w:tr>
      <w:tr w:rsidR="00EA0FD7" w:rsidRPr="00EA0FD7" w14:paraId="5A1B66EC" w14:textId="77777777" w:rsidTr="00EA0FD7">
        <w:trPr>
          <w:trHeight w:val="330"/>
        </w:trPr>
        <w:tc>
          <w:tcPr>
            <w:tcW w:w="1177" w:type="dxa"/>
            <w:tcBorders>
              <w:top w:val="single" w:sz="8" w:space="0" w:color="auto"/>
              <w:left w:val="single" w:sz="8" w:space="0" w:color="auto"/>
              <w:bottom w:val="single" w:sz="8" w:space="0" w:color="auto"/>
              <w:right w:val="single" w:sz="8" w:space="0" w:color="auto"/>
            </w:tcBorders>
            <w:noWrap/>
            <w:vAlign w:val="bottom"/>
            <w:hideMark/>
          </w:tcPr>
          <w:p w14:paraId="5F779AE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29" w:type="dxa"/>
            <w:tcBorders>
              <w:top w:val="single" w:sz="8" w:space="0" w:color="auto"/>
              <w:left w:val="nil"/>
              <w:bottom w:val="single" w:sz="8" w:space="0" w:color="auto"/>
              <w:right w:val="single" w:sz="8" w:space="0" w:color="auto"/>
            </w:tcBorders>
            <w:noWrap/>
            <w:vAlign w:val="bottom"/>
            <w:hideMark/>
          </w:tcPr>
          <w:p w14:paraId="0A7F3F7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396" w:type="dxa"/>
            <w:tcBorders>
              <w:top w:val="single" w:sz="8" w:space="0" w:color="auto"/>
              <w:left w:val="nil"/>
              <w:bottom w:val="single" w:sz="8" w:space="0" w:color="auto"/>
              <w:right w:val="single" w:sz="8" w:space="0" w:color="auto"/>
            </w:tcBorders>
            <w:noWrap/>
            <w:vAlign w:val="bottom"/>
            <w:hideMark/>
          </w:tcPr>
          <w:p w14:paraId="4EB2184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20,114,601.82</w:t>
            </w:r>
          </w:p>
        </w:tc>
        <w:tc>
          <w:tcPr>
            <w:tcW w:w="1393" w:type="dxa"/>
            <w:tcBorders>
              <w:top w:val="single" w:sz="8" w:space="0" w:color="auto"/>
              <w:left w:val="nil"/>
              <w:bottom w:val="single" w:sz="8" w:space="0" w:color="auto"/>
              <w:right w:val="single" w:sz="8" w:space="0" w:color="auto"/>
            </w:tcBorders>
            <w:noWrap/>
            <w:vAlign w:val="bottom"/>
            <w:hideMark/>
          </w:tcPr>
          <w:p w14:paraId="215B805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14,872,258.35</w:t>
            </w:r>
          </w:p>
        </w:tc>
        <w:tc>
          <w:tcPr>
            <w:tcW w:w="1393" w:type="dxa"/>
            <w:tcBorders>
              <w:top w:val="single" w:sz="8" w:space="0" w:color="auto"/>
              <w:left w:val="nil"/>
              <w:bottom w:val="single" w:sz="8" w:space="0" w:color="auto"/>
              <w:right w:val="single" w:sz="8" w:space="0" w:color="auto"/>
            </w:tcBorders>
            <w:noWrap/>
            <w:vAlign w:val="bottom"/>
            <w:hideMark/>
          </w:tcPr>
          <w:p w14:paraId="4E585EA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20,707,268.07</w:t>
            </w:r>
          </w:p>
        </w:tc>
        <w:tc>
          <w:tcPr>
            <w:tcW w:w="1316" w:type="dxa"/>
            <w:tcBorders>
              <w:top w:val="single" w:sz="8" w:space="0" w:color="auto"/>
              <w:left w:val="nil"/>
              <w:bottom w:val="single" w:sz="8" w:space="0" w:color="auto"/>
              <w:right w:val="single" w:sz="8" w:space="0" w:color="auto"/>
            </w:tcBorders>
            <w:noWrap/>
            <w:vAlign w:val="bottom"/>
            <w:hideMark/>
          </w:tcPr>
          <w:p w14:paraId="2F350C7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17,263,709</w:t>
            </w:r>
          </w:p>
        </w:tc>
        <w:tc>
          <w:tcPr>
            <w:tcW w:w="1316" w:type="dxa"/>
            <w:tcBorders>
              <w:top w:val="single" w:sz="8" w:space="0" w:color="auto"/>
              <w:left w:val="nil"/>
              <w:bottom w:val="single" w:sz="8" w:space="0" w:color="auto"/>
              <w:right w:val="single" w:sz="8" w:space="0" w:color="auto"/>
            </w:tcBorders>
            <w:noWrap/>
            <w:vAlign w:val="bottom"/>
            <w:hideMark/>
          </w:tcPr>
          <w:p w14:paraId="212BB6C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17,916,209</w:t>
            </w:r>
          </w:p>
        </w:tc>
        <w:tc>
          <w:tcPr>
            <w:tcW w:w="1316" w:type="dxa"/>
            <w:tcBorders>
              <w:top w:val="single" w:sz="8" w:space="0" w:color="auto"/>
              <w:left w:val="nil"/>
              <w:bottom w:val="single" w:sz="8" w:space="0" w:color="auto"/>
              <w:right w:val="single" w:sz="8" w:space="0" w:color="auto"/>
            </w:tcBorders>
            <w:noWrap/>
            <w:vAlign w:val="bottom"/>
            <w:hideMark/>
          </w:tcPr>
          <w:p w14:paraId="250FB4B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17,916,209</w:t>
            </w:r>
          </w:p>
        </w:tc>
        <w:tc>
          <w:tcPr>
            <w:tcW w:w="1316" w:type="dxa"/>
            <w:tcBorders>
              <w:top w:val="single" w:sz="8" w:space="0" w:color="auto"/>
              <w:left w:val="nil"/>
              <w:bottom w:val="single" w:sz="8" w:space="0" w:color="auto"/>
              <w:right w:val="single" w:sz="8" w:space="0" w:color="auto"/>
            </w:tcBorders>
            <w:noWrap/>
            <w:vAlign w:val="bottom"/>
            <w:hideMark/>
          </w:tcPr>
          <w:p w14:paraId="6694310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17,239,235</w:t>
            </w:r>
          </w:p>
        </w:tc>
        <w:tc>
          <w:tcPr>
            <w:tcW w:w="1316" w:type="dxa"/>
            <w:tcBorders>
              <w:top w:val="single" w:sz="8" w:space="0" w:color="auto"/>
              <w:left w:val="nil"/>
              <w:bottom w:val="single" w:sz="8" w:space="0" w:color="auto"/>
              <w:right w:val="single" w:sz="8" w:space="0" w:color="auto"/>
            </w:tcBorders>
            <w:noWrap/>
            <w:vAlign w:val="bottom"/>
            <w:hideMark/>
          </w:tcPr>
          <w:p w14:paraId="5E290ED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17,891,735</w:t>
            </w:r>
          </w:p>
        </w:tc>
        <w:tc>
          <w:tcPr>
            <w:tcW w:w="1316" w:type="dxa"/>
            <w:tcBorders>
              <w:top w:val="single" w:sz="8" w:space="0" w:color="auto"/>
              <w:left w:val="nil"/>
              <w:bottom w:val="single" w:sz="8" w:space="0" w:color="auto"/>
              <w:right w:val="single" w:sz="8" w:space="0" w:color="auto"/>
            </w:tcBorders>
            <w:noWrap/>
            <w:vAlign w:val="bottom"/>
            <w:hideMark/>
          </w:tcPr>
          <w:p w14:paraId="682B244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17,891,735</w:t>
            </w:r>
          </w:p>
        </w:tc>
      </w:tr>
      <w:tr w:rsidR="00EA0FD7" w:rsidRPr="00EA0FD7" w14:paraId="73A98172" w14:textId="77777777" w:rsidTr="00EA0FD7">
        <w:trPr>
          <w:trHeight w:val="210"/>
        </w:trPr>
        <w:tc>
          <w:tcPr>
            <w:tcW w:w="1177" w:type="dxa"/>
            <w:tcBorders>
              <w:top w:val="nil"/>
              <w:left w:val="single" w:sz="8" w:space="0" w:color="auto"/>
              <w:bottom w:val="single" w:sz="8" w:space="0" w:color="auto"/>
              <w:right w:val="nil"/>
            </w:tcBorders>
            <w:noWrap/>
            <w:vAlign w:val="bottom"/>
            <w:hideMark/>
          </w:tcPr>
          <w:p w14:paraId="68484F3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29" w:type="dxa"/>
            <w:tcBorders>
              <w:top w:val="nil"/>
              <w:left w:val="nil"/>
              <w:bottom w:val="single" w:sz="8" w:space="0" w:color="auto"/>
              <w:right w:val="nil"/>
            </w:tcBorders>
            <w:noWrap/>
            <w:vAlign w:val="bottom"/>
            <w:hideMark/>
          </w:tcPr>
          <w:p w14:paraId="3914B96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96" w:type="dxa"/>
            <w:tcBorders>
              <w:top w:val="nil"/>
              <w:left w:val="nil"/>
              <w:bottom w:val="single" w:sz="8" w:space="0" w:color="auto"/>
              <w:right w:val="nil"/>
            </w:tcBorders>
            <w:noWrap/>
            <w:vAlign w:val="bottom"/>
            <w:hideMark/>
          </w:tcPr>
          <w:p w14:paraId="6B19102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93" w:type="dxa"/>
            <w:tcBorders>
              <w:top w:val="nil"/>
              <w:left w:val="nil"/>
              <w:bottom w:val="single" w:sz="8" w:space="0" w:color="auto"/>
              <w:right w:val="nil"/>
            </w:tcBorders>
            <w:noWrap/>
            <w:vAlign w:val="bottom"/>
            <w:hideMark/>
          </w:tcPr>
          <w:p w14:paraId="3B8ED9A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93" w:type="dxa"/>
            <w:tcBorders>
              <w:top w:val="nil"/>
              <w:left w:val="nil"/>
              <w:bottom w:val="single" w:sz="8" w:space="0" w:color="auto"/>
              <w:right w:val="nil"/>
            </w:tcBorders>
            <w:noWrap/>
            <w:vAlign w:val="bottom"/>
            <w:hideMark/>
          </w:tcPr>
          <w:p w14:paraId="723FC76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13D0E8E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5083816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6008B2B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48BE312A"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nil"/>
            </w:tcBorders>
            <w:noWrap/>
            <w:vAlign w:val="bottom"/>
            <w:hideMark/>
          </w:tcPr>
          <w:p w14:paraId="4370E1B0"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single" w:sz="8" w:space="0" w:color="auto"/>
            </w:tcBorders>
            <w:noWrap/>
            <w:vAlign w:val="bottom"/>
            <w:hideMark/>
          </w:tcPr>
          <w:p w14:paraId="5C8EF713"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5FFDCD7D" w14:textId="77777777" w:rsidTr="00EA0FD7">
        <w:trPr>
          <w:trHeight w:val="240"/>
        </w:trPr>
        <w:tc>
          <w:tcPr>
            <w:tcW w:w="1177" w:type="dxa"/>
            <w:tcBorders>
              <w:top w:val="nil"/>
              <w:left w:val="single" w:sz="8" w:space="0" w:color="auto"/>
              <w:bottom w:val="single" w:sz="8" w:space="0" w:color="auto"/>
              <w:right w:val="single" w:sz="8" w:space="0" w:color="auto"/>
            </w:tcBorders>
            <w:noWrap/>
            <w:vAlign w:val="bottom"/>
            <w:hideMark/>
          </w:tcPr>
          <w:p w14:paraId="48D7E1A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29" w:type="dxa"/>
            <w:tcBorders>
              <w:top w:val="nil"/>
              <w:left w:val="nil"/>
              <w:bottom w:val="single" w:sz="8" w:space="0" w:color="auto"/>
              <w:right w:val="single" w:sz="8" w:space="0" w:color="auto"/>
            </w:tcBorders>
            <w:noWrap/>
            <w:vAlign w:val="bottom"/>
            <w:hideMark/>
          </w:tcPr>
          <w:p w14:paraId="1CF9C66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396" w:type="dxa"/>
            <w:tcBorders>
              <w:top w:val="nil"/>
              <w:left w:val="nil"/>
              <w:bottom w:val="single" w:sz="8" w:space="0" w:color="auto"/>
              <w:right w:val="single" w:sz="8" w:space="0" w:color="auto"/>
            </w:tcBorders>
            <w:noWrap/>
            <w:vAlign w:val="bottom"/>
            <w:hideMark/>
          </w:tcPr>
          <w:p w14:paraId="353C158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81</w:t>
            </w:r>
          </w:p>
        </w:tc>
        <w:tc>
          <w:tcPr>
            <w:tcW w:w="1393" w:type="dxa"/>
            <w:tcBorders>
              <w:top w:val="nil"/>
              <w:left w:val="nil"/>
              <w:bottom w:val="single" w:sz="8" w:space="0" w:color="auto"/>
              <w:right w:val="single" w:sz="8" w:space="0" w:color="auto"/>
            </w:tcBorders>
            <w:noWrap/>
            <w:vAlign w:val="bottom"/>
            <w:hideMark/>
          </w:tcPr>
          <w:p w14:paraId="5D1204C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76</w:t>
            </w:r>
          </w:p>
        </w:tc>
        <w:tc>
          <w:tcPr>
            <w:tcW w:w="1393" w:type="dxa"/>
            <w:tcBorders>
              <w:top w:val="nil"/>
              <w:left w:val="nil"/>
              <w:bottom w:val="single" w:sz="8" w:space="0" w:color="auto"/>
              <w:right w:val="single" w:sz="8" w:space="0" w:color="auto"/>
            </w:tcBorders>
            <w:noWrap/>
            <w:vAlign w:val="bottom"/>
            <w:hideMark/>
          </w:tcPr>
          <w:p w14:paraId="174D228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83</w:t>
            </w:r>
          </w:p>
        </w:tc>
        <w:tc>
          <w:tcPr>
            <w:tcW w:w="1316" w:type="dxa"/>
            <w:tcBorders>
              <w:top w:val="nil"/>
              <w:left w:val="nil"/>
              <w:bottom w:val="single" w:sz="8" w:space="0" w:color="auto"/>
              <w:right w:val="single" w:sz="8" w:space="0" w:color="auto"/>
            </w:tcBorders>
            <w:noWrap/>
            <w:vAlign w:val="bottom"/>
            <w:hideMark/>
          </w:tcPr>
          <w:p w14:paraId="05315FC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85</w:t>
            </w:r>
          </w:p>
        </w:tc>
        <w:tc>
          <w:tcPr>
            <w:tcW w:w="1316" w:type="dxa"/>
            <w:tcBorders>
              <w:top w:val="nil"/>
              <w:left w:val="nil"/>
              <w:bottom w:val="single" w:sz="8" w:space="0" w:color="auto"/>
              <w:right w:val="single" w:sz="8" w:space="0" w:color="auto"/>
            </w:tcBorders>
            <w:noWrap/>
            <w:vAlign w:val="bottom"/>
            <w:hideMark/>
          </w:tcPr>
          <w:p w14:paraId="5234B9A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85</w:t>
            </w:r>
          </w:p>
        </w:tc>
        <w:tc>
          <w:tcPr>
            <w:tcW w:w="1316" w:type="dxa"/>
            <w:tcBorders>
              <w:top w:val="nil"/>
              <w:left w:val="nil"/>
              <w:bottom w:val="single" w:sz="8" w:space="0" w:color="auto"/>
              <w:right w:val="single" w:sz="8" w:space="0" w:color="auto"/>
            </w:tcBorders>
            <w:noWrap/>
            <w:vAlign w:val="bottom"/>
            <w:hideMark/>
          </w:tcPr>
          <w:p w14:paraId="4BC3EDE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85</w:t>
            </w:r>
          </w:p>
        </w:tc>
        <w:tc>
          <w:tcPr>
            <w:tcW w:w="1316" w:type="dxa"/>
            <w:tcBorders>
              <w:top w:val="nil"/>
              <w:left w:val="nil"/>
              <w:bottom w:val="single" w:sz="8" w:space="0" w:color="auto"/>
              <w:right w:val="single" w:sz="8" w:space="0" w:color="auto"/>
            </w:tcBorders>
            <w:noWrap/>
            <w:vAlign w:val="bottom"/>
            <w:hideMark/>
          </w:tcPr>
          <w:p w14:paraId="368A786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83</w:t>
            </w:r>
          </w:p>
        </w:tc>
        <w:tc>
          <w:tcPr>
            <w:tcW w:w="1316" w:type="dxa"/>
            <w:tcBorders>
              <w:top w:val="nil"/>
              <w:left w:val="nil"/>
              <w:bottom w:val="single" w:sz="8" w:space="0" w:color="auto"/>
              <w:right w:val="single" w:sz="8" w:space="0" w:color="auto"/>
            </w:tcBorders>
            <w:noWrap/>
            <w:vAlign w:val="bottom"/>
            <w:hideMark/>
          </w:tcPr>
          <w:p w14:paraId="7939FE2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83</w:t>
            </w:r>
          </w:p>
        </w:tc>
        <w:tc>
          <w:tcPr>
            <w:tcW w:w="1316" w:type="dxa"/>
            <w:tcBorders>
              <w:top w:val="nil"/>
              <w:left w:val="nil"/>
              <w:bottom w:val="single" w:sz="8" w:space="0" w:color="auto"/>
              <w:right w:val="single" w:sz="8" w:space="0" w:color="auto"/>
            </w:tcBorders>
            <w:noWrap/>
            <w:vAlign w:val="bottom"/>
            <w:hideMark/>
          </w:tcPr>
          <w:p w14:paraId="40D900B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83</w:t>
            </w:r>
          </w:p>
        </w:tc>
      </w:tr>
      <w:tr w:rsidR="00EA0FD7" w:rsidRPr="00EA0FD7" w14:paraId="77E74D6D" w14:textId="77777777" w:rsidTr="00EA0FD7">
        <w:trPr>
          <w:trHeight w:val="240"/>
        </w:trPr>
        <w:tc>
          <w:tcPr>
            <w:tcW w:w="1177" w:type="dxa"/>
            <w:noWrap/>
            <w:vAlign w:val="bottom"/>
          </w:tcPr>
          <w:p w14:paraId="26C12029"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2429" w:type="dxa"/>
            <w:noWrap/>
            <w:vAlign w:val="bottom"/>
          </w:tcPr>
          <w:p w14:paraId="59FB8003"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96" w:type="dxa"/>
            <w:noWrap/>
            <w:vAlign w:val="bottom"/>
          </w:tcPr>
          <w:p w14:paraId="206AD8FF"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93" w:type="dxa"/>
            <w:noWrap/>
            <w:vAlign w:val="bottom"/>
          </w:tcPr>
          <w:p w14:paraId="3E13635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p>
        </w:tc>
        <w:tc>
          <w:tcPr>
            <w:tcW w:w="1393" w:type="dxa"/>
            <w:noWrap/>
            <w:vAlign w:val="bottom"/>
          </w:tcPr>
          <w:p w14:paraId="08D5C224"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0B859CE6"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1FE0D16A"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0ECE8948"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2475445B"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41CC2F8D"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5148FB8E" w14:textId="77777777" w:rsidR="00EA0FD7" w:rsidRPr="00EA0FD7" w:rsidRDefault="00EA0FD7" w:rsidP="00EA0FD7">
            <w:pPr>
              <w:spacing w:after="0" w:line="240" w:lineRule="auto"/>
              <w:rPr>
                <w:rFonts w:ascii="Arial" w:eastAsia="Times New Roman" w:hAnsi="Arial" w:cs="Arial"/>
                <w:b/>
                <w:bCs/>
                <w:sz w:val="18"/>
                <w:szCs w:val="18"/>
                <w:lang w:val="sr-Cyrl-RS"/>
              </w:rPr>
            </w:pPr>
          </w:p>
        </w:tc>
      </w:tr>
      <w:tr w:rsidR="00EA0FD7" w:rsidRPr="00EA0FD7" w14:paraId="1B512C48" w14:textId="77777777" w:rsidTr="00EA0FD7">
        <w:trPr>
          <w:trHeight w:val="360"/>
        </w:trPr>
        <w:tc>
          <w:tcPr>
            <w:tcW w:w="7788" w:type="dxa"/>
            <w:gridSpan w:val="5"/>
            <w:tcBorders>
              <w:top w:val="nil"/>
              <w:left w:val="nil"/>
              <w:bottom w:val="single" w:sz="8" w:space="0" w:color="auto"/>
              <w:right w:val="nil"/>
            </w:tcBorders>
            <w:noWrap/>
            <w:vAlign w:val="bottom"/>
            <w:hideMark/>
          </w:tcPr>
          <w:p w14:paraId="7F923C70" w14:textId="4366EB2E"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19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ОДЈЕЉЕЊЕ ЗА ЗДРАВСТВО И ОСТАЛЕ УСЛУГЕ</w:t>
            </w:r>
          </w:p>
        </w:tc>
        <w:tc>
          <w:tcPr>
            <w:tcW w:w="1316" w:type="dxa"/>
            <w:noWrap/>
            <w:vAlign w:val="bottom"/>
          </w:tcPr>
          <w:p w14:paraId="28259FFB"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46772D6F"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6516DF94"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398C0BF4"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4CB36BA7"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1A35C19C"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1E326477" w14:textId="77777777" w:rsidTr="00EA0FD7">
        <w:trPr>
          <w:trHeight w:val="300"/>
        </w:trPr>
        <w:tc>
          <w:tcPr>
            <w:tcW w:w="1177" w:type="dxa"/>
            <w:vMerge w:val="restart"/>
            <w:tcBorders>
              <w:top w:val="nil"/>
              <w:left w:val="single" w:sz="8" w:space="0" w:color="auto"/>
              <w:bottom w:val="single" w:sz="8" w:space="0" w:color="000000"/>
              <w:right w:val="single" w:sz="8" w:space="0" w:color="auto"/>
            </w:tcBorders>
            <w:shd w:val="clear" w:color="auto" w:fill="808080"/>
            <w:vAlign w:val="center"/>
            <w:hideMark/>
          </w:tcPr>
          <w:p w14:paraId="141C78E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429" w:type="dxa"/>
            <w:vMerge w:val="restart"/>
            <w:tcBorders>
              <w:top w:val="nil"/>
              <w:left w:val="single" w:sz="8" w:space="0" w:color="auto"/>
              <w:bottom w:val="single" w:sz="8" w:space="0" w:color="000000"/>
              <w:right w:val="single" w:sz="8" w:space="0" w:color="auto"/>
            </w:tcBorders>
            <w:shd w:val="clear" w:color="auto" w:fill="808080"/>
            <w:vAlign w:val="center"/>
            <w:hideMark/>
          </w:tcPr>
          <w:p w14:paraId="23564ED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396" w:type="dxa"/>
            <w:vMerge w:val="restart"/>
            <w:tcBorders>
              <w:top w:val="nil"/>
              <w:left w:val="single" w:sz="8" w:space="0" w:color="auto"/>
              <w:bottom w:val="single" w:sz="8" w:space="0" w:color="000000"/>
              <w:right w:val="single" w:sz="8" w:space="0" w:color="auto"/>
            </w:tcBorders>
            <w:shd w:val="clear" w:color="auto" w:fill="808080"/>
            <w:vAlign w:val="center"/>
            <w:hideMark/>
          </w:tcPr>
          <w:p w14:paraId="411A842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393" w:type="dxa"/>
            <w:vMerge w:val="restart"/>
            <w:tcBorders>
              <w:top w:val="nil"/>
              <w:left w:val="single" w:sz="8" w:space="0" w:color="auto"/>
              <w:bottom w:val="single" w:sz="8" w:space="0" w:color="000000"/>
              <w:right w:val="single" w:sz="8" w:space="0" w:color="auto"/>
            </w:tcBorders>
            <w:shd w:val="clear" w:color="auto" w:fill="808080"/>
            <w:vAlign w:val="center"/>
            <w:hideMark/>
          </w:tcPr>
          <w:p w14:paraId="314D09B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93" w:type="dxa"/>
            <w:vMerge w:val="restart"/>
            <w:tcBorders>
              <w:top w:val="nil"/>
              <w:left w:val="single" w:sz="8" w:space="0" w:color="auto"/>
              <w:bottom w:val="single" w:sz="8" w:space="0" w:color="000000"/>
              <w:right w:val="single" w:sz="8" w:space="0" w:color="auto"/>
            </w:tcBorders>
            <w:shd w:val="clear" w:color="auto" w:fill="808080"/>
            <w:vAlign w:val="center"/>
            <w:hideMark/>
          </w:tcPr>
          <w:p w14:paraId="737B604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5F28EAE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3FC9078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047DC6B7"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0E44F955"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071DEC07"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21F47A39"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3B01A098"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487AB06C"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tcBorders>
              <w:top w:val="nil"/>
              <w:left w:val="nil"/>
              <w:bottom w:val="single" w:sz="8" w:space="0" w:color="auto"/>
              <w:right w:val="single" w:sz="4" w:space="0" w:color="auto"/>
            </w:tcBorders>
            <w:shd w:val="clear" w:color="auto" w:fill="808080"/>
            <w:noWrap/>
            <w:vAlign w:val="center"/>
            <w:hideMark/>
          </w:tcPr>
          <w:p w14:paraId="25CF0AD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12DF60E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1E962BE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tcBorders>
              <w:top w:val="nil"/>
              <w:left w:val="nil"/>
              <w:bottom w:val="single" w:sz="8" w:space="0" w:color="auto"/>
              <w:right w:val="single" w:sz="4" w:space="0" w:color="auto"/>
            </w:tcBorders>
            <w:shd w:val="clear" w:color="auto" w:fill="808080"/>
            <w:noWrap/>
            <w:vAlign w:val="center"/>
            <w:hideMark/>
          </w:tcPr>
          <w:p w14:paraId="021E3108"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5B4BAEA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0178706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0E8CE467" w14:textId="77777777" w:rsidTr="00EA0FD7">
        <w:trPr>
          <w:trHeight w:val="240"/>
        </w:trPr>
        <w:tc>
          <w:tcPr>
            <w:tcW w:w="1177" w:type="dxa"/>
            <w:tcBorders>
              <w:top w:val="nil"/>
              <w:left w:val="single" w:sz="8" w:space="0" w:color="auto"/>
              <w:bottom w:val="single" w:sz="4" w:space="0" w:color="auto"/>
              <w:right w:val="single" w:sz="4" w:space="0" w:color="auto"/>
            </w:tcBorders>
            <w:noWrap/>
            <w:vAlign w:val="bottom"/>
            <w:hideMark/>
          </w:tcPr>
          <w:p w14:paraId="683D080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29" w:type="dxa"/>
            <w:tcBorders>
              <w:top w:val="nil"/>
              <w:left w:val="nil"/>
              <w:bottom w:val="single" w:sz="4" w:space="0" w:color="auto"/>
              <w:right w:val="single" w:sz="4" w:space="0" w:color="auto"/>
            </w:tcBorders>
            <w:noWrap/>
            <w:vAlign w:val="bottom"/>
            <w:hideMark/>
          </w:tcPr>
          <w:p w14:paraId="086A376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396" w:type="dxa"/>
            <w:tcBorders>
              <w:top w:val="nil"/>
              <w:left w:val="nil"/>
              <w:bottom w:val="single" w:sz="4" w:space="0" w:color="auto"/>
              <w:right w:val="single" w:sz="4" w:space="0" w:color="auto"/>
            </w:tcBorders>
            <w:noWrap/>
            <w:vAlign w:val="bottom"/>
            <w:hideMark/>
          </w:tcPr>
          <w:p w14:paraId="6DDBC40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93" w:type="dxa"/>
            <w:tcBorders>
              <w:top w:val="nil"/>
              <w:left w:val="nil"/>
              <w:bottom w:val="single" w:sz="4" w:space="0" w:color="auto"/>
              <w:right w:val="single" w:sz="4" w:space="0" w:color="auto"/>
            </w:tcBorders>
            <w:noWrap/>
            <w:vAlign w:val="bottom"/>
            <w:hideMark/>
          </w:tcPr>
          <w:p w14:paraId="22FD26E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93" w:type="dxa"/>
            <w:tcBorders>
              <w:top w:val="nil"/>
              <w:left w:val="nil"/>
              <w:bottom w:val="single" w:sz="4" w:space="0" w:color="auto"/>
              <w:right w:val="single" w:sz="4" w:space="0" w:color="auto"/>
            </w:tcBorders>
            <w:noWrap/>
            <w:vAlign w:val="bottom"/>
            <w:hideMark/>
          </w:tcPr>
          <w:p w14:paraId="64CB23D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602AF5D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6B25901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1B16C16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5305E1C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23B3A84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8" w:space="0" w:color="auto"/>
            </w:tcBorders>
            <w:noWrap/>
            <w:vAlign w:val="bottom"/>
            <w:hideMark/>
          </w:tcPr>
          <w:p w14:paraId="3E4C420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0893822F" w14:textId="77777777" w:rsidTr="00EA0FD7">
        <w:trPr>
          <w:trHeight w:val="480"/>
        </w:trPr>
        <w:tc>
          <w:tcPr>
            <w:tcW w:w="1177" w:type="dxa"/>
            <w:tcBorders>
              <w:top w:val="nil"/>
              <w:left w:val="single" w:sz="8" w:space="0" w:color="auto"/>
              <w:bottom w:val="single" w:sz="4" w:space="0" w:color="auto"/>
              <w:right w:val="single" w:sz="4" w:space="0" w:color="auto"/>
            </w:tcBorders>
            <w:vAlign w:val="bottom"/>
            <w:hideMark/>
          </w:tcPr>
          <w:p w14:paraId="4E22F43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429" w:type="dxa"/>
            <w:tcBorders>
              <w:top w:val="nil"/>
              <w:left w:val="nil"/>
              <w:bottom w:val="single" w:sz="4" w:space="0" w:color="auto"/>
              <w:right w:val="single" w:sz="4" w:space="0" w:color="auto"/>
            </w:tcBorders>
            <w:vAlign w:val="bottom"/>
            <w:hideMark/>
          </w:tcPr>
          <w:p w14:paraId="2DFF0585"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396" w:type="dxa"/>
            <w:tcBorders>
              <w:top w:val="nil"/>
              <w:left w:val="nil"/>
              <w:bottom w:val="single" w:sz="4" w:space="0" w:color="auto"/>
              <w:right w:val="single" w:sz="4" w:space="0" w:color="auto"/>
            </w:tcBorders>
            <w:noWrap/>
            <w:vAlign w:val="bottom"/>
            <w:hideMark/>
          </w:tcPr>
          <w:p w14:paraId="2B83939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2,174,417.85</w:t>
            </w:r>
          </w:p>
        </w:tc>
        <w:tc>
          <w:tcPr>
            <w:tcW w:w="1393" w:type="dxa"/>
            <w:tcBorders>
              <w:top w:val="nil"/>
              <w:left w:val="nil"/>
              <w:bottom w:val="single" w:sz="4" w:space="0" w:color="auto"/>
              <w:right w:val="single" w:sz="4" w:space="0" w:color="auto"/>
            </w:tcBorders>
            <w:noWrap/>
            <w:vAlign w:val="bottom"/>
            <w:hideMark/>
          </w:tcPr>
          <w:p w14:paraId="71C2AEC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2,026,447.31</w:t>
            </w:r>
          </w:p>
        </w:tc>
        <w:tc>
          <w:tcPr>
            <w:tcW w:w="1393" w:type="dxa"/>
            <w:tcBorders>
              <w:top w:val="nil"/>
              <w:left w:val="nil"/>
              <w:bottom w:val="single" w:sz="4" w:space="0" w:color="auto"/>
              <w:right w:val="single" w:sz="4" w:space="0" w:color="auto"/>
            </w:tcBorders>
            <w:noWrap/>
            <w:vAlign w:val="bottom"/>
            <w:hideMark/>
          </w:tcPr>
          <w:p w14:paraId="54B7B95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2,820,632.93</w:t>
            </w:r>
          </w:p>
        </w:tc>
        <w:tc>
          <w:tcPr>
            <w:tcW w:w="1316" w:type="dxa"/>
            <w:tcBorders>
              <w:top w:val="nil"/>
              <w:left w:val="nil"/>
              <w:bottom w:val="single" w:sz="4" w:space="0" w:color="auto"/>
              <w:right w:val="single" w:sz="4" w:space="0" w:color="auto"/>
            </w:tcBorders>
            <w:noWrap/>
            <w:vAlign w:val="bottom"/>
            <w:hideMark/>
          </w:tcPr>
          <w:p w14:paraId="274F4A7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3,151,517</w:t>
            </w:r>
          </w:p>
        </w:tc>
        <w:tc>
          <w:tcPr>
            <w:tcW w:w="1316" w:type="dxa"/>
            <w:tcBorders>
              <w:top w:val="nil"/>
              <w:left w:val="nil"/>
              <w:bottom w:val="single" w:sz="4" w:space="0" w:color="auto"/>
              <w:right w:val="single" w:sz="4" w:space="0" w:color="auto"/>
            </w:tcBorders>
            <w:noWrap/>
            <w:vAlign w:val="bottom"/>
            <w:hideMark/>
          </w:tcPr>
          <w:p w14:paraId="27E80EE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3,188,101</w:t>
            </w:r>
          </w:p>
        </w:tc>
        <w:tc>
          <w:tcPr>
            <w:tcW w:w="1316" w:type="dxa"/>
            <w:tcBorders>
              <w:top w:val="nil"/>
              <w:left w:val="nil"/>
              <w:bottom w:val="single" w:sz="4" w:space="0" w:color="auto"/>
              <w:right w:val="single" w:sz="4" w:space="0" w:color="auto"/>
            </w:tcBorders>
            <w:noWrap/>
            <w:vAlign w:val="bottom"/>
            <w:hideMark/>
          </w:tcPr>
          <w:p w14:paraId="0C9131D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3,192,423</w:t>
            </w:r>
          </w:p>
        </w:tc>
        <w:tc>
          <w:tcPr>
            <w:tcW w:w="1316" w:type="dxa"/>
            <w:tcBorders>
              <w:top w:val="nil"/>
              <w:left w:val="nil"/>
              <w:bottom w:val="single" w:sz="4" w:space="0" w:color="auto"/>
              <w:right w:val="single" w:sz="4" w:space="0" w:color="auto"/>
            </w:tcBorders>
            <w:noWrap/>
            <w:vAlign w:val="bottom"/>
            <w:hideMark/>
          </w:tcPr>
          <w:p w14:paraId="393241E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3,060,481</w:t>
            </w:r>
          </w:p>
        </w:tc>
        <w:tc>
          <w:tcPr>
            <w:tcW w:w="1316" w:type="dxa"/>
            <w:tcBorders>
              <w:top w:val="nil"/>
              <w:left w:val="nil"/>
              <w:bottom w:val="single" w:sz="4" w:space="0" w:color="auto"/>
              <w:right w:val="single" w:sz="4" w:space="0" w:color="auto"/>
            </w:tcBorders>
            <w:noWrap/>
            <w:vAlign w:val="bottom"/>
            <w:hideMark/>
          </w:tcPr>
          <w:p w14:paraId="5817F0B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3,097,064</w:t>
            </w:r>
          </w:p>
        </w:tc>
        <w:tc>
          <w:tcPr>
            <w:tcW w:w="1316" w:type="dxa"/>
            <w:tcBorders>
              <w:top w:val="nil"/>
              <w:left w:val="nil"/>
              <w:bottom w:val="single" w:sz="4" w:space="0" w:color="auto"/>
              <w:right w:val="single" w:sz="4" w:space="0" w:color="auto"/>
            </w:tcBorders>
            <w:noWrap/>
            <w:vAlign w:val="bottom"/>
            <w:hideMark/>
          </w:tcPr>
          <w:p w14:paraId="297BAC7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3,101,386</w:t>
            </w:r>
          </w:p>
        </w:tc>
      </w:tr>
      <w:tr w:rsidR="00EA0FD7" w:rsidRPr="00EA0FD7" w14:paraId="3DF3ECE4" w14:textId="77777777" w:rsidTr="00EA0FD7">
        <w:trPr>
          <w:trHeight w:val="240"/>
        </w:trPr>
        <w:tc>
          <w:tcPr>
            <w:tcW w:w="1177" w:type="dxa"/>
            <w:tcBorders>
              <w:top w:val="nil"/>
              <w:left w:val="single" w:sz="8" w:space="0" w:color="auto"/>
              <w:bottom w:val="single" w:sz="4" w:space="0" w:color="auto"/>
              <w:right w:val="single" w:sz="4" w:space="0" w:color="auto"/>
            </w:tcBorders>
            <w:noWrap/>
            <w:vAlign w:val="bottom"/>
            <w:hideMark/>
          </w:tcPr>
          <w:p w14:paraId="1DF606B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611200</w:t>
            </w:r>
          </w:p>
        </w:tc>
        <w:tc>
          <w:tcPr>
            <w:tcW w:w="2429" w:type="dxa"/>
            <w:tcBorders>
              <w:top w:val="nil"/>
              <w:left w:val="nil"/>
              <w:bottom w:val="single" w:sz="4" w:space="0" w:color="auto"/>
              <w:right w:val="single" w:sz="4" w:space="0" w:color="auto"/>
            </w:tcBorders>
            <w:vAlign w:val="bottom"/>
            <w:hideMark/>
          </w:tcPr>
          <w:p w14:paraId="026C5275"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396" w:type="dxa"/>
            <w:tcBorders>
              <w:top w:val="nil"/>
              <w:left w:val="nil"/>
              <w:bottom w:val="single" w:sz="4" w:space="0" w:color="auto"/>
              <w:right w:val="single" w:sz="4" w:space="0" w:color="auto"/>
            </w:tcBorders>
            <w:noWrap/>
            <w:vAlign w:val="bottom"/>
            <w:hideMark/>
          </w:tcPr>
          <w:p w14:paraId="10A3F9E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91,132.00</w:t>
            </w:r>
          </w:p>
        </w:tc>
        <w:tc>
          <w:tcPr>
            <w:tcW w:w="1393" w:type="dxa"/>
            <w:tcBorders>
              <w:top w:val="nil"/>
              <w:left w:val="nil"/>
              <w:bottom w:val="single" w:sz="4" w:space="0" w:color="auto"/>
              <w:right w:val="single" w:sz="4" w:space="0" w:color="auto"/>
            </w:tcBorders>
            <w:noWrap/>
            <w:vAlign w:val="bottom"/>
            <w:hideMark/>
          </w:tcPr>
          <w:p w14:paraId="7DB774A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41,974.99</w:t>
            </w:r>
          </w:p>
        </w:tc>
        <w:tc>
          <w:tcPr>
            <w:tcW w:w="1393" w:type="dxa"/>
            <w:tcBorders>
              <w:top w:val="nil"/>
              <w:left w:val="nil"/>
              <w:bottom w:val="single" w:sz="4" w:space="0" w:color="auto"/>
              <w:right w:val="single" w:sz="4" w:space="0" w:color="auto"/>
            </w:tcBorders>
            <w:noWrap/>
            <w:vAlign w:val="bottom"/>
            <w:hideMark/>
          </w:tcPr>
          <w:p w14:paraId="02040C8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205,487.00</w:t>
            </w:r>
          </w:p>
        </w:tc>
        <w:tc>
          <w:tcPr>
            <w:tcW w:w="1316" w:type="dxa"/>
            <w:tcBorders>
              <w:top w:val="nil"/>
              <w:left w:val="nil"/>
              <w:bottom w:val="nil"/>
              <w:right w:val="single" w:sz="4" w:space="0" w:color="auto"/>
            </w:tcBorders>
            <w:noWrap/>
            <w:vAlign w:val="bottom"/>
            <w:hideMark/>
          </w:tcPr>
          <w:p w14:paraId="7062793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206,934</w:t>
            </w:r>
          </w:p>
        </w:tc>
        <w:tc>
          <w:tcPr>
            <w:tcW w:w="1316" w:type="dxa"/>
            <w:tcBorders>
              <w:top w:val="nil"/>
              <w:left w:val="nil"/>
              <w:bottom w:val="single" w:sz="4" w:space="0" w:color="auto"/>
              <w:right w:val="single" w:sz="4" w:space="0" w:color="auto"/>
            </w:tcBorders>
            <w:noWrap/>
            <w:vAlign w:val="bottom"/>
            <w:hideMark/>
          </w:tcPr>
          <w:p w14:paraId="0CD1978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204,648</w:t>
            </w:r>
          </w:p>
        </w:tc>
        <w:tc>
          <w:tcPr>
            <w:tcW w:w="1316" w:type="dxa"/>
            <w:tcBorders>
              <w:top w:val="nil"/>
              <w:left w:val="nil"/>
              <w:bottom w:val="single" w:sz="4" w:space="0" w:color="auto"/>
              <w:right w:val="single" w:sz="4" w:space="0" w:color="auto"/>
            </w:tcBorders>
            <w:noWrap/>
            <w:vAlign w:val="bottom"/>
            <w:hideMark/>
          </w:tcPr>
          <w:p w14:paraId="5FAE6DA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219,897</w:t>
            </w:r>
          </w:p>
        </w:tc>
        <w:tc>
          <w:tcPr>
            <w:tcW w:w="1316" w:type="dxa"/>
            <w:tcBorders>
              <w:top w:val="nil"/>
              <w:left w:val="nil"/>
              <w:bottom w:val="nil"/>
              <w:right w:val="single" w:sz="4" w:space="0" w:color="auto"/>
            </w:tcBorders>
            <w:noWrap/>
            <w:vAlign w:val="bottom"/>
            <w:hideMark/>
          </w:tcPr>
          <w:p w14:paraId="41B1A38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199,014</w:t>
            </w:r>
          </w:p>
        </w:tc>
        <w:tc>
          <w:tcPr>
            <w:tcW w:w="1316" w:type="dxa"/>
            <w:tcBorders>
              <w:top w:val="nil"/>
              <w:left w:val="nil"/>
              <w:bottom w:val="single" w:sz="4" w:space="0" w:color="auto"/>
              <w:right w:val="single" w:sz="4" w:space="0" w:color="auto"/>
            </w:tcBorders>
            <w:noWrap/>
            <w:vAlign w:val="bottom"/>
            <w:hideMark/>
          </w:tcPr>
          <w:p w14:paraId="56DBD95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196,728</w:t>
            </w:r>
          </w:p>
        </w:tc>
        <w:tc>
          <w:tcPr>
            <w:tcW w:w="1316" w:type="dxa"/>
            <w:tcBorders>
              <w:top w:val="nil"/>
              <w:left w:val="nil"/>
              <w:bottom w:val="single" w:sz="4" w:space="0" w:color="auto"/>
              <w:right w:val="single" w:sz="4" w:space="0" w:color="auto"/>
            </w:tcBorders>
            <w:noWrap/>
            <w:vAlign w:val="bottom"/>
            <w:hideMark/>
          </w:tcPr>
          <w:p w14:paraId="4B2DFA9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211,977</w:t>
            </w:r>
          </w:p>
        </w:tc>
      </w:tr>
      <w:tr w:rsidR="00EA0FD7" w:rsidRPr="00EA0FD7" w14:paraId="637A0634" w14:textId="77777777" w:rsidTr="00EA0FD7">
        <w:trPr>
          <w:trHeight w:val="480"/>
        </w:trPr>
        <w:tc>
          <w:tcPr>
            <w:tcW w:w="1177" w:type="dxa"/>
            <w:tcBorders>
              <w:top w:val="nil"/>
              <w:left w:val="single" w:sz="8" w:space="0" w:color="auto"/>
              <w:bottom w:val="single" w:sz="4" w:space="0" w:color="auto"/>
              <w:right w:val="single" w:sz="4" w:space="0" w:color="auto"/>
            </w:tcBorders>
            <w:noWrap/>
            <w:vAlign w:val="bottom"/>
            <w:hideMark/>
          </w:tcPr>
          <w:p w14:paraId="51D3C5D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429" w:type="dxa"/>
            <w:tcBorders>
              <w:top w:val="nil"/>
              <w:left w:val="nil"/>
              <w:bottom w:val="single" w:sz="4" w:space="0" w:color="auto"/>
              <w:right w:val="single" w:sz="4" w:space="0" w:color="auto"/>
            </w:tcBorders>
            <w:vAlign w:val="bottom"/>
            <w:hideMark/>
          </w:tcPr>
          <w:p w14:paraId="445988DF"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396" w:type="dxa"/>
            <w:tcBorders>
              <w:top w:val="nil"/>
              <w:left w:val="nil"/>
              <w:bottom w:val="single" w:sz="4" w:space="0" w:color="auto"/>
              <w:right w:val="single" w:sz="4" w:space="0" w:color="auto"/>
            </w:tcBorders>
            <w:noWrap/>
            <w:vAlign w:val="bottom"/>
            <w:hideMark/>
          </w:tcPr>
          <w:p w14:paraId="39E49C9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7,107,260.00</w:t>
            </w:r>
          </w:p>
        </w:tc>
        <w:tc>
          <w:tcPr>
            <w:tcW w:w="1393" w:type="dxa"/>
            <w:tcBorders>
              <w:top w:val="nil"/>
              <w:left w:val="nil"/>
              <w:bottom w:val="single" w:sz="4" w:space="0" w:color="auto"/>
              <w:right w:val="single" w:sz="4" w:space="0" w:color="auto"/>
            </w:tcBorders>
            <w:noWrap/>
            <w:vAlign w:val="bottom"/>
            <w:hideMark/>
          </w:tcPr>
          <w:p w14:paraId="125834E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6,451,524.88</w:t>
            </w:r>
          </w:p>
        </w:tc>
        <w:tc>
          <w:tcPr>
            <w:tcW w:w="1393" w:type="dxa"/>
            <w:tcBorders>
              <w:top w:val="nil"/>
              <w:left w:val="nil"/>
              <w:bottom w:val="single" w:sz="4" w:space="0" w:color="auto"/>
              <w:right w:val="single" w:sz="4" w:space="0" w:color="auto"/>
            </w:tcBorders>
            <w:noWrap/>
            <w:vAlign w:val="bottom"/>
            <w:hideMark/>
          </w:tcPr>
          <w:p w14:paraId="5CF373C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6,320,760.00</w:t>
            </w:r>
          </w:p>
        </w:tc>
        <w:tc>
          <w:tcPr>
            <w:tcW w:w="1316" w:type="dxa"/>
            <w:tcBorders>
              <w:top w:val="single" w:sz="4" w:space="0" w:color="auto"/>
              <w:left w:val="nil"/>
              <w:bottom w:val="single" w:sz="4" w:space="0" w:color="auto"/>
              <w:right w:val="single" w:sz="4" w:space="0" w:color="auto"/>
            </w:tcBorders>
            <w:noWrap/>
            <w:vAlign w:val="bottom"/>
            <w:hideMark/>
          </w:tcPr>
          <w:p w14:paraId="02ACEFD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7,427,051</w:t>
            </w:r>
          </w:p>
        </w:tc>
        <w:tc>
          <w:tcPr>
            <w:tcW w:w="1316" w:type="dxa"/>
            <w:tcBorders>
              <w:top w:val="nil"/>
              <w:left w:val="nil"/>
              <w:bottom w:val="single" w:sz="4" w:space="0" w:color="auto"/>
              <w:right w:val="single" w:sz="4" w:space="0" w:color="auto"/>
            </w:tcBorders>
            <w:noWrap/>
            <w:vAlign w:val="bottom"/>
            <w:hideMark/>
          </w:tcPr>
          <w:p w14:paraId="3F7A939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7,427,051</w:t>
            </w:r>
          </w:p>
        </w:tc>
        <w:tc>
          <w:tcPr>
            <w:tcW w:w="1316" w:type="dxa"/>
            <w:tcBorders>
              <w:top w:val="nil"/>
              <w:left w:val="nil"/>
              <w:bottom w:val="single" w:sz="4" w:space="0" w:color="auto"/>
              <w:right w:val="single" w:sz="4" w:space="0" w:color="auto"/>
            </w:tcBorders>
            <w:noWrap/>
            <w:vAlign w:val="bottom"/>
            <w:hideMark/>
          </w:tcPr>
          <w:p w14:paraId="5C7D5C2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7,427,051</w:t>
            </w:r>
          </w:p>
        </w:tc>
        <w:tc>
          <w:tcPr>
            <w:tcW w:w="1316" w:type="dxa"/>
            <w:tcBorders>
              <w:top w:val="single" w:sz="4" w:space="0" w:color="auto"/>
              <w:left w:val="nil"/>
              <w:bottom w:val="single" w:sz="4" w:space="0" w:color="auto"/>
              <w:right w:val="single" w:sz="4" w:space="0" w:color="auto"/>
            </w:tcBorders>
            <w:noWrap/>
            <w:vAlign w:val="bottom"/>
            <w:hideMark/>
          </w:tcPr>
          <w:p w14:paraId="50443F0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6,707,735</w:t>
            </w:r>
          </w:p>
        </w:tc>
        <w:tc>
          <w:tcPr>
            <w:tcW w:w="1316" w:type="dxa"/>
            <w:tcBorders>
              <w:top w:val="nil"/>
              <w:left w:val="nil"/>
              <w:bottom w:val="single" w:sz="4" w:space="0" w:color="auto"/>
              <w:right w:val="single" w:sz="4" w:space="0" w:color="auto"/>
            </w:tcBorders>
            <w:noWrap/>
            <w:vAlign w:val="bottom"/>
            <w:hideMark/>
          </w:tcPr>
          <w:p w14:paraId="6532854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7,427,051</w:t>
            </w:r>
          </w:p>
        </w:tc>
        <w:tc>
          <w:tcPr>
            <w:tcW w:w="1316" w:type="dxa"/>
            <w:tcBorders>
              <w:top w:val="nil"/>
              <w:left w:val="nil"/>
              <w:bottom w:val="single" w:sz="4" w:space="0" w:color="auto"/>
              <w:right w:val="single" w:sz="4" w:space="0" w:color="auto"/>
            </w:tcBorders>
            <w:noWrap/>
            <w:vAlign w:val="bottom"/>
            <w:hideMark/>
          </w:tcPr>
          <w:p w14:paraId="5E2F9BD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7,427,051</w:t>
            </w:r>
          </w:p>
        </w:tc>
      </w:tr>
      <w:tr w:rsidR="00EA0FD7" w:rsidRPr="00EA0FD7" w14:paraId="68376C74" w14:textId="77777777" w:rsidTr="00EA0FD7">
        <w:trPr>
          <w:trHeight w:val="480"/>
        </w:trPr>
        <w:tc>
          <w:tcPr>
            <w:tcW w:w="1177" w:type="dxa"/>
            <w:tcBorders>
              <w:top w:val="nil"/>
              <w:left w:val="single" w:sz="8" w:space="0" w:color="auto"/>
              <w:bottom w:val="single" w:sz="4" w:space="0" w:color="auto"/>
              <w:right w:val="single" w:sz="4" w:space="0" w:color="auto"/>
            </w:tcBorders>
            <w:vAlign w:val="bottom"/>
            <w:hideMark/>
          </w:tcPr>
          <w:p w14:paraId="5B4CF23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614000</w:t>
            </w:r>
          </w:p>
        </w:tc>
        <w:tc>
          <w:tcPr>
            <w:tcW w:w="2429" w:type="dxa"/>
            <w:tcBorders>
              <w:top w:val="nil"/>
              <w:left w:val="nil"/>
              <w:bottom w:val="single" w:sz="4" w:space="0" w:color="auto"/>
              <w:right w:val="single" w:sz="4" w:space="0" w:color="auto"/>
            </w:tcBorders>
            <w:vAlign w:val="bottom"/>
            <w:hideMark/>
          </w:tcPr>
          <w:p w14:paraId="31F46B4A"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396" w:type="dxa"/>
            <w:tcBorders>
              <w:top w:val="nil"/>
              <w:left w:val="nil"/>
              <w:bottom w:val="single" w:sz="4" w:space="0" w:color="auto"/>
              <w:right w:val="single" w:sz="4" w:space="0" w:color="auto"/>
            </w:tcBorders>
            <w:noWrap/>
            <w:vAlign w:val="bottom"/>
            <w:hideMark/>
          </w:tcPr>
          <w:p w14:paraId="08C4CAC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51,467,900.00</w:t>
            </w:r>
          </w:p>
        </w:tc>
        <w:tc>
          <w:tcPr>
            <w:tcW w:w="1393" w:type="dxa"/>
            <w:tcBorders>
              <w:top w:val="nil"/>
              <w:left w:val="nil"/>
              <w:bottom w:val="single" w:sz="4" w:space="0" w:color="auto"/>
              <w:right w:val="single" w:sz="4" w:space="0" w:color="auto"/>
            </w:tcBorders>
            <w:noWrap/>
            <w:vAlign w:val="bottom"/>
            <w:hideMark/>
          </w:tcPr>
          <w:p w14:paraId="00A4066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49,751,887.24</w:t>
            </w:r>
          </w:p>
        </w:tc>
        <w:tc>
          <w:tcPr>
            <w:tcW w:w="1393" w:type="dxa"/>
            <w:tcBorders>
              <w:top w:val="nil"/>
              <w:left w:val="nil"/>
              <w:bottom w:val="single" w:sz="4" w:space="0" w:color="auto"/>
              <w:right w:val="single" w:sz="4" w:space="0" w:color="auto"/>
            </w:tcBorders>
            <w:noWrap/>
            <w:vAlign w:val="bottom"/>
            <w:hideMark/>
          </w:tcPr>
          <w:p w14:paraId="2F96ED5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51,573,700.00</w:t>
            </w:r>
          </w:p>
        </w:tc>
        <w:tc>
          <w:tcPr>
            <w:tcW w:w="1316" w:type="dxa"/>
            <w:tcBorders>
              <w:top w:val="nil"/>
              <w:left w:val="nil"/>
              <w:bottom w:val="single" w:sz="4" w:space="0" w:color="auto"/>
              <w:right w:val="single" w:sz="4" w:space="0" w:color="auto"/>
            </w:tcBorders>
            <w:noWrap/>
            <w:vAlign w:val="bottom"/>
            <w:hideMark/>
          </w:tcPr>
          <w:p w14:paraId="4C1C24D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56,022,433</w:t>
            </w:r>
          </w:p>
        </w:tc>
        <w:tc>
          <w:tcPr>
            <w:tcW w:w="1316" w:type="dxa"/>
            <w:tcBorders>
              <w:top w:val="nil"/>
              <w:left w:val="nil"/>
              <w:bottom w:val="single" w:sz="4" w:space="0" w:color="auto"/>
              <w:right w:val="single" w:sz="4" w:space="0" w:color="auto"/>
            </w:tcBorders>
            <w:noWrap/>
            <w:vAlign w:val="bottom"/>
            <w:hideMark/>
          </w:tcPr>
          <w:p w14:paraId="6EBDD8E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57,222,433</w:t>
            </w:r>
          </w:p>
        </w:tc>
        <w:tc>
          <w:tcPr>
            <w:tcW w:w="1316" w:type="dxa"/>
            <w:tcBorders>
              <w:top w:val="nil"/>
              <w:left w:val="nil"/>
              <w:bottom w:val="single" w:sz="4" w:space="0" w:color="auto"/>
              <w:right w:val="single" w:sz="4" w:space="0" w:color="auto"/>
            </w:tcBorders>
            <w:noWrap/>
            <w:vAlign w:val="bottom"/>
            <w:hideMark/>
          </w:tcPr>
          <w:p w14:paraId="04361BA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57,222,433</w:t>
            </w:r>
          </w:p>
        </w:tc>
        <w:tc>
          <w:tcPr>
            <w:tcW w:w="1316" w:type="dxa"/>
            <w:tcBorders>
              <w:top w:val="nil"/>
              <w:left w:val="nil"/>
              <w:bottom w:val="single" w:sz="4" w:space="0" w:color="auto"/>
              <w:right w:val="single" w:sz="4" w:space="0" w:color="auto"/>
            </w:tcBorders>
            <w:noWrap/>
            <w:vAlign w:val="bottom"/>
            <w:hideMark/>
          </w:tcPr>
          <w:p w14:paraId="2ACF054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51,618,700</w:t>
            </w:r>
          </w:p>
        </w:tc>
        <w:tc>
          <w:tcPr>
            <w:tcW w:w="1316" w:type="dxa"/>
            <w:tcBorders>
              <w:top w:val="nil"/>
              <w:left w:val="nil"/>
              <w:bottom w:val="single" w:sz="4" w:space="0" w:color="auto"/>
              <w:right w:val="single" w:sz="4" w:space="0" w:color="auto"/>
            </w:tcBorders>
            <w:noWrap/>
            <w:vAlign w:val="bottom"/>
            <w:hideMark/>
          </w:tcPr>
          <w:p w14:paraId="630A05B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53,222,433</w:t>
            </w:r>
          </w:p>
        </w:tc>
        <w:tc>
          <w:tcPr>
            <w:tcW w:w="1316" w:type="dxa"/>
            <w:tcBorders>
              <w:top w:val="nil"/>
              <w:left w:val="nil"/>
              <w:bottom w:val="single" w:sz="4" w:space="0" w:color="auto"/>
              <w:right w:val="single" w:sz="4" w:space="0" w:color="auto"/>
            </w:tcBorders>
            <w:noWrap/>
            <w:vAlign w:val="bottom"/>
            <w:hideMark/>
          </w:tcPr>
          <w:p w14:paraId="128A8C5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57,222,433</w:t>
            </w:r>
          </w:p>
        </w:tc>
      </w:tr>
      <w:tr w:rsidR="00EA0FD7" w:rsidRPr="00EA0FD7" w14:paraId="2D6EDF5B" w14:textId="77777777" w:rsidTr="00EA0FD7">
        <w:trPr>
          <w:trHeight w:val="240"/>
        </w:trPr>
        <w:tc>
          <w:tcPr>
            <w:tcW w:w="1177" w:type="dxa"/>
            <w:tcBorders>
              <w:top w:val="nil"/>
              <w:left w:val="single" w:sz="8" w:space="0" w:color="auto"/>
              <w:bottom w:val="nil"/>
              <w:right w:val="single" w:sz="4" w:space="0" w:color="auto"/>
            </w:tcBorders>
            <w:vAlign w:val="bottom"/>
            <w:hideMark/>
          </w:tcPr>
          <w:p w14:paraId="31487F7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615000</w:t>
            </w:r>
          </w:p>
        </w:tc>
        <w:tc>
          <w:tcPr>
            <w:tcW w:w="2429" w:type="dxa"/>
            <w:tcBorders>
              <w:top w:val="nil"/>
              <w:left w:val="nil"/>
              <w:bottom w:val="nil"/>
              <w:right w:val="single" w:sz="4" w:space="0" w:color="auto"/>
            </w:tcBorders>
            <w:vAlign w:val="bottom"/>
            <w:hideMark/>
          </w:tcPr>
          <w:p w14:paraId="454F1CEC"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396" w:type="dxa"/>
            <w:tcBorders>
              <w:top w:val="nil"/>
              <w:left w:val="nil"/>
              <w:bottom w:val="nil"/>
              <w:right w:val="single" w:sz="4" w:space="0" w:color="auto"/>
            </w:tcBorders>
            <w:noWrap/>
            <w:vAlign w:val="bottom"/>
            <w:hideMark/>
          </w:tcPr>
          <w:p w14:paraId="07156D0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93" w:type="dxa"/>
            <w:tcBorders>
              <w:top w:val="nil"/>
              <w:left w:val="nil"/>
              <w:bottom w:val="nil"/>
              <w:right w:val="single" w:sz="4" w:space="0" w:color="auto"/>
            </w:tcBorders>
            <w:noWrap/>
            <w:vAlign w:val="bottom"/>
            <w:hideMark/>
          </w:tcPr>
          <w:p w14:paraId="5C03FFC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93" w:type="dxa"/>
            <w:tcBorders>
              <w:top w:val="nil"/>
              <w:left w:val="nil"/>
              <w:bottom w:val="nil"/>
              <w:right w:val="single" w:sz="4" w:space="0" w:color="auto"/>
            </w:tcBorders>
            <w:noWrap/>
            <w:vAlign w:val="bottom"/>
            <w:hideMark/>
          </w:tcPr>
          <w:p w14:paraId="2078608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nil"/>
              <w:right w:val="single" w:sz="4" w:space="0" w:color="auto"/>
            </w:tcBorders>
            <w:noWrap/>
            <w:vAlign w:val="bottom"/>
            <w:hideMark/>
          </w:tcPr>
          <w:p w14:paraId="451B7F0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3,430,000</w:t>
            </w:r>
          </w:p>
        </w:tc>
        <w:tc>
          <w:tcPr>
            <w:tcW w:w="1316" w:type="dxa"/>
            <w:tcBorders>
              <w:top w:val="nil"/>
              <w:left w:val="nil"/>
              <w:bottom w:val="nil"/>
              <w:right w:val="single" w:sz="4" w:space="0" w:color="auto"/>
            </w:tcBorders>
            <w:noWrap/>
            <w:vAlign w:val="bottom"/>
            <w:hideMark/>
          </w:tcPr>
          <w:p w14:paraId="4AE4BF3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1,195,000</w:t>
            </w:r>
          </w:p>
        </w:tc>
        <w:tc>
          <w:tcPr>
            <w:tcW w:w="1316" w:type="dxa"/>
            <w:tcBorders>
              <w:top w:val="nil"/>
              <w:left w:val="nil"/>
              <w:bottom w:val="nil"/>
              <w:right w:val="single" w:sz="4" w:space="0" w:color="auto"/>
            </w:tcBorders>
            <w:noWrap/>
            <w:vAlign w:val="bottom"/>
            <w:hideMark/>
          </w:tcPr>
          <w:p w14:paraId="4488064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642,000</w:t>
            </w:r>
          </w:p>
        </w:tc>
        <w:tc>
          <w:tcPr>
            <w:tcW w:w="1316" w:type="dxa"/>
            <w:tcBorders>
              <w:top w:val="nil"/>
              <w:left w:val="nil"/>
              <w:bottom w:val="nil"/>
              <w:right w:val="single" w:sz="4" w:space="0" w:color="auto"/>
            </w:tcBorders>
            <w:noWrap/>
            <w:vAlign w:val="bottom"/>
            <w:hideMark/>
          </w:tcPr>
          <w:p w14:paraId="3166C51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1,320,000</w:t>
            </w:r>
          </w:p>
        </w:tc>
        <w:tc>
          <w:tcPr>
            <w:tcW w:w="1316" w:type="dxa"/>
            <w:tcBorders>
              <w:top w:val="nil"/>
              <w:left w:val="nil"/>
              <w:bottom w:val="nil"/>
              <w:right w:val="single" w:sz="4" w:space="0" w:color="auto"/>
            </w:tcBorders>
            <w:noWrap/>
            <w:vAlign w:val="bottom"/>
            <w:hideMark/>
          </w:tcPr>
          <w:p w14:paraId="4EA2D1C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1,195,000</w:t>
            </w:r>
          </w:p>
        </w:tc>
        <w:tc>
          <w:tcPr>
            <w:tcW w:w="1316" w:type="dxa"/>
            <w:tcBorders>
              <w:top w:val="nil"/>
              <w:left w:val="nil"/>
              <w:bottom w:val="nil"/>
              <w:right w:val="single" w:sz="4" w:space="0" w:color="auto"/>
            </w:tcBorders>
            <w:noWrap/>
            <w:vAlign w:val="bottom"/>
            <w:hideMark/>
          </w:tcPr>
          <w:p w14:paraId="5756866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642,000</w:t>
            </w:r>
          </w:p>
        </w:tc>
      </w:tr>
      <w:tr w:rsidR="00EA0FD7" w:rsidRPr="00EA0FD7" w14:paraId="0F6FBFC9" w14:textId="77777777" w:rsidTr="00EA0FD7">
        <w:trPr>
          <w:trHeight w:val="480"/>
        </w:trPr>
        <w:tc>
          <w:tcPr>
            <w:tcW w:w="1177" w:type="dxa"/>
            <w:tcBorders>
              <w:top w:val="single" w:sz="4" w:space="0" w:color="auto"/>
              <w:left w:val="single" w:sz="8" w:space="0" w:color="auto"/>
              <w:bottom w:val="nil"/>
              <w:right w:val="single" w:sz="4" w:space="0" w:color="auto"/>
            </w:tcBorders>
            <w:noWrap/>
            <w:vAlign w:val="bottom"/>
            <w:hideMark/>
          </w:tcPr>
          <w:p w14:paraId="117B79E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821000</w:t>
            </w:r>
          </w:p>
        </w:tc>
        <w:tc>
          <w:tcPr>
            <w:tcW w:w="2429" w:type="dxa"/>
            <w:tcBorders>
              <w:top w:val="single" w:sz="4" w:space="0" w:color="auto"/>
              <w:left w:val="nil"/>
              <w:bottom w:val="nil"/>
              <w:right w:val="single" w:sz="4" w:space="0" w:color="auto"/>
            </w:tcBorders>
            <w:vAlign w:val="bottom"/>
            <w:hideMark/>
          </w:tcPr>
          <w:p w14:paraId="49007693"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396" w:type="dxa"/>
            <w:tcBorders>
              <w:top w:val="single" w:sz="4" w:space="0" w:color="auto"/>
              <w:left w:val="nil"/>
              <w:bottom w:val="nil"/>
              <w:right w:val="single" w:sz="4" w:space="0" w:color="auto"/>
            </w:tcBorders>
            <w:noWrap/>
            <w:vAlign w:val="bottom"/>
            <w:hideMark/>
          </w:tcPr>
          <w:p w14:paraId="31D1AF3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4,453,187.91</w:t>
            </w:r>
          </w:p>
        </w:tc>
        <w:tc>
          <w:tcPr>
            <w:tcW w:w="1393" w:type="dxa"/>
            <w:tcBorders>
              <w:top w:val="single" w:sz="4" w:space="0" w:color="auto"/>
              <w:left w:val="nil"/>
              <w:bottom w:val="nil"/>
              <w:right w:val="single" w:sz="4" w:space="0" w:color="auto"/>
            </w:tcBorders>
            <w:noWrap/>
            <w:vAlign w:val="bottom"/>
            <w:hideMark/>
          </w:tcPr>
          <w:p w14:paraId="543B5AD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152,321.00</w:t>
            </w:r>
          </w:p>
        </w:tc>
        <w:tc>
          <w:tcPr>
            <w:tcW w:w="1393" w:type="dxa"/>
            <w:tcBorders>
              <w:top w:val="single" w:sz="4" w:space="0" w:color="auto"/>
              <w:left w:val="nil"/>
              <w:bottom w:val="nil"/>
              <w:right w:val="single" w:sz="4" w:space="0" w:color="auto"/>
            </w:tcBorders>
            <w:noWrap/>
            <w:vAlign w:val="bottom"/>
            <w:hideMark/>
          </w:tcPr>
          <w:p w14:paraId="0419F5F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1,284,420.00</w:t>
            </w:r>
          </w:p>
        </w:tc>
        <w:tc>
          <w:tcPr>
            <w:tcW w:w="1316" w:type="dxa"/>
            <w:tcBorders>
              <w:top w:val="single" w:sz="4" w:space="0" w:color="auto"/>
              <w:left w:val="nil"/>
              <w:bottom w:val="nil"/>
              <w:right w:val="single" w:sz="4" w:space="0" w:color="auto"/>
            </w:tcBorders>
            <w:noWrap/>
            <w:vAlign w:val="bottom"/>
            <w:hideMark/>
          </w:tcPr>
          <w:p w14:paraId="72FD5C6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3,030,000</w:t>
            </w:r>
          </w:p>
        </w:tc>
        <w:tc>
          <w:tcPr>
            <w:tcW w:w="1316" w:type="dxa"/>
            <w:tcBorders>
              <w:top w:val="single" w:sz="4" w:space="0" w:color="auto"/>
              <w:left w:val="nil"/>
              <w:bottom w:val="nil"/>
              <w:right w:val="single" w:sz="4" w:space="0" w:color="auto"/>
            </w:tcBorders>
            <w:noWrap/>
            <w:vAlign w:val="bottom"/>
            <w:hideMark/>
          </w:tcPr>
          <w:p w14:paraId="7CCF595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2,090,000</w:t>
            </w:r>
          </w:p>
        </w:tc>
        <w:tc>
          <w:tcPr>
            <w:tcW w:w="1316" w:type="dxa"/>
            <w:tcBorders>
              <w:top w:val="single" w:sz="4" w:space="0" w:color="auto"/>
              <w:left w:val="nil"/>
              <w:bottom w:val="nil"/>
              <w:right w:val="single" w:sz="4" w:space="0" w:color="auto"/>
            </w:tcBorders>
            <w:noWrap/>
            <w:vAlign w:val="bottom"/>
            <w:hideMark/>
          </w:tcPr>
          <w:p w14:paraId="39A39B8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650,000</w:t>
            </w:r>
          </w:p>
        </w:tc>
        <w:tc>
          <w:tcPr>
            <w:tcW w:w="1316" w:type="dxa"/>
            <w:tcBorders>
              <w:top w:val="single" w:sz="4" w:space="0" w:color="auto"/>
              <w:left w:val="nil"/>
              <w:bottom w:val="nil"/>
              <w:right w:val="single" w:sz="4" w:space="0" w:color="auto"/>
            </w:tcBorders>
            <w:noWrap/>
            <w:vAlign w:val="bottom"/>
            <w:hideMark/>
          </w:tcPr>
          <w:p w14:paraId="5491543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1,530,000</w:t>
            </w:r>
          </w:p>
        </w:tc>
        <w:tc>
          <w:tcPr>
            <w:tcW w:w="1316" w:type="dxa"/>
            <w:tcBorders>
              <w:top w:val="single" w:sz="4" w:space="0" w:color="auto"/>
              <w:left w:val="nil"/>
              <w:bottom w:val="nil"/>
              <w:right w:val="single" w:sz="4" w:space="0" w:color="auto"/>
            </w:tcBorders>
            <w:noWrap/>
            <w:vAlign w:val="bottom"/>
            <w:hideMark/>
          </w:tcPr>
          <w:p w14:paraId="6657BBB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2,090,000</w:t>
            </w:r>
          </w:p>
        </w:tc>
        <w:tc>
          <w:tcPr>
            <w:tcW w:w="1316" w:type="dxa"/>
            <w:tcBorders>
              <w:top w:val="single" w:sz="4" w:space="0" w:color="auto"/>
              <w:left w:val="nil"/>
              <w:bottom w:val="nil"/>
              <w:right w:val="single" w:sz="4" w:space="0" w:color="auto"/>
            </w:tcBorders>
            <w:noWrap/>
            <w:vAlign w:val="bottom"/>
            <w:hideMark/>
          </w:tcPr>
          <w:p w14:paraId="4EC8FBC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4,150,000</w:t>
            </w:r>
          </w:p>
        </w:tc>
      </w:tr>
      <w:tr w:rsidR="00EA0FD7" w:rsidRPr="00EA0FD7" w14:paraId="7156DDA6" w14:textId="77777777" w:rsidTr="00EA0FD7">
        <w:trPr>
          <w:trHeight w:val="270"/>
        </w:trPr>
        <w:tc>
          <w:tcPr>
            <w:tcW w:w="1177" w:type="dxa"/>
            <w:tcBorders>
              <w:top w:val="single" w:sz="8" w:space="0" w:color="auto"/>
              <w:left w:val="single" w:sz="8" w:space="0" w:color="auto"/>
              <w:bottom w:val="single" w:sz="8" w:space="0" w:color="auto"/>
              <w:right w:val="single" w:sz="8" w:space="0" w:color="auto"/>
            </w:tcBorders>
            <w:noWrap/>
            <w:vAlign w:val="bottom"/>
            <w:hideMark/>
          </w:tcPr>
          <w:p w14:paraId="4D1D483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lastRenderedPageBreak/>
              <w:t> </w:t>
            </w:r>
          </w:p>
        </w:tc>
        <w:tc>
          <w:tcPr>
            <w:tcW w:w="2429" w:type="dxa"/>
            <w:tcBorders>
              <w:top w:val="single" w:sz="8" w:space="0" w:color="auto"/>
              <w:left w:val="nil"/>
              <w:bottom w:val="single" w:sz="8" w:space="0" w:color="auto"/>
              <w:right w:val="single" w:sz="8" w:space="0" w:color="auto"/>
            </w:tcBorders>
            <w:noWrap/>
            <w:vAlign w:val="bottom"/>
            <w:hideMark/>
          </w:tcPr>
          <w:p w14:paraId="7768BA7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396" w:type="dxa"/>
            <w:tcBorders>
              <w:top w:val="single" w:sz="8" w:space="0" w:color="auto"/>
              <w:left w:val="nil"/>
              <w:bottom w:val="single" w:sz="8" w:space="0" w:color="auto"/>
              <w:right w:val="single" w:sz="8" w:space="0" w:color="auto"/>
            </w:tcBorders>
            <w:noWrap/>
            <w:vAlign w:val="bottom"/>
            <w:hideMark/>
          </w:tcPr>
          <w:p w14:paraId="07C6B94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65,293,897.76</w:t>
            </w:r>
          </w:p>
        </w:tc>
        <w:tc>
          <w:tcPr>
            <w:tcW w:w="1393" w:type="dxa"/>
            <w:tcBorders>
              <w:top w:val="single" w:sz="8" w:space="0" w:color="auto"/>
              <w:left w:val="nil"/>
              <w:bottom w:val="single" w:sz="8" w:space="0" w:color="auto"/>
              <w:right w:val="single" w:sz="8" w:space="0" w:color="auto"/>
            </w:tcBorders>
            <w:noWrap/>
            <w:vAlign w:val="bottom"/>
            <w:hideMark/>
          </w:tcPr>
          <w:p w14:paraId="6DBDD1D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58,424,155.42</w:t>
            </w:r>
          </w:p>
        </w:tc>
        <w:tc>
          <w:tcPr>
            <w:tcW w:w="1393" w:type="dxa"/>
            <w:tcBorders>
              <w:top w:val="single" w:sz="8" w:space="0" w:color="auto"/>
              <w:left w:val="nil"/>
              <w:bottom w:val="single" w:sz="8" w:space="0" w:color="auto"/>
              <w:right w:val="single" w:sz="8" w:space="0" w:color="auto"/>
            </w:tcBorders>
            <w:noWrap/>
            <w:vAlign w:val="bottom"/>
            <w:hideMark/>
          </w:tcPr>
          <w:p w14:paraId="2628468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62,204,999.93</w:t>
            </w:r>
          </w:p>
        </w:tc>
        <w:tc>
          <w:tcPr>
            <w:tcW w:w="1316" w:type="dxa"/>
            <w:tcBorders>
              <w:top w:val="single" w:sz="8" w:space="0" w:color="auto"/>
              <w:left w:val="nil"/>
              <w:bottom w:val="single" w:sz="8" w:space="0" w:color="auto"/>
              <w:right w:val="single" w:sz="8" w:space="0" w:color="auto"/>
            </w:tcBorders>
            <w:noWrap/>
            <w:vAlign w:val="bottom"/>
            <w:hideMark/>
          </w:tcPr>
          <w:p w14:paraId="7225803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73,267,935</w:t>
            </w:r>
          </w:p>
        </w:tc>
        <w:tc>
          <w:tcPr>
            <w:tcW w:w="1316" w:type="dxa"/>
            <w:tcBorders>
              <w:top w:val="single" w:sz="8" w:space="0" w:color="auto"/>
              <w:left w:val="nil"/>
              <w:bottom w:val="single" w:sz="8" w:space="0" w:color="auto"/>
              <w:right w:val="single" w:sz="8" w:space="0" w:color="auto"/>
            </w:tcBorders>
            <w:noWrap/>
            <w:vAlign w:val="bottom"/>
            <w:hideMark/>
          </w:tcPr>
          <w:p w14:paraId="23B5283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71,327,233</w:t>
            </w:r>
          </w:p>
        </w:tc>
        <w:tc>
          <w:tcPr>
            <w:tcW w:w="1316" w:type="dxa"/>
            <w:tcBorders>
              <w:top w:val="single" w:sz="8" w:space="0" w:color="auto"/>
              <w:left w:val="nil"/>
              <w:bottom w:val="single" w:sz="8" w:space="0" w:color="auto"/>
              <w:right w:val="single" w:sz="8" w:space="0" w:color="auto"/>
            </w:tcBorders>
            <w:noWrap/>
            <w:vAlign w:val="bottom"/>
            <w:hideMark/>
          </w:tcPr>
          <w:p w14:paraId="77D44BE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69,353,804</w:t>
            </w:r>
          </w:p>
        </w:tc>
        <w:tc>
          <w:tcPr>
            <w:tcW w:w="1316" w:type="dxa"/>
            <w:tcBorders>
              <w:top w:val="single" w:sz="8" w:space="0" w:color="auto"/>
              <w:left w:val="nil"/>
              <w:bottom w:val="single" w:sz="8" w:space="0" w:color="auto"/>
              <w:right w:val="single" w:sz="8" w:space="0" w:color="auto"/>
            </w:tcBorders>
            <w:noWrap/>
            <w:vAlign w:val="bottom"/>
            <w:hideMark/>
          </w:tcPr>
          <w:p w14:paraId="26709DC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64,435,930</w:t>
            </w:r>
          </w:p>
        </w:tc>
        <w:tc>
          <w:tcPr>
            <w:tcW w:w="1316" w:type="dxa"/>
            <w:tcBorders>
              <w:top w:val="single" w:sz="8" w:space="0" w:color="auto"/>
              <w:left w:val="nil"/>
              <w:bottom w:val="single" w:sz="8" w:space="0" w:color="auto"/>
              <w:right w:val="single" w:sz="8" w:space="0" w:color="auto"/>
            </w:tcBorders>
            <w:noWrap/>
            <w:vAlign w:val="bottom"/>
            <w:hideMark/>
          </w:tcPr>
          <w:p w14:paraId="4962CD5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67,228,276</w:t>
            </w:r>
          </w:p>
        </w:tc>
        <w:tc>
          <w:tcPr>
            <w:tcW w:w="1316" w:type="dxa"/>
            <w:tcBorders>
              <w:top w:val="single" w:sz="8" w:space="0" w:color="auto"/>
              <w:left w:val="nil"/>
              <w:bottom w:val="single" w:sz="8" w:space="0" w:color="auto"/>
              <w:right w:val="single" w:sz="8" w:space="0" w:color="auto"/>
            </w:tcBorders>
            <w:noWrap/>
            <w:vAlign w:val="bottom"/>
            <w:hideMark/>
          </w:tcPr>
          <w:p w14:paraId="6E6D475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72,754,847</w:t>
            </w:r>
          </w:p>
        </w:tc>
      </w:tr>
      <w:tr w:rsidR="00EA0FD7" w:rsidRPr="00EA0FD7" w14:paraId="1B9DBC5D" w14:textId="77777777" w:rsidTr="00EA0FD7">
        <w:trPr>
          <w:trHeight w:val="270"/>
        </w:trPr>
        <w:tc>
          <w:tcPr>
            <w:tcW w:w="1177" w:type="dxa"/>
            <w:tcBorders>
              <w:top w:val="nil"/>
              <w:left w:val="single" w:sz="8" w:space="0" w:color="auto"/>
              <w:bottom w:val="single" w:sz="8" w:space="0" w:color="auto"/>
              <w:right w:val="nil"/>
            </w:tcBorders>
            <w:noWrap/>
            <w:vAlign w:val="bottom"/>
            <w:hideMark/>
          </w:tcPr>
          <w:p w14:paraId="2C820BB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29" w:type="dxa"/>
            <w:tcBorders>
              <w:top w:val="nil"/>
              <w:left w:val="nil"/>
              <w:bottom w:val="single" w:sz="8" w:space="0" w:color="auto"/>
              <w:right w:val="nil"/>
            </w:tcBorders>
            <w:noWrap/>
            <w:vAlign w:val="bottom"/>
            <w:hideMark/>
          </w:tcPr>
          <w:p w14:paraId="1407257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96" w:type="dxa"/>
            <w:tcBorders>
              <w:top w:val="nil"/>
              <w:left w:val="nil"/>
              <w:bottom w:val="single" w:sz="8" w:space="0" w:color="auto"/>
              <w:right w:val="nil"/>
            </w:tcBorders>
            <w:noWrap/>
            <w:vAlign w:val="bottom"/>
            <w:hideMark/>
          </w:tcPr>
          <w:p w14:paraId="71345D5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93" w:type="dxa"/>
            <w:tcBorders>
              <w:top w:val="nil"/>
              <w:left w:val="nil"/>
              <w:bottom w:val="single" w:sz="8" w:space="0" w:color="auto"/>
              <w:right w:val="nil"/>
            </w:tcBorders>
            <w:noWrap/>
            <w:vAlign w:val="bottom"/>
            <w:hideMark/>
          </w:tcPr>
          <w:p w14:paraId="00ED545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93" w:type="dxa"/>
            <w:tcBorders>
              <w:top w:val="nil"/>
              <w:left w:val="nil"/>
              <w:bottom w:val="single" w:sz="8" w:space="0" w:color="auto"/>
              <w:right w:val="nil"/>
            </w:tcBorders>
            <w:noWrap/>
            <w:vAlign w:val="bottom"/>
            <w:hideMark/>
          </w:tcPr>
          <w:p w14:paraId="2BC8FB4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585B8CD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4B36B0C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0C28283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7B9BBE16"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nil"/>
            </w:tcBorders>
            <w:noWrap/>
            <w:vAlign w:val="bottom"/>
            <w:hideMark/>
          </w:tcPr>
          <w:p w14:paraId="20D858B7"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single" w:sz="8" w:space="0" w:color="auto"/>
            </w:tcBorders>
            <w:noWrap/>
            <w:vAlign w:val="bottom"/>
            <w:hideMark/>
          </w:tcPr>
          <w:p w14:paraId="26D02EBC"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158EB0F9" w14:textId="77777777" w:rsidTr="00EA0FD7">
        <w:trPr>
          <w:trHeight w:val="240"/>
        </w:trPr>
        <w:tc>
          <w:tcPr>
            <w:tcW w:w="1177" w:type="dxa"/>
            <w:tcBorders>
              <w:top w:val="nil"/>
              <w:left w:val="single" w:sz="8" w:space="0" w:color="auto"/>
              <w:bottom w:val="single" w:sz="8" w:space="0" w:color="auto"/>
              <w:right w:val="single" w:sz="8" w:space="0" w:color="auto"/>
            </w:tcBorders>
            <w:noWrap/>
            <w:vAlign w:val="bottom"/>
            <w:hideMark/>
          </w:tcPr>
          <w:p w14:paraId="0D4FFC0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29" w:type="dxa"/>
            <w:tcBorders>
              <w:top w:val="nil"/>
              <w:left w:val="nil"/>
              <w:bottom w:val="single" w:sz="8" w:space="0" w:color="auto"/>
              <w:right w:val="single" w:sz="8" w:space="0" w:color="auto"/>
            </w:tcBorders>
            <w:noWrap/>
            <w:vAlign w:val="bottom"/>
            <w:hideMark/>
          </w:tcPr>
          <w:p w14:paraId="5083590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396" w:type="dxa"/>
            <w:tcBorders>
              <w:top w:val="nil"/>
              <w:left w:val="nil"/>
              <w:bottom w:val="single" w:sz="8" w:space="0" w:color="auto"/>
              <w:right w:val="single" w:sz="8" w:space="0" w:color="auto"/>
            </w:tcBorders>
            <w:noWrap/>
            <w:vAlign w:val="bottom"/>
            <w:hideMark/>
          </w:tcPr>
          <w:p w14:paraId="59FB30E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107</w:t>
            </w:r>
          </w:p>
        </w:tc>
        <w:tc>
          <w:tcPr>
            <w:tcW w:w="1393" w:type="dxa"/>
            <w:tcBorders>
              <w:top w:val="nil"/>
              <w:left w:val="nil"/>
              <w:bottom w:val="single" w:sz="8" w:space="0" w:color="auto"/>
              <w:right w:val="single" w:sz="8" w:space="0" w:color="auto"/>
            </w:tcBorders>
            <w:noWrap/>
            <w:vAlign w:val="bottom"/>
            <w:hideMark/>
          </w:tcPr>
          <w:p w14:paraId="148F826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76</w:t>
            </w:r>
          </w:p>
        </w:tc>
        <w:tc>
          <w:tcPr>
            <w:tcW w:w="1393" w:type="dxa"/>
            <w:tcBorders>
              <w:top w:val="nil"/>
              <w:left w:val="nil"/>
              <w:bottom w:val="single" w:sz="8" w:space="0" w:color="auto"/>
              <w:right w:val="single" w:sz="8" w:space="0" w:color="auto"/>
            </w:tcBorders>
            <w:noWrap/>
            <w:vAlign w:val="bottom"/>
            <w:hideMark/>
          </w:tcPr>
          <w:p w14:paraId="60899E2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107</w:t>
            </w:r>
          </w:p>
        </w:tc>
        <w:tc>
          <w:tcPr>
            <w:tcW w:w="1316" w:type="dxa"/>
            <w:tcBorders>
              <w:top w:val="nil"/>
              <w:left w:val="nil"/>
              <w:bottom w:val="single" w:sz="8" w:space="0" w:color="auto"/>
              <w:right w:val="single" w:sz="8" w:space="0" w:color="auto"/>
            </w:tcBorders>
            <w:noWrap/>
            <w:vAlign w:val="bottom"/>
            <w:hideMark/>
          </w:tcPr>
          <w:p w14:paraId="1A84182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114</w:t>
            </w:r>
          </w:p>
        </w:tc>
        <w:tc>
          <w:tcPr>
            <w:tcW w:w="1316" w:type="dxa"/>
            <w:tcBorders>
              <w:top w:val="nil"/>
              <w:left w:val="nil"/>
              <w:bottom w:val="single" w:sz="8" w:space="0" w:color="auto"/>
              <w:right w:val="single" w:sz="8" w:space="0" w:color="auto"/>
            </w:tcBorders>
            <w:noWrap/>
            <w:vAlign w:val="bottom"/>
            <w:hideMark/>
          </w:tcPr>
          <w:p w14:paraId="589E700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114</w:t>
            </w:r>
          </w:p>
        </w:tc>
        <w:tc>
          <w:tcPr>
            <w:tcW w:w="1316" w:type="dxa"/>
            <w:tcBorders>
              <w:top w:val="nil"/>
              <w:left w:val="nil"/>
              <w:bottom w:val="single" w:sz="8" w:space="0" w:color="auto"/>
              <w:right w:val="single" w:sz="8" w:space="0" w:color="auto"/>
            </w:tcBorders>
            <w:noWrap/>
            <w:vAlign w:val="bottom"/>
            <w:hideMark/>
          </w:tcPr>
          <w:p w14:paraId="513D4FD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114</w:t>
            </w:r>
          </w:p>
        </w:tc>
        <w:tc>
          <w:tcPr>
            <w:tcW w:w="1316" w:type="dxa"/>
            <w:tcBorders>
              <w:top w:val="nil"/>
              <w:left w:val="nil"/>
              <w:bottom w:val="single" w:sz="8" w:space="0" w:color="auto"/>
              <w:right w:val="single" w:sz="8" w:space="0" w:color="auto"/>
            </w:tcBorders>
            <w:noWrap/>
            <w:vAlign w:val="bottom"/>
            <w:hideMark/>
          </w:tcPr>
          <w:p w14:paraId="382C5F3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107</w:t>
            </w:r>
          </w:p>
        </w:tc>
        <w:tc>
          <w:tcPr>
            <w:tcW w:w="1316" w:type="dxa"/>
            <w:tcBorders>
              <w:top w:val="nil"/>
              <w:left w:val="nil"/>
              <w:bottom w:val="single" w:sz="8" w:space="0" w:color="auto"/>
              <w:right w:val="single" w:sz="8" w:space="0" w:color="auto"/>
            </w:tcBorders>
            <w:noWrap/>
            <w:vAlign w:val="bottom"/>
            <w:hideMark/>
          </w:tcPr>
          <w:p w14:paraId="194CB93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107</w:t>
            </w:r>
          </w:p>
        </w:tc>
        <w:tc>
          <w:tcPr>
            <w:tcW w:w="1316" w:type="dxa"/>
            <w:tcBorders>
              <w:top w:val="nil"/>
              <w:left w:val="nil"/>
              <w:bottom w:val="single" w:sz="8" w:space="0" w:color="auto"/>
              <w:right w:val="single" w:sz="8" w:space="0" w:color="auto"/>
            </w:tcBorders>
            <w:noWrap/>
            <w:vAlign w:val="bottom"/>
            <w:hideMark/>
          </w:tcPr>
          <w:p w14:paraId="2F6A215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107</w:t>
            </w:r>
          </w:p>
        </w:tc>
      </w:tr>
    </w:tbl>
    <w:p w14:paraId="1E27FF2D" w14:textId="77777777" w:rsidR="00EA0FD7" w:rsidRPr="00EA0FD7" w:rsidRDefault="00EA0FD7" w:rsidP="00EA0FD7">
      <w:pPr>
        <w:spacing w:line="256" w:lineRule="auto"/>
        <w:rPr>
          <w:rFonts w:ascii="Times New Roman" w:eastAsia="Times New Roman" w:hAnsi="Times New Roman" w:cs="Times New Roman"/>
          <w:sz w:val="24"/>
          <w:szCs w:val="24"/>
          <w:lang w:val="sr-Cyrl-RS" w:eastAsia="hr-HR"/>
        </w:rPr>
      </w:pPr>
    </w:p>
    <w:tbl>
      <w:tblPr>
        <w:tblW w:w="15688" w:type="dxa"/>
        <w:tblInd w:w="108" w:type="dxa"/>
        <w:tblLook w:val="04A0" w:firstRow="1" w:lastRow="0" w:firstColumn="1" w:lastColumn="0" w:noHBand="0" w:noVBand="1"/>
      </w:tblPr>
      <w:tblGrid>
        <w:gridCol w:w="1189"/>
        <w:gridCol w:w="2460"/>
        <w:gridCol w:w="1411"/>
        <w:gridCol w:w="1408"/>
        <w:gridCol w:w="1368"/>
        <w:gridCol w:w="1316"/>
        <w:gridCol w:w="1316"/>
        <w:gridCol w:w="1316"/>
        <w:gridCol w:w="1316"/>
        <w:gridCol w:w="1316"/>
        <w:gridCol w:w="1316"/>
      </w:tblGrid>
      <w:tr w:rsidR="00EA0FD7" w:rsidRPr="00EA0FD7" w14:paraId="43D9E7D7" w14:textId="77777777" w:rsidTr="00EA0FD7">
        <w:trPr>
          <w:trHeight w:val="360"/>
        </w:trPr>
        <w:tc>
          <w:tcPr>
            <w:tcW w:w="6456" w:type="dxa"/>
            <w:gridSpan w:val="4"/>
            <w:tcBorders>
              <w:top w:val="nil"/>
              <w:left w:val="nil"/>
              <w:bottom w:val="single" w:sz="8" w:space="0" w:color="auto"/>
              <w:right w:val="nil"/>
            </w:tcBorders>
            <w:noWrap/>
            <w:vAlign w:val="bottom"/>
            <w:hideMark/>
          </w:tcPr>
          <w:p w14:paraId="7F751618" w14:textId="0241B34E"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20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ОДЈЕЉЕЊЕ ЗА ОБРАЗОВАЊЕ</w:t>
            </w:r>
          </w:p>
        </w:tc>
        <w:tc>
          <w:tcPr>
            <w:tcW w:w="1336" w:type="dxa"/>
            <w:noWrap/>
            <w:vAlign w:val="bottom"/>
          </w:tcPr>
          <w:p w14:paraId="49DD9220"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543BB5C2"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11B8AF0B"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751FEB1F"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648BF1F4"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67CE1AD8"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68E8BE50"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16BBA830" w14:textId="77777777" w:rsidTr="00EA0FD7">
        <w:trPr>
          <w:trHeight w:val="300"/>
        </w:trPr>
        <w:tc>
          <w:tcPr>
            <w:tcW w:w="1177" w:type="dxa"/>
            <w:vMerge w:val="restart"/>
            <w:tcBorders>
              <w:top w:val="nil"/>
              <w:left w:val="single" w:sz="8" w:space="0" w:color="auto"/>
              <w:bottom w:val="single" w:sz="8" w:space="0" w:color="000000"/>
              <w:right w:val="single" w:sz="8" w:space="0" w:color="auto"/>
            </w:tcBorders>
            <w:shd w:val="clear" w:color="auto" w:fill="808080"/>
            <w:vAlign w:val="center"/>
            <w:hideMark/>
          </w:tcPr>
          <w:p w14:paraId="19A008B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460" w:type="dxa"/>
            <w:vMerge w:val="restart"/>
            <w:tcBorders>
              <w:top w:val="nil"/>
              <w:left w:val="single" w:sz="8" w:space="0" w:color="auto"/>
              <w:bottom w:val="single" w:sz="8" w:space="0" w:color="000000"/>
              <w:right w:val="single" w:sz="8" w:space="0" w:color="auto"/>
            </w:tcBorders>
            <w:shd w:val="clear" w:color="auto" w:fill="808080"/>
            <w:vAlign w:val="center"/>
            <w:hideMark/>
          </w:tcPr>
          <w:p w14:paraId="2B7AED4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411" w:type="dxa"/>
            <w:vMerge w:val="restart"/>
            <w:tcBorders>
              <w:top w:val="nil"/>
              <w:left w:val="single" w:sz="8" w:space="0" w:color="auto"/>
              <w:bottom w:val="single" w:sz="8" w:space="0" w:color="000000"/>
              <w:right w:val="single" w:sz="8" w:space="0" w:color="auto"/>
            </w:tcBorders>
            <w:shd w:val="clear" w:color="auto" w:fill="808080"/>
            <w:vAlign w:val="center"/>
            <w:hideMark/>
          </w:tcPr>
          <w:p w14:paraId="25EDC1B8"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408" w:type="dxa"/>
            <w:vMerge w:val="restart"/>
            <w:tcBorders>
              <w:top w:val="nil"/>
              <w:left w:val="single" w:sz="8" w:space="0" w:color="auto"/>
              <w:bottom w:val="single" w:sz="8" w:space="0" w:color="000000"/>
              <w:right w:val="single" w:sz="8" w:space="0" w:color="auto"/>
            </w:tcBorders>
            <w:shd w:val="clear" w:color="auto" w:fill="808080"/>
            <w:vAlign w:val="center"/>
            <w:hideMark/>
          </w:tcPr>
          <w:p w14:paraId="2D2D6C2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36"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429B433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596DE15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676B3420"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2F0EFB5E"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382FF6E1"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231EED7B"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7489560E"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53B75723"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B96C3E4"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tcBorders>
              <w:top w:val="nil"/>
              <w:left w:val="nil"/>
              <w:bottom w:val="single" w:sz="8" w:space="0" w:color="auto"/>
              <w:right w:val="single" w:sz="4" w:space="0" w:color="auto"/>
            </w:tcBorders>
            <w:shd w:val="clear" w:color="auto" w:fill="808080"/>
            <w:noWrap/>
            <w:vAlign w:val="center"/>
            <w:hideMark/>
          </w:tcPr>
          <w:p w14:paraId="21E5C411"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069F898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316BF99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tcBorders>
              <w:top w:val="nil"/>
              <w:left w:val="nil"/>
              <w:bottom w:val="single" w:sz="8" w:space="0" w:color="auto"/>
              <w:right w:val="single" w:sz="4" w:space="0" w:color="auto"/>
            </w:tcBorders>
            <w:shd w:val="clear" w:color="auto" w:fill="808080"/>
            <w:noWrap/>
            <w:vAlign w:val="center"/>
            <w:hideMark/>
          </w:tcPr>
          <w:p w14:paraId="16526E1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73557111"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2FDF92C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1E5D8329" w14:textId="77777777" w:rsidTr="00EA0FD7">
        <w:trPr>
          <w:trHeight w:val="240"/>
        </w:trPr>
        <w:tc>
          <w:tcPr>
            <w:tcW w:w="1177" w:type="dxa"/>
            <w:tcBorders>
              <w:top w:val="nil"/>
              <w:left w:val="single" w:sz="8" w:space="0" w:color="auto"/>
              <w:bottom w:val="single" w:sz="4" w:space="0" w:color="auto"/>
              <w:right w:val="single" w:sz="4" w:space="0" w:color="auto"/>
            </w:tcBorders>
            <w:noWrap/>
            <w:vAlign w:val="bottom"/>
            <w:hideMark/>
          </w:tcPr>
          <w:p w14:paraId="6CCE108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60" w:type="dxa"/>
            <w:tcBorders>
              <w:top w:val="nil"/>
              <w:left w:val="nil"/>
              <w:bottom w:val="single" w:sz="4" w:space="0" w:color="auto"/>
              <w:right w:val="single" w:sz="4" w:space="0" w:color="auto"/>
            </w:tcBorders>
            <w:noWrap/>
            <w:vAlign w:val="bottom"/>
            <w:hideMark/>
          </w:tcPr>
          <w:p w14:paraId="385CDA8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411" w:type="dxa"/>
            <w:tcBorders>
              <w:top w:val="nil"/>
              <w:left w:val="nil"/>
              <w:bottom w:val="single" w:sz="4" w:space="0" w:color="auto"/>
              <w:right w:val="single" w:sz="4" w:space="0" w:color="auto"/>
            </w:tcBorders>
            <w:noWrap/>
            <w:vAlign w:val="bottom"/>
            <w:hideMark/>
          </w:tcPr>
          <w:p w14:paraId="5D38D5B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08" w:type="dxa"/>
            <w:tcBorders>
              <w:top w:val="nil"/>
              <w:left w:val="nil"/>
              <w:bottom w:val="single" w:sz="4" w:space="0" w:color="auto"/>
              <w:right w:val="single" w:sz="4" w:space="0" w:color="auto"/>
            </w:tcBorders>
            <w:noWrap/>
            <w:vAlign w:val="bottom"/>
            <w:hideMark/>
          </w:tcPr>
          <w:p w14:paraId="686AE74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tcBorders>
              <w:top w:val="nil"/>
              <w:left w:val="nil"/>
              <w:bottom w:val="single" w:sz="4" w:space="0" w:color="auto"/>
              <w:right w:val="single" w:sz="4" w:space="0" w:color="auto"/>
            </w:tcBorders>
            <w:noWrap/>
            <w:vAlign w:val="bottom"/>
            <w:hideMark/>
          </w:tcPr>
          <w:p w14:paraId="683771E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321A507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368E988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177DAFE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4BD23AB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5B23336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8" w:space="0" w:color="auto"/>
            </w:tcBorders>
            <w:noWrap/>
            <w:vAlign w:val="bottom"/>
            <w:hideMark/>
          </w:tcPr>
          <w:p w14:paraId="7076F33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22A79F8D" w14:textId="77777777" w:rsidTr="00EA0FD7">
        <w:trPr>
          <w:trHeight w:val="480"/>
        </w:trPr>
        <w:tc>
          <w:tcPr>
            <w:tcW w:w="1177" w:type="dxa"/>
            <w:tcBorders>
              <w:top w:val="nil"/>
              <w:left w:val="single" w:sz="8" w:space="0" w:color="auto"/>
              <w:bottom w:val="single" w:sz="4" w:space="0" w:color="auto"/>
              <w:right w:val="single" w:sz="4" w:space="0" w:color="auto"/>
            </w:tcBorders>
            <w:vAlign w:val="bottom"/>
            <w:hideMark/>
          </w:tcPr>
          <w:p w14:paraId="047D913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611100</w:t>
            </w:r>
            <w:r w:rsidRPr="00EA0FD7">
              <w:rPr>
                <w:rFonts w:ascii="Arial" w:eastAsia="Times New Roman" w:hAnsi="Arial" w:cs="Arial"/>
                <w:sz w:val="17"/>
                <w:szCs w:val="17"/>
                <w:lang w:val="sr-Cyrl-RS"/>
              </w:rPr>
              <w:br/>
              <w:t>612100</w:t>
            </w:r>
          </w:p>
        </w:tc>
        <w:tc>
          <w:tcPr>
            <w:tcW w:w="2460" w:type="dxa"/>
            <w:tcBorders>
              <w:top w:val="nil"/>
              <w:left w:val="nil"/>
              <w:bottom w:val="single" w:sz="4" w:space="0" w:color="auto"/>
              <w:right w:val="single" w:sz="4" w:space="0" w:color="auto"/>
            </w:tcBorders>
            <w:vAlign w:val="bottom"/>
            <w:hideMark/>
          </w:tcPr>
          <w:p w14:paraId="6039A6BA"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Бруто плате и доприноси послодавца</w:t>
            </w:r>
          </w:p>
        </w:tc>
        <w:tc>
          <w:tcPr>
            <w:tcW w:w="1411" w:type="dxa"/>
            <w:tcBorders>
              <w:top w:val="nil"/>
              <w:left w:val="nil"/>
              <w:bottom w:val="single" w:sz="4" w:space="0" w:color="auto"/>
              <w:right w:val="single" w:sz="4" w:space="0" w:color="auto"/>
            </w:tcBorders>
            <w:noWrap/>
            <w:vAlign w:val="bottom"/>
            <w:hideMark/>
          </w:tcPr>
          <w:p w14:paraId="1EBE180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30,789,168.10</w:t>
            </w:r>
          </w:p>
        </w:tc>
        <w:tc>
          <w:tcPr>
            <w:tcW w:w="1408" w:type="dxa"/>
            <w:tcBorders>
              <w:top w:val="nil"/>
              <w:left w:val="nil"/>
              <w:bottom w:val="single" w:sz="4" w:space="0" w:color="auto"/>
              <w:right w:val="single" w:sz="4" w:space="0" w:color="auto"/>
            </w:tcBorders>
            <w:noWrap/>
            <w:vAlign w:val="bottom"/>
            <w:hideMark/>
          </w:tcPr>
          <w:p w14:paraId="7DAD3C1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30,126,673.50</w:t>
            </w:r>
          </w:p>
        </w:tc>
        <w:tc>
          <w:tcPr>
            <w:tcW w:w="1336" w:type="dxa"/>
            <w:tcBorders>
              <w:top w:val="nil"/>
              <w:left w:val="nil"/>
              <w:bottom w:val="single" w:sz="4" w:space="0" w:color="auto"/>
              <w:right w:val="single" w:sz="4" w:space="0" w:color="auto"/>
            </w:tcBorders>
            <w:noWrap/>
            <w:vAlign w:val="bottom"/>
            <w:hideMark/>
          </w:tcPr>
          <w:p w14:paraId="79E7B70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32,441,883.58</w:t>
            </w:r>
          </w:p>
        </w:tc>
        <w:tc>
          <w:tcPr>
            <w:tcW w:w="1316" w:type="dxa"/>
            <w:tcBorders>
              <w:top w:val="nil"/>
              <w:left w:val="nil"/>
              <w:bottom w:val="single" w:sz="4" w:space="0" w:color="auto"/>
              <w:right w:val="single" w:sz="4" w:space="0" w:color="auto"/>
            </w:tcBorders>
            <w:noWrap/>
            <w:vAlign w:val="bottom"/>
            <w:hideMark/>
          </w:tcPr>
          <w:p w14:paraId="4965F5B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32,365,123</w:t>
            </w:r>
          </w:p>
        </w:tc>
        <w:tc>
          <w:tcPr>
            <w:tcW w:w="1316" w:type="dxa"/>
            <w:tcBorders>
              <w:top w:val="nil"/>
              <w:left w:val="nil"/>
              <w:bottom w:val="single" w:sz="4" w:space="0" w:color="auto"/>
              <w:right w:val="single" w:sz="4" w:space="0" w:color="auto"/>
            </w:tcBorders>
            <w:noWrap/>
            <w:vAlign w:val="bottom"/>
            <w:hideMark/>
          </w:tcPr>
          <w:p w14:paraId="67913E4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32,365,123</w:t>
            </w:r>
          </w:p>
        </w:tc>
        <w:tc>
          <w:tcPr>
            <w:tcW w:w="1316" w:type="dxa"/>
            <w:tcBorders>
              <w:top w:val="nil"/>
              <w:left w:val="nil"/>
              <w:bottom w:val="single" w:sz="4" w:space="0" w:color="auto"/>
              <w:right w:val="single" w:sz="4" w:space="0" w:color="auto"/>
            </w:tcBorders>
            <w:noWrap/>
            <w:vAlign w:val="bottom"/>
            <w:hideMark/>
          </w:tcPr>
          <w:p w14:paraId="4A0F3C3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32,365,123</w:t>
            </w:r>
          </w:p>
        </w:tc>
        <w:tc>
          <w:tcPr>
            <w:tcW w:w="1316" w:type="dxa"/>
            <w:tcBorders>
              <w:top w:val="nil"/>
              <w:left w:val="nil"/>
              <w:bottom w:val="single" w:sz="4" w:space="0" w:color="auto"/>
              <w:right w:val="single" w:sz="4" w:space="0" w:color="auto"/>
            </w:tcBorders>
            <w:noWrap/>
            <w:vAlign w:val="bottom"/>
            <w:hideMark/>
          </w:tcPr>
          <w:p w14:paraId="45856DE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33,858,430</w:t>
            </w:r>
          </w:p>
        </w:tc>
        <w:tc>
          <w:tcPr>
            <w:tcW w:w="1316" w:type="dxa"/>
            <w:tcBorders>
              <w:top w:val="nil"/>
              <w:left w:val="nil"/>
              <w:bottom w:val="single" w:sz="4" w:space="0" w:color="auto"/>
              <w:right w:val="single" w:sz="4" w:space="0" w:color="auto"/>
            </w:tcBorders>
            <w:noWrap/>
            <w:vAlign w:val="bottom"/>
            <w:hideMark/>
          </w:tcPr>
          <w:p w14:paraId="2AD54C8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33,858,430</w:t>
            </w:r>
          </w:p>
        </w:tc>
        <w:tc>
          <w:tcPr>
            <w:tcW w:w="1316" w:type="dxa"/>
            <w:tcBorders>
              <w:top w:val="nil"/>
              <w:left w:val="nil"/>
              <w:bottom w:val="single" w:sz="4" w:space="0" w:color="auto"/>
              <w:right w:val="single" w:sz="4" w:space="0" w:color="auto"/>
            </w:tcBorders>
            <w:noWrap/>
            <w:vAlign w:val="bottom"/>
            <w:hideMark/>
          </w:tcPr>
          <w:p w14:paraId="53E566D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33,858,430</w:t>
            </w:r>
          </w:p>
        </w:tc>
      </w:tr>
      <w:tr w:rsidR="00EA0FD7" w:rsidRPr="00EA0FD7" w14:paraId="01970AF9" w14:textId="77777777" w:rsidTr="00EA0FD7">
        <w:trPr>
          <w:trHeight w:val="240"/>
        </w:trPr>
        <w:tc>
          <w:tcPr>
            <w:tcW w:w="1177" w:type="dxa"/>
            <w:tcBorders>
              <w:top w:val="nil"/>
              <w:left w:val="single" w:sz="8" w:space="0" w:color="auto"/>
              <w:bottom w:val="single" w:sz="4" w:space="0" w:color="auto"/>
              <w:right w:val="single" w:sz="4" w:space="0" w:color="auto"/>
            </w:tcBorders>
            <w:noWrap/>
            <w:vAlign w:val="bottom"/>
            <w:hideMark/>
          </w:tcPr>
          <w:p w14:paraId="13A09C5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611200</w:t>
            </w:r>
          </w:p>
        </w:tc>
        <w:tc>
          <w:tcPr>
            <w:tcW w:w="2460" w:type="dxa"/>
            <w:tcBorders>
              <w:top w:val="nil"/>
              <w:left w:val="nil"/>
              <w:bottom w:val="single" w:sz="4" w:space="0" w:color="auto"/>
              <w:right w:val="single" w:sz="4" w:space="0" w:color="auto"/>
            </w:tcBorders>
            <w:vAlign w:val="bottom"/>
            <w:hideMark/>
          </w:tcPr>
          <w:p w14:paraId="139AB7AF"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Накнаде трошкова запослених</w:t>
            </w:r>
          </w:p>
        </w:tc>
        <w:tc>
          <w:tcPr>
            <w:tcW w:w="1411" w:type="dxa"/>
            <w:tcBorders>
              <w:top w:val="nil"/>
              <w:left w:val="nil"/>
              <w:bottom w:val="single" w:sz="4" w:space="0" w:color="auto"/>
              <w:right w:val="single" w:sz="4" w:space="0" w:color="auto"/>
            </w:tcBorders>
            <w:noWrap/>
            <w:vAlign w:val="bottom"/>
            <w:hideMark/>
          </w:tcPr>
          <w:p w14:paraId="318574A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702,334.00</w:t>
            </w:r>
          </w:p>
        </w:tc>
        <w:tc>
          <w:tcPr>
            <w:tcW w:w="1408" w:type="dxa"/>
            <w:tcBorders>
              <w:top w:val="nil"/>
              <w:left w:val="nil"/>
              <w:bottom w:val="single" w:sz="4" w:space="0" w:color="auto"/>
              <w:right w:val="single" w:sz="4" w:space="0" w:color="auto"/>
            </w:tcBorders>
            <w:noWrap/>
            <w:vAlign w:val="bottom"/>
            <w:hideMark/>
          </w:tcPr>
          <w:p w14:paraId="67D876A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621,473.20</w:t>
            </w:r>
          </w:p>
        </w:tc>
        <w:tc>
          <w:tcPr>
            <w:tcW w:w="1336" w:type="dxa"/>
            <w:tcBorders>
              <w:top w:val="nil"/>
              <w:left w:val="nil"/>
              <w:bottom w:val="single" w:sz="4" w:space="0" w:color="auto"/>
              <w:right w:val="single" w:sz="4" w:space="0" w:color="auto"/>
            </w:tcBorders>
            <w:noWrap/>
            <w:vAlign w:val="bottom"/>
            <w:hideMark/>
          </w:tcPr>
          <w:p w14:paraId="764D55B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1,679,920.00</w:t>
            </w:r>
          </w:p>
        </w:tc>
        <w:tc>
          <w:tcPr>
            <w:tcW w:w="1316" w:type="dxa"/>
            <w:tcBorders>
              <w:top w:val="nil"/>
              <w:left w:val="nil"/>
              <w:bottom w:val="single" w:sz="4" w:space="0" w:color="auto"/>
              <w:right w:val="single" w:sz="4" w:space="0" w:color="auto"/>
            </w:tcBorders>
            <w:noWrap/>
            <w:vAlign w:val="bottom"/>
            <w:hideMark/>
          </w:tcPr>
          <w:p w14:paraId="0FDE0DE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1,663,644</w:t>
            </w:r>
          </w:p>
        </w:tc>
        <w:tc>
          <w:tcPr>
            <w:tcW w:w="1316" w:type="dxa"/>
            <w:tcBorders>
              <w:top w:val="nil"/>
              <w:left w:val="nil"/>
              <w:bottom w:val="single" w:sz="4" w:space="0" w:color="auto"/>
              <w:right w:val="single" w:sz="4" w:space="0" w:color="auto"/>
            </w:tcBorders>
            <w:noWrap/>
            <w:vAlign w:val="bottom"/>
            <w:hideMark/>
          </w:tcPr>
          <w:p w14:paraId="54C8D24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1,663,644</w:t>
            </w:r>
          </w:p>
        </w:tc>
        <w:tc>
          <w:tcPr>
            <w:tcW w:w="1316" w:type="dxa"/>
            <w:tcBorders>
              <w:top w:val="nil"/>
              <w:left w:val="nil"/>
              <w:bottom w:val="single" w:sz="4" w:space="0" w:color="auto"/>
              <w:right w:val="single" w:sz="4" w:space="0" w:color="auto"/>
            </w:tcBorders>
            <w:noWrap/>
            <w:vAlign w:val="bottom"/>
            <w:hideMark/>
          </w:tcPr>
          <w:p w14:paraId="3738BD5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1,663,644</w:t>
            </w:r>
          </w:p>
        </w:tc>
        <w:tc>
          <w:tcPr>
            <w:tcW w:w="1316" w:type="dxa"/>
            <w:tcBorders>
              <w:top w:val="nil"/>
              <w:left w:val="nil"/>
              <w:bottom w:val="single" w:sz="4" w:space="0" w:color="auto"/>
              <w:right w:val="single" w:sz="4" w:space="0" w:color="auto"/>
            </w:tcBorders>
            <w:noWrap/>
            <w:vAlign w:val="bottom"/>
            <w:hideMark/>
          </w:tcPr>
          <w:p w14:paraId="16C3DB7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1,786,844</w:t>
            </w:r>
          </w:p>
        </w:tc>
        <w:tc>
          <w:tcPr>
            <w:tcW w:w="1316" w:type="dxa"/>
            <w:tcBorders>
              <w:top w:val="nil"/>
              <w:left w:val="nil"/>
              <w:bottom w:val="single" w:sz="4" w:space="0" w:color="auto"/>
              <w:right w:val="single" w:sz="4" w:space="0" w:color="auto"/>
            </w:tcBorders>
            <w:noWrap/>
            <w:vAlign w:val="bottom"/>
            <w:hideMark/>
          </w:tcPr>
          <w:p w14:paraId="72C7348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1,786,844</w:t>
            </w:r>
          </w:p>
        </w:tc>
        <w:tc>
          <w:tcPr>
            <w:tcW w:w="1316" w:type="dxa"/>
            <w:tcBorders>
              <w:top w:val="nil"/>
              <w:left w:val="nil"/>
              <w:bottom w:val="single" w:sz="4" w:space="0" w:color="auto"/>
              <w:right w:val="single" w:sz="4" w:space="0" w:color="auto"/>
            </w:tcBorders>
            <w:noWrap/>
            <w:vAlign w:val="bottom"/>
            <w:hideMark/>
          </w:tcPr>
          <w:p w14:paraId="5F37FAA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1,786,844</w:t>
            </w:r>
          </w:p>
        </w:tc>
      </w:tr>
      <w:tr w:rsidR="00EA0FD7" w:rsidRPr="00EA0FD7" w14:paraId="22EFD9EA" w14:textId="77777777" w:rsidTr="00EA0FD7">
        <w:trPr>
          <w:trHeight w:val="406"/>
        </w:trPr>
        <w:tc>
          <w:tcPr>
            <w:tcW w:w="1177" w:type="dxa"/>
            <w:tcBorders>
              <w:top w:val="nil"/>
              <w:left w:val="single" w:sz="8" w:space="0" w:color="auto"/>
              <w:bottom w:val="single" w:sz="4" w:space="0" w:color="auto"/>
              <w:right w:val="single" w:sz="4" w:space="0" w:color="auto"/>
            </w:tcBorders>
            <w:noWrap/>
            <w:vAlign w:val="bottom"/>
            <w:hideMark/>
          </w:tcPr>
          <w:p w14:paraId="1A8C981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613000</w:t>
            </w:r>
          </w:p>
        </w:tc>
        <w:tc>
          <w:tcPr>
            <w:tcW w:w="2460" w:type="dxa"/>
            <w:tcBorders>
              <w:top w:val="nil"/>
              <w:left w:val="nil"/>
              <w:bottom w:val="single" w:sz="4" w:space="0" w:color="auto"/>
              <w:right w:val="single" w:sz="4" w:space="0" w:color="auto"/>
            </w:tcBorders>
            <w:vAlign w:val="bottom"/>
            <w:hideMark/>
          </w:tcPr>
          <w:p w14:paraId="1EB2CB6D"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материјал, робе, ситан инвентар и услуге</w:t>
            </w:r>
          </w:p>
        </w:tc>
        <w:tc>
          <w:tcPr>
            <w:tcW w:w="1411" w:type="dxa"/>
            <w:tcBorders>
              <w:top w:val="nil"/>
              <w:left w:val="nil"/>
              <w:bottom w:val="single" w:sz="4" w:space="0" w:color="auto"/>
              <w:right w:val="single" w:sz="4" w:space="0" w:color="auto"/>
            </w:tcBorders>
            <w:noWrap/>
            <w:vAlign w:val="bottom"/>
            <w:hideMark/>
          </w:tcPr>
          <w:p w14:paraId="4C32CE4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10,114,059.00</w:t>
            </w:r>
          </w:p>
        </w:tc>
        <w:tc>
          <w:tcPr>
            <w:tcW w:w="1408" w:type="dxa"/>
            <w:tcBorders>
              <w:top w:val="nil"/>
              <w:left w:val="nil"/>
              <w:bottom w:val="single" w:sz="4" w:space="0" w:color="auto"/>
              <w:right w:val="single" w:sz="4" w:space="0" w:color="auto"/>
            </w:tcBorders>
            <w:noWrap/>
            <w:vAlign w:val="bottom"/>
            <w:hideMark/>
          </w:tcPr>
          <w:p w14:paraId="541F77E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9,647,335.63</w:t>
            </w:r>
          </w:p>
        </w:tc>
        <w:tc>
          <w:tcPr>
            <w:tcW w:w="1336" w:type="dxa"/>
            <w:tcBorders>
              <w:top w:val="nil"/>
              <w:left w:val="nil"/>
              <w:bottom w:val="single" w:sz="4" w:space="0" w:color="auto"/>
              <w:right w:val="single" w:sz="4" w:space="0" w:color="auto"/>
            </w:tcBorders>
            <w:noWrap/>
            <w:vAlign w:val="bottom"/>
            <w:hideMark/>
          </w:tcPr>
          <w:p w14:paraId="5647CAC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9,477,800.00</w:t>
            </w:r>
          </w:p>
        </w:tc>
        <w:tc>
          <w:tcPr>
            <w:tcW w:w="1316" w:type="dxa"/>
            <w:tcBorders>
              <w:top w:val="nil"/>
              <w:left w:val="nil"/>
              <w:bottom w:val="single" w:sz="4" w:space="0" w:color="auto"/>
              <w:right w:val="single" w:sz="4" w:space="0" w:color="auto"/>
            </w:tcBorders>
            <w:noWrap/>
            <w:vAlign w:val="bottom"/>
            <w:hideMark/>
          </w:tcPr>
          <w:p w14:paraId="1B3C44A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11,144,400</w:t>
            </w:r>
          </w:p>
        </w:tc>
        <w:tc>
          <w:tcPr>
            <w:tcW w:w="1316" w:type="dxa"/>
            <w:tcBorders>
              <w:top w:val="nil"/>
              <w:left w:val="nil"/>
              <w:bottom w:val="single" w:sz="4" w:space="0" w:color="auto"/>
              <w:right w:val="single" w:sz="4" w:space="0" w:color="auto"/>
            </w:tcBorders>
            <w:noWrap/>
            <w:vAlign w:val="bottom"/>
            <w:hideMark/>
          </w:tcPr>
          <w:p w14:paraId="7221E81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11,144,700</w:t>
            </w:r>
          </w:p>
        </w:tc>
        <w:tc>
          <w:tcPr>
            <w:tcW w:w="1316" w:type="dxa"/>
            <w:tcBorders>
              <w:top w:val="nil"/>
              <w:left w:val="nil"/>
              <w:bottom w:val="single" w:sz="4" w:space="0" w:color="auto"/>
              <w:right w:val="single" w:sz="4" w:space="0" w:color="auto"/>
            </w:tcBorders>
            <w:noWrap/>
            <w:vAlign w:val="bottom"/>
            <w:hideMark/>
          </w:tcPr>
          <w:p w14:paraId="19D1DA7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11,144,700</w:t>
            </w:r>
          </w:p>
        </w:tc>
        <w:tc>
          <w:tcPr>
            <w:tcW w:w="1316" w:type="dxa"/>
            <w:tcBorders>
              <w:top w:val="nil"/>
              <w:left w:val="nil"/>
              <w:bottom w:val="single" w:sz="4" w:space="0" w:color="auto"/>
              <w:right w:val="single" w:sz="4" w:space="0" w:color="auto"/>
            </w:tcBorders>
            <w:noWrap/>
            <w:vAlign w:val="bottom"/>
            <w:hideMark/>
          </w:tcPr>
          <w:p w14:paraId="22B75A9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10,644,400</w:t>
            </w:r>
          </w:p>
        </w:tc>
        <w:tc>
          <w:tcPr>
            <w:tcW w:w="1316" w:type="dxa"/>
            <w:tcBorders>
              <w:top w:val="nil"/>
              <w:left w:val="nil"/>
              <w:bottom w:val="single" w:sz="4" w:space="0" w:color="auto"/>
              <w:right w:val="single" w:sz="4" w:space="0" w:color="auto"/>
            </w:tcBorders>
            <w:noWrap/>
            <w:vAlign w:val="bottom"/>
            <w:hideMark/>
          </w:tcPr>
          <w:p w14:paraId="6F1BAF7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11,144,700</w:t>
            </w:r>
          </w:p>
        </w:tc>
        <w:tc>
          <w:tcPr>
            <w:tcW w:w="1316" w:type="dxa"/>
            <w:tcBorders>
              <w:top w:val="nil"/>
              <w:left w:val="nil"/>
              <w:bottom w:val="single" w:sz="4" w:space="0" w:color="auto"/>
              <w:right w:val="single" w:sz="4" w:space="0" w:color="auto"/>
            </w:tcBorders>
            <w:noWrap/>
            <w:vAlign w:val="bottom"/>
            <w:hideMark/>
          </w:tcPr>
          <w:p w14:paraId="142678A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11,144,700</w:t>
            </w:r>
          </w:p>
        </w:tc>
      </w:tr>
      <w:tr w:rsidR="00EA0FD7" w:rsidRPr="00EA0FD7" w14:paraId="2F8363D0" w14:textId="77777777" w:rsidTr="00EA0FD7">
        <w:trPr>
          <w:trHeight w:val="352"/>
        </w:trPr>
        <w:tc>
          <w:tcPr>
            <w:tcW w:w="1177" w:type="dxa"/>
            <w:tcBorders>
              <w:top w:val="nil"/>
              <w:left w:val="single" w:sz="8" w:space="0" w:color="auto"/>
              <w:bottom w:val="single" w:sz="4" w:space="0" w:color="auto"/>
              <w:right w:val="single" w:sz="4" w:space="0" w:color="auto"/>
            </w:tcBorders>
            <w:vAlign w:val="bottom"/>
            <w:hideMark/>
          </w:tcPr>
          <w:p w14:paraId="6687BCC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614000</w:t>
            </w:r>
          </w:p>
        </w:tc>
        <w:tc>
          <w:tcPr>
            <w:tcW w:w="2460" w:type="dxa"/>
            <w:tcBorders>
              <w:top w:val="nil"/>
              <w:left w:val="nil"/>
              <w:bottom w:val="single" w:sz="4" w:space="0" w:color="auto"/>
              <w:right w:val="single" w:sz="4" w:space="0" w:color="auto"/>
            </w:tcBorders>
            <w:vAlign w:val="bottom"/>
            <w:hideMark/>
          </w:tcPr>
          <w:p w14:paraId="0061DECF"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Текући трансфери, донације и субвенције</w:t>
            </w:r>
          </w:p>
        </w:tc>
        <w:tc>
          <w:tcPr>
            <w:tcW w:w="1411" w:type="dxa"/>
            <w:tcBorders>
              <w:top w:val="nil"/>
              <w:left w:val="nil"/>
              <w:bottom w:val="single" w:sz="4" w:space="0" w:color="auto"/>
              <w:right w:val="single" w:sz="4" w:space="0" w:color="auto"/>
            </w:tcBorders>
            <w:noWrap/>
            <w:vAlign w:val="bottom"/>
            <w:hideMark/>
          </w:tcPr>
          <w:p w14:paraId="45AD6DB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1,255,600.00</w:t>
            </w:r>
          </w:p>
        </w:tc>
        <w:tc>
          <w:tcPr>
            <w:tcW w:w="1408" w:type="dxa"/>
            <w:tcBorders>
              <w:top w:val="nil"/>
              <w:left w:val="nil"/>
              <w:bottom w:val="single" w:sz="4" w:space="0" w:color="auto"/>
              <w:right w:val="single" w:sz="4" w:space="0" w:color="auto"/>
            </w:tcBorders>
            <w:noWrap/>
            <w:vAlign w:val="bottom"/>
            <w:hideMark/>
          </w:tcPr>
          <w:p w14:paraId="2957AA8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1,081,000.00</w:t>
            </w:r>
          </w:p>
        </w:tc>
        <w:tc>
          <w:tcPr>
            <w:tcW w:w="1336" w:type="dxa"/>
            <w:tcBorders>
              <w:top w:val="nil"/>
              <w:left w:val="nil"/>
              <w:bottom w:val="single" w:sz="4" w:space="0" w:color="auto"/>
              <w:right w:val="single" w:sz="4" w:space="0" w:color="auto"/>
            </w:tcBorders>
            <w:noWrap/>
            <w:vAlign w:val="bottom"/>
            <w:hideMark/>
          </w:tcPr>
          <w:p w14:paraId="2335CE1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1,070,600.00</w:t>
            </w:r>
          </w:p>
        </w:tc>
        <w:tc>
          <w:tcPr>
            <w:tcW w:w="1316" w:type="dxa"/>
            <w:tcBorders>
              <w:top w:val="nil"/>
              <w:left w:val="nil"/>
              <w:bottom w:val="single" w:sz="4" w:space="0" w:color="auto"/>
              <w:right w:val="single" w:sz="4" w:space="0" w:color="auto"/>
            </w:tcBorders>
            <w:noWrap/>
            <w:vAlign w:val="bottom"/>
            <w:hideMark/>
          </w:tcPr>
          <w:p w14:paraId="62311CE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1,421,600</w:t>
            </w:r>
          </w:p>
        </w:tc>
        <w:tc>
          <w:tcPr>
            <w:tcW w:w="1316" w:type="dxa"/>
            <w:tcBorders>
              <w:top w:val="nil"/>
              <w:left w:val="nil"/>
              <w:bottom w:val="single" w:sz="4" w:space="0" w:color="auto"/>
              <w:right w:val="single" w:sz="4" w:space="0" w:color="auto"/>
            </w:tcBorders>
            <w:noWrap/>
            <w:vAlign w:val="bottom"/>
            <w:hideMark/>
          </w:tcPr>
          <w:p w14:paraId="112EB91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1,521,600</w:t>
            </w:r>
          </w:p>
        </w:tc>
        <w:tc>
          <w:tcPr>
            <w:tcW w:w="1316" w:type="dxa"/>
            <w:tcBorders>
              <w:top w:val="nil"/>
              <w:left w:val="nil"/>
              <w:bottom w:val="single" w:sz="4" w:space="0" w:color="auto"/>
              <w:right w:val="single" w:sz="4" w:space="0" w:color="auto"/>
            </w:tcBorders>
            <w:noWrap/>
            <w:vAlign w:val="bottom"/>
            <w:hideMark/>
          </w:tcPr>
          <w:p w14:paraId="4880564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1,581,600</w:t>
            </w:r>
          </w:p>
        </w:tc>
        <w:tc>
          <w:tcPr>
            <w:tcW w:w="1316" w:type="dxa"/>
            <w:tcBorders>
              <w:top w:val="nil"/>
              <w:left w:val="nil"/>
              <w:bottom w:val="single" w:sz="4" w:space="0" w:color="auto"/>
              <w:right w:val="single" w:sz="4" w:space="0" w:color="auto"/>
            </w:tcBorders>
            <w:noWrap/>
            <w:vAlign w:val="bottom"/>
            <w:hideMark/>
          </w:tcPr>
          <w:p w14:paraId="7E7B3D0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1,421,600</w:t>
            </w:r>
          </w:p>
        </w:tc>
        <w:tc>
          <w:tcPr>
            <w:tcW w:w="1316" w:type="dxa"/>
            <w:tcBorders>
              <w:top w:val="nil"/>
              <w:left w:val="nil"/>
              <w:bottom w:val="single" w:sz="4" w:space="0" w:color="auto"/>
              <w:right w:val="single" w:sz="4" w:space="0" w:color="auto"/>
            </w:tcBorders>
            <w:noWrap/>
            <w:vAlign w:val="bottom"/>
            <w:hideMark/>
          </w:tcPr>
          <w:p w14:paraId="58E1482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1,521,600</w:t>
            </w:r>
          </w:p>
        </w:tc>
        <w:tc>
          <w:tcPr>
            <w:tcW w:w="1316" w:type="dxa"/>
            <w:tcBorders>
              <w:top w:val="nil"/>
              <w:left w:val="nil"/>
              <w:bottom w:val="single" w:sz="4" w:space="0" w:color="auto"/>
              <w:right w:val="single" w:sz="4" w:space="0" w:color="auto"/>
            </w:tcBorders>
            <w:noWrap/>
            <w:vAlign w:val="bottom"/>
            <w:hideMark/>
          </w:tcPr>
          <w:p w14:paraId="559AD25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1,581,600</w:t>
            </w:r>
          </w:p>
        </w:tc>
      </w:tr>
      <w:tr w:rsidR="00EA0FD7" w:rsidRPr="00EA0FD7" w14:paraId="0CB43DF9" w14:textId="77777777" w:rsidTr="00EA0FD7">
        <w:trPr>
          <w:trHeight w:val="240"/>
        </w:trPr>
        <w:tc>
          <w:tcPr>
            <w:tcW w:w="1177" w:type="dxa"/>
            <w:tcBorders>
              <w:top w:val="nil"/>
              <w:left w:val="single" w:sz="8" w:space="0" w:color="auto"/>
              <w:bottom w:val="nil"/>
              <w:right w:val="single" w:sz="4" w:space="0" w:color="auto"/>
            </w:tcBorders>
            <w:vAlign w:val="bottom"/>
            <w:hideMark/>
          </w:tcPr>
          <w:p w14:paraId="5E98FC1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615000</w:t>
            </w:r>
          </w:p>
        </w:tc>
        <w:tc>
          <w:tcPr>
            <w:tcW w:w="2460" w:type="dxa"/>
            <w:tcBorders>
              <w:top w:val="nil"/>
              <w:left w:val="nil"/>
              <w:bottom w:val="nil"/>
              <w:right w:val="single" w:sz="4" w:space="0" w:color="auto"/>
            </w:tcBorders>
            <w:vAlign w:val="bottom"/>
            <w:hideMark/>
          </w:tcPr>
          <w:p w14:paraId="2E0C4D9C"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Капитални трансфери и донације</w:t>
            </w:r>
          </w:p>
        </w:tc>
        <w:tc>
          <w:tcPr>
            <w:tcW w:w="1411" w:type="dxa"/>
            <w:tcBorders>
              <w:top w:val="nil"/>
              <w:left w:val="nil"/>
              <w:bottom w:val="nil"/>
              <w:right w:val="single" w:sz="4" w:space="0" w:color="auto"/>
            </w:tcBorders>
            <w:noWrap/>
            <w:vAlign w:val="bottom"/>
            <w:hideMark/>
          </w:tcPr>
          <w:p w14:paraId="290A1D2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08" w:type="dxa"/>
            <w:tcBorders>
              <w:top w:val="nil"/>
              <w:left w:val="nil"/>
              <w:bottom w:val="nil"/>
              <w:right w:val="single" w:sz="4" w:space="0" w:color="auto"/>
            </w:tcBorders>
            <w:noWrap/>
            <w:vAlign w:val="bottom"/>
            <w:hideMark/>
          </w:tcPr>
          <w:p w14:paraId="040E60C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36" w:type="dxa"/>
            <w:tcBorders>
              <w:top w:val="nil"/>
              <w:left w:val="nil"/>
              <w:bottom w:val="nil"/>
              <w:right w:val="single" w:sz="4" w:space="0" w:color="auto"/>
            </w:tcBorders>
            <w:noWrap/>
            <w:vAlign w:val="bottom"/>
            <w:hideMark/>
          </w:tcPr>
          <w:p w14:paraId="36A4725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16" w:type="dxa"/>
            <w:tcBorders>
              <w:top w:val="nil"/>
              <w:left w:val="nil"/>
              <w:bottom w:val="nil"/>
              <w:right w:val="single" w:sz="4" w:space="0" w:color="auto"/>
            </w:tcBorders>
            <w:noWrap/>
            <w:vAlign w:val="bottom"/>
            <w:hideMark/>
          </w:tcPr>
          <w:p w14:paraId="5DC238B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nil"/>
              <w:right w:val="single" w:sz="4" w:space="0" w:color="auto"/>
            </w:tcBorders>
            <w:noWrap/>
            <w:vAlign w:val="bottom"/>
            <w:hideMark/>
          </w:tcPr>
          <w:p w14:paraId="7F075DA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nil"/>
              <w:right w:val="single" w:sz="4" w:space="0" w:color="auto"/>
            </w:tcBorders>
            <w:noWrap/>
            <w:vAlign w:val="bottom"/>
            <w:hideMark/>
          </w:tcPr>
          <w:p w14:paraId="58A1F72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nil"/>
              <w:right w:val="single" w:sz="4" w:space="0" w:color="auto"/>
            </w:tcBorders>
            <w:noWrap/>
            <w:vAlign w:val="bottom"/>
            <w:hideMark/>
          </w:tcPr>
          <w:p w14:paraId="5893D20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nil"/>
              <w:right w:val="single" w:sz="4" w:space="0" w:color="auto"/>
            </w:tcBorders>
            <w:noWrap/>
            <w:vAlign w:val="bottom"/>
            <w:hideMark/>
          </w:tcPr>
          <w:p w14:paraId="39EC891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nil"/>
              <w:right w:val="single" w:sz="4" w:space="0" w:color="auto"/>
            </w:tcBorders>
            <w:noWrap/>
            <w:vAlign w:val="bottom"/>
            <w:hideMark/>
          </w:tcPr>
          <w:p w14:paraId="4253320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r>
      <w:tr w:rsidR="00EA0FD7" w:rsidRPr="00EA0FD7" w14:paraId="18C480CE" w14:textId="77777777" w:rsidTr="00EA0FD7">
        <w:trPr>
          <w:trHeight w:val="433"/>
        </w:trPr>
        <w:tc>
          <w:tcPr>
            <w:tcW w:w="1177" w:type="dxa"/>
            <w:tcBorders>
              <w:top w:val="single" w:sz="4" w:space="0" w:color="auto"/>
              <w:left w:val="single" w:sz="8" w:space="0" w:color="auto"/>
              <w:bottom w:val="nil"/>
              <w:right w:val="single" w:sz="4" w:space="0" w:color="auto"/>
            </w:tcBorders>
            <w:noWrap/>
            <w:vAlign w:val="bottom"/>
            <w:hideMark/>
          </w:tcPr>
          <w:p w14:paraId="79BA28B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821000</w:t>
            </w:r>
          </w:p>
        </w:tc>
        <w:tc>
          <w:tcPr>
            <w:tcW w:w="2460" w:type="dxa"/>
            <w:tcBorders>
              <w:top w:val="single" w:sz="4" w:space="0" w:color="auto"/>
              <w:left w:val="nil"/>
              <w:bottom w:val="nil"/>
              <w:right w:val="single" w:sz="4" w:space="0" w:color="auto"/>
            </w:tcBorders>
            <w:vAlign w:val="bottom"/>
            <w:hideMark/>
          </w:tcPr>
          <w:p w14:paraId="75B9A5BC"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набавку сталних средстава</w:t>
            </w:r>
          </w:p>
        </w:tc>
        <w:tc>
          <w:tcPr>
            <w:tcW w:w="1411" w:type="dxa"/>
            <w:tcBorders>
              <w:top w:val="single" w:sz="4" w:space="0" w:color="auto"/>
              <w:left w:val="nil"/>
              <w:bottom w:val="nil"/>
              <w:right w:val="single" w:sz="4" w:space="0" w:color="auto"/>
            </w:tcBorders>
            <w:noWrap/>
            <w:vAlign w:val="bottom"/>
            <w:hideMark/>
          </w:tcPr>
          <w:p w14:paraId="6E181DC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2,209,758.23</w:t>
            </w:r>
          </w:p>
        </w:tc>
        <w:tc>
          <w:tcPr>
            <w:tcW w:w="1408" w:type="dxa"/>
            <w:tcBorders>
              <w:top w:val="single" w:sz="4" w:space="0" w:color="auto"/>
              <w:left w:val="nil"/>
              <w:bottom w:val="nil"/>
              <w:right w:val="single" w:sz="4" w:space="0" w:color="auto"/>
            </w:tcBorders>
            <w:noWrap/>
            <w:vAlign w:val="bottom"/>
            <w:hideMark/>
          </w:tcPr>
          <w:p w14:paraId="2E3C08B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220,815.09</w:t>
            </w:r>
          </w:p>
        </w:tc>
        <w:tc>
          <w:tcPr>
            <w:tcW w:w="1336" w:type="dxa"/>
            <w:tcBorders>
              <w:top w:val="single" w:sz="4" w:space="0" w:color="auto"/>
              <w:left w:val="nil"/>
              <w:bottom w:val="nil"/>
              <w:right w:val="single" w:sz="4" w:space="0" w:color="auto"/>
            </w:tcBorders>
            <w:noWrap/>
            <w:vAlign w:val="bottom"/>
            <w:hideMark/>
          </w:tcPr>
          <w:p w14:paraId="5027BDE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1,875,700.00</w:t>
            </w:r>
          </w:p>
        </w:tc>
        <w:tc>
          <w:tcPr>
            <w:tcW w:w="1316" w:type="dxa"/>
            <w:tcBorders>
              <w:top w:val="single" w:sz="4" w:space="0" w:color="auto"/>
              <w:left w:val="nil"/>
              <w:bottom w:val="nil"/>
              <w:right w:val="single" w:sz="4" w:space="0" w:color="auto"/>
            </w:tcBorders>
            <w:noWrap/>
            <w:vAlign w:val="bottom"/>
            <w:hideMark/>
          </w:tcPr>
          <w:p w14:paraId="1FAC59A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4,522,700</w:t>
            </w:r>
          </w:p>
        </w:tc>
        <w:tc>
          <w:tcPr>
            <w:tcW w:w="1316" w:type="dxa"/>
            <w:tcBorders>
              <w:top w:val="single" w:sz="4" w:space="0" w:color="auto"/>
              <w:left w:val="nil"/>
              <w:bottom w:val="nil"/>
              <w:right w:val="single" w:sz="4" w:space="0" w:color="auto"/>
            </w:tcBorders>
            <w:noWrap/>
            <w:vAlign w:val="bottom"/>
            <w:hideMark/>
          </w:tcPr>
          <w:p w14:paraId="31F8FBC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3,722,700</w:t>
            </w:r>
          </w:p>
        </w:tc>
        <w:tc>
          <w:tcPr>
            <w:tcW w:w="1316" w:type="dxa"/>
            <w:tcBorders>
              <w:top w:val="single" w:sz="4" w:space="0" w:color="auto"/>
              <w:left w:val="nil"/>
              <w:bottom w:val="nil"/>
              <w:right w:val="single" w:sz="4" w:space="0" w:color="auto"/>
            </w:tcBorders>
            <w:noWrap/>
            <w:vAlign w:val="bottom"/>
            <w:hideMark/>
          </w:tcPr>
          <w:p w14:paraId="37DF77B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1,672,700</w:t>
            </w:r>
          </w:p>
        </w:tc>
        <w:tc>
          <w:tcPr>
            <w:tcW w:w="1316" w:type="dxa"/>
            <w:tcBorders>
              <w:top w:val="single" w:sz="4" w:space="0" w:color="auto"/>
              <w:left w:val="nil"/>
              <w:bottom w:val="nil"/>
              <w:right w:val="single" w:sz="4" w:space="0" w:color="auto"/>
            </w:tcBorders>
            <w:noWrap/>
            <w:vAlign w:val="bottom"/>
            <w:hideMark/>
          </w:tcPr>
          <w:p w14:paraId="130004A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2,272,700</w:t>
            </w:r>
          </w:p>
        </w:tc>
        <w:tc>
          <w:tcPr>
            <w:tcW w:w="1316" w:type="dxa"/>
            <w:tcBorders>
              <w:top w:val="single" w:sz="4" w:space="0" w:color="auto"/>
              <w:left w:val="nil"/>
              <w:bottom w:val="nil"/>
              <w:right w:val="single" w:sz="4" w:space="0" w:color="auto"/>
            </w:tcBorders>
            <w:noWrap/>
            <w:vAlign w:val="bottom"/>
            <w:hideMark/>
          </w:tcPr>
          <w:p w14:paraId="02BECFA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3,722,700</w:t>
            </w:r>
          </w:p>
        </w:tc>
        <w:tc>
          <w:tcPr>
            <w:tcW w:w="1316" w:type="dxa"/>
            <w:tcBorders>
              <w:top w:val="single" w:sz="4" w:space="0" w:color="auto"/>
              <w:left w:val="nil"/>
              <w:bottom w:val="nil"/>
              <w:right w:val="single" w:sz="4" w:space="0" w:color="auto"/>
            </w:tcBorders>
            <w:noWrap/>
            <w:vAlign w:val="bottom"/>
            <w:hideMark/>
          </w:tcPr>
          <w:p w14:paraId="6D31563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4,672,700</w:t>
            </w:r>
          </w:p>
        </w:tc>
      </w:tr>
      <w:tr w:rsidR="00EA0FD7" w:rsidRPr="00EA0FD7" w14:paraId="044AC42D" w14:textId="77777777" w:rsidTr="00EA0FD7">
        <w:trPr>
          <w:trHeight w:val="270"/>
        </w:trPr>
        <w:tc>
          <w:tcPr>
            <w:tcW w:w="1177" w:type="dxa"/>
            <w:tcBorders>
              <w:top w:val="single" w:sz="8" w:space="0" w:color="auto"/>
              <w:left w:val="single" w:sz="8" w:space="0" w:color="auto"/>
              <w:bottom w:val="single" w:sz="8" w:space="0" w:color="auto"/>
              <w:right w:val="single" w:sz="8" w:space="0" w:color="auto"/>
            </w:tcBorders>
            <w:noWrap/>
            <w:vAlign w:val="bottom"/>
            <w:hideMark/>
          </w:tcPr>
          <w:p w14:paraId="458E11B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60" w:type="dxa"/>
            <w:tcBorders>
              <w:top w:val="single" w:sz="8" w:space="0" w:color="auto"/>
              <w:left w:val="nil"/>
              <w:bottom w:val="single" w:sz="8" w:space="0" w:color="auto"/>
              <w:right w:val="single" w:sz="8" w:space="0" w:color="auto"/>
            </w:tcBorders>
            <w:noWrap/>
            <w:vAlign w:val="bottom"/>
            <w:hideMark/>
          </w:tcPr>
          <w:p w14:paraId="764A59C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411" w:type="dxa"/>
            <w:tcBorders>
              <w:top w:val="single" w:sz="8" w:space="0" w:color="auto"/>
              <w:left w:val="nil"/>
              <w:bottom w:val="single" w:sz="8" w:space="0" w:color="auto"/>
              <w:right w:val="single" w:sz="8" w:space="0" w:color="auto"/>
            </w:tcBorders>
            <w:noWrap/>
            <w:vAlign w:val="bottom"/>
            <w:hideMark/>
          </w:tcPr>
          <w:p w14:paraId="1D62AE9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45,070,919.33</w:t>
            </w:r>
          </w:p>
        </w:tc>
        <w:tc>
          <w:tcPr>
            <w:tcW w:w="1408" w:type="dxa"/>
            <w:tcBorders>
              <w:top w:val="single" w:sz="8" w:space="0" w:color="auto"/>
              <w:left w:val="nil"/>
              <w:bottom w:val="single" w:sz="8" w:space="0" w:color="auto"/>
              <w:right w:val="single" w:sz="8" w:space="0" w:color="auto"/>
            </w:tcBorders>
            <w:noWrap/>
            <w:vAlign w:val="bottom"/>
            <w:hideMark/>
          </w:tcPr>
          <w:p w14:paraId="6DCF959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41,697,297.42</w:t>
            </w:r>
          </w:p>
        </w:tc>
        <w:tc>
          <w:tcPr>
            <w:tcW w:w="1336" w:type="dxa"/>
            <w:tcBorders>
              <w:top w:val="single" w:sz="8" w:space="0" w:color="auto"/>
              <w:left w:val="nil"/>
              <w:bottom w:val="single" w:sz="8" w:space="0" w:color="auto"/>
              <w:right w:val="single" w:sz="8" w:space="0" w:color="auto"/>
            </w:tcBorders>
            <w:noWrap/>
            <w:vAlign w:val="bottom"/>
            <w:hideMark/>
          </w:tcPr>
          <w:p w14:paraId="4FAB96E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46,545,903.58</w:t>
            </w:r>
          </w:p>
        </w:tc>
        <w:tc>
          <w:tcPr>
            <w:tcW w:w="1316" w:type="dxa"/>
            <w:tcBorders>
              <w:top w:val="single" w:sz="8" w:space="0" w:color="auto"/>
              <w:left w:val="nil"/>
              <w:bottom w:val="single" w:sz="8" w:space="0" w:color="auto"/>
              <w:right w:val="single" w:sz="8" w:space="0" w:color="auto"/>
            </w:tcBorders>
            <w:noWrap/>
            <w:vAlign w:val="bottom"/>
            <w:hideMark/>
          </w:tcPr>
          <w:p w14:paraId="04C9FBB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51,117,467</w:t>
            </w:r>
          </w:p>
        </w:tc>
        <w:tc>
          <w:tcPr>
            <w:tcW w:w="1316" w:type="dxa"/>
            <w:tcBorders>
              <w:top w:val="single" w:sz="8" w:space="0" w:color="auto"/>
              <w:left w:val="nil"/>
              <w:bottom w:val="single" w:sz="8" w:space="0" w:color="auto"/>
              <w:right w:val="single" w:sz="8" w:space="0" w:color="auto"/>
            </w:tcBorders>
            <w:noWrap/>
            <w:vAlign w:val="bottom"/>
            <w:hideMark/>
          </w:tcPr>
          <w:p w14:paraId="53CA210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50,417,767</w:t>
            </w:r>
          </w:p>
        </w:tc>
        <w:tc>
          <w:tcPr>
            <w:tcW w:w="1316" w:type="dxa"/>
            <w:tcBorders>
              <w:top w:val="single" w:sz="8" w:space="0" w:color="auto"/>
              <w:left w:val="nil"/>
              <w:bottom w:val="single" w:sz="8" w:space="0" w:color="auto"/>
              <w:right w:val="single" w:sz="8" w:space="0" w:color="auto"/>
            </w:tcBorders>
            <w:noWrap/>
            <w:vAlign w:val="bottom"/>
            <w:hideMark/>
          </w:tcPr>
          <w:p w14:paraId="0C61CDF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48,427,767</w:t>
            </w:r>
          </w:p>
        </w:tc>
        <w:tc>
          <w:tcPr>
            <w:tcW w:w="1316" w:type="dxa"/>
            <w:tcBorders>
              <w:top w:val="single" w:sz="8" w:space="0" w:color="auto"/>
              <w:left w:val="nil"/>
              <w:bottom w:val="single" w:sz="8" w:space="0" w:color="auto"/>
              <w:right w:val="single" w:sz="8" w:space="0" w:color="auto"/>
            </w:tcBorders>
            <w:noWrap/>
            <w:vAlign w:val="bottom"/>
            <w:hideMark/>
          </w:tcPr>
          <w:p w14:paraId="1F26DD4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49,983,974</w:t>
            </w:r>
          </w:p>
        </w:tc>
        <w:tc>
          <w:tcPr>
            <w:tcW w:w="1316" w:type="dxa"/>
            <w:tcBorders>
              <w:top w:val="single" w:sz="8" w:space="0" w:color="auto"/>
              <w:left w:val="nil"/>
              <w:bottom w:val="single" w:sz="8" w:space="0" w:color="auto"/>
              <w:right w:val="single" w:sz="8" w:space="0" w:color="auto"/>
            </w:tcBorders>
            <w:noWrap/>
            <w:vAlign w:val="bottom"/>
            <w:hideMark/>
          </w:tcPr>
          <w:p w14:paraId="3103221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52,034,274</w:t>
            </w:r>
          </w:p>
        </w:tc>
        <w:tc>
          <w:tcPr>
            <w:tcW w:w="1316" w:type="dxa"/>
            <w:tcBorders>
              <w:top w:val="single" w:sz="8" w:space="0" w:color="auto"/>
              <w:left w:val="nil"/>
              <w:bottom w:val="single" w:sz="8" w:space="0" w:color="auto"/>
              <w:right w:val="single" w:sz="8" w:space="0" w:color="auto"/>
            </w:tcBorders>
            <w:noWrap/>
            <w:vAlign w:val="bottom"/>
            <w:hideMark/>
          </w:tcPr>
          <w:p w14:paraId="603FA28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53,044,274</w:t>
            </w:r>
          </w:p>
        </w:tc>
      </w:tr>
      <w:tr w:rsidR="00EA0FD7" w:rsidRPr="00EA0FD7" w14:paraId="35AC79CB" w14:textId="77777777" w:rsidTr="00EA0FD7">
        <w:trPr>
          <w:trHeight w:val="198"/>
        </w:trPr>
        <w:tc>
          <w:tcPr>
            <w:tcW w:w="1177" w:type="dxa"/>
            <w:tcBorders>
              <w:top w:val="nil"/>
              <w:left w:val="single" w:sz="8" w:space="0" w:color="auto"/>
              <w:bottom w:val="single" w:sz="8" w:space="0" w:color="auto"/>
              <w:right w:val="nil"/>
            </w:tcBorders>
            <w:noWrap/>
            <w:vAlign w:val="bottom"/>
            <w:hideMark/>
          </w:tcPr>
          <w:p w14:paraId="4354AF7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60" w:type="dxa"/>
            <w:tcBorders>
              <w:top w:val="nil"/>
              <w:left w:val="nil"/>
              <w:bottom w:val="single" w:sz="8" w:space="0" w:color="auto"/>
              <w:right w:val="nil"/>
            </w:tcBorders>
            <w:noWrap/>
            <w:vAlign w:val="bottom"/>
            <w:hideMark/>
          </w:tcPr>
          <w:p w14:paraId="22DD30A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11" w:type="dxa"/>
            <w:tcBorders>
              <w:top w:val="nil"/>
              <w:left w:val="nil"/>
              <w:bottom w:val="single" w:sz="8" w:space="0" w:color="auto"/>
              <w:right w:val="nil"/>
            </w:tcBorders>
            <w:noWrap/>
            <w:vAlign w:val="bottom"/>
            <w:hideMark/>
          </w:tcPr>
          <w:p w14:paraId="1A9FE27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08" w:type="dxa"/>
            <w:tcBorders>
              <w:top w:val="nil"/>
              <w:left w:val="nil"/>
              <w:bottom w:val="single" w:sz="8" w:space="0" w:color="auto"/>
              <w:right w:val="nil"/>
            </w:tcBorders>
            <w:noWrap/>
            <w:vAlign w:val="bottom"/>
            <w:hideMark/>
          </w:tcPr>
          <w:p w14:paraId="02BEBAE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tcBorders>
              <w:top w:val="nil"/>
              <w:left w:val="nil"/>
              <w:bottom w:val="single" w:sz="8" w:space="0" w:color="auto"/>
              <w:right w:val="nil"/>
            </w:tcBorders>
            <w:noWrap/>
            <w:vAlign w:val="bottom"/>
            <w:hideMark/>
          </w:tcPr>
          <w:p w14:paraId="6A141B8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2072244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55E694C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09E6801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6ACCDE7A"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nil"/>
            </w:tcBorders>
            <w:noWrap/>
            <w:vAlign w:val="bottom"/>
            <w:hideMark/>
          </w:tcPr>
          <w:p w14:paraId="507FCC48"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single" w:sz="8" w:space="0" w:color="auto"/>
            </w:tcBorders>
            <w:noWrap/>
            <w:vAlign w:val="bottom"/>
            <w:hideMark/>
          </w:tcPr>
          <w:p w14:paraId="51CCB79A"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1D33BA35" w14:textId="77777777" w:rsidTr="00EA0FD7">
        <w:trPr>
          <w:trHeight w:val="270"/>
        </w:trPr>
        <w:tc>
          <w:tcPr>
            <w:tcW w:w="1177" w:type="dxa"/>
            <w:tcBorders>
              <w:top w:val="nil"/>
              <w:left w:val="single" w:sz="8" w:space="0" w:color="auto"/>
              <w:bottom w:val="single" w:sz="8" w:space="0" w:color="auto"/>
              <w:right w:val="single" w:sz="8" w:space="0" w:color="auto"/>
            </w:tcBorders>
            <w:noWrap/>
            <w:vAlign w:val="bottom"/>
            <w:hideMark/>
          </w:tcPr>
          <w:p w14:paraId="34C93B5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60" w:type="dxa"/>
            <w:tcBorders>
              <w:top w:val="nil"/>
              <w:left w:val="nil"/>
              <w:bottom w:val="single" w:sz="8" w:space="0" w:color="auto"/>
              <w:right w:val="single" w:sz="8" w:space="0" w:color="auto"/>
            </w:tcBorders>
            <w:noWrap/>
            <w:vAlign w:val="bottom"/>
            <w:hideMark/>
          </w:tcPr>
          <w:p w14:paraId="26F61CD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411" w:type="dxa"/>
            <w:tcBorders>
              <w:top w:val="nil"/>
              <w:left w:val="nil"/>
              <w:bottom w:val="single" w:sz="8" w:space="0" w:color="auto"/>
              <w:right w:val="single" w:sz="8" w:space="0" w:color="auto"/>
            </w:tcBorders>
            <w:noWrap/>
            <w:vAlign w:val="bottom"/>
            <w:hideMark/>
          </w:tcPr>
          <w:p w14:paraId="4ABE6D8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1074</w:t>
            </w:r>
          </w:p>
        </w:tc>
        <w:tc>
          <w:tcPr>
            <w:tcW w:w="1408" w:type="dxa"/>
            <w:tcBorders>
              <w:top w:val="nil"/>
              <w:left w:val="nil"/>
              <w:bottom w:val="single" w:sz="8" w:space="0" w:color="auto"/>
              <w:right w:val="single" w:sz="8" w:space="0" w:color="auto"/>
            </w:tcBorders>
            <w:noWrap/>
            <w:vAlign w:val="bottom"/>
            <w:hideMark/>
          </w:tcPr>
          <w:p w14:paraId="067DB29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968</w:t>
            </w:r>
          </w:p>
        </w:tc>
        <w:tc>
          <w:tcPr>
            <w:tcW w:w="1336" w:type="dxa"/>
            <w:tcBorders>
              <w:top w:val="nil"/>
              <w:left w:val="nil"/>
              <w:bottom w:val="single" w:sz="8" w:space="0" w:color="auto"/>
              <w:right w:val="single" w:sz="8" w:space="0" w:color="auto"/>
            </w:tcBorders>
            <w:noWrap/>
            <w:vAlign w:val="bottom"/>
            <w:hideMark/>
          </w:tcPr>
          <w:p w14:paraId="1F37E6D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1186</w:t>
            </w:r>
          </w:p>
        </w:tc>
        <w:tc>
          <w:tcPr>
            <w:tcW w:w="1316" w:type="dxa"/>
            <w:tcBorders>
              <w:top w:val="nil"/>
              <w:left w:val="nil"/>
              <w:bottom w:val="single" w:sz="8" w:space="0" w:color="auto"/>
              <w:right w:val="single" w:sz="8" w:space="0" w:color="auto"/>
            </w:tcBorders>
            <w:noWrap/>
            <w:vAlign w:val="bottom"/>
            <w:hideMark/>
          </w:tcPr>
          <w:p w14:paraId="3E9FF6F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1074</w:t>
            </w:r>
          </w:p>
        </w:tc>
        <w:tc>
          <w:tcPr>
            <w:tcW w:w="1316" w:type="dxa"/>
            <w:tcBorders>
              <w:top w:val="nil"/>
              <w:left w:val="nil"/>
              <w:bottom w:val="single" w:sz="8" w:space="0" w:color="auto"/>
              <w:right w:val="single" w:sz="8" w:space="0" w:color="auto"/>
            </w:tcBorders>
            <w:noWrap/>
            <w:vAlign w:val="bottom"/>
            <w:hideMark/>
          </w:tcPr>
          <w:p w14:paraId="19D1227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1074</w:t>
            </w:r>
          </w:p>
        </w:tc>
        <w:tc>
          <w:tcPr>
            <w:tcW w:w="1316" w:type="dxa"/>
            <w:tcBorders>
              <w:top w:val="nil"/>
              <w:left w:val="nil"/>
              <w:bottom w:val="single" w:sz="8" w:space="0" w:color="auto"/>
              <w:right w:val="single" w:sz="8" w:space="0" w:color="auto"/>
            </w:tcBorders>
            <w:noWrap/>
            <w:vAlign w:val="bottom"/>
            <w:hideMark/>
          </w:tcPr>
          <w:p w14:paraId="072306F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1074</w:t>
            </w:r>
          </w:p>
        </w:tc>
        <w:tc>
          <w:tcPr>
            <w:tcW w:w="1316" w:type="dxa"/>
            <w:tcBorders>
              <w:top w:val="nil"/>
              <w:left w:val="nil"/>
              <w:bottom w:val="single" w:sz="8" w:space="0" w:color="auto"/>
              <w:right w:val="single" w:sz="8" w:space="0" w:color="auto"/>
            </w:tcBorders>
            <w:noWrap/>
            <w:vAlign w:val="bottom"/>
            <w:hideMark/>
          </w:tcPr>
          <w:p w14:paraId="65CE26B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1186</w:t>
            </w:r>
          </w:p>
        </w:tc>
        <w:tc>
          <w:tcPr>
            <w:tcW w:w="1316" w:type="dxa"/>
            <w:tcBorders>
              <w:top w:val="nil"/>
              <w:left w:val="nil"/>
              <w:bottom w:val="single" w:sz="8" w:space="0" w:color="auto"/>
              <w:right w:val="single" w:sz="8" w:space="0" w:color="auto"/>
            </w:tcBorders>
            <w:noWrap/>
            <w:vAlign w:val="bottom"/>
            <w:hideMark/>
          </w:tcPr>
          <w:p w14:paraId="30B0FCA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1186</w:t>
            </w:r>
          </w:p>
        </w:tc>
        <w:tc>
          <w:tcPr>
            <w:tcW w:w="1316" w:type="dxa"/>
            <w:tcBorders>
              <w:top w:val="nil"/>
              <w:left w:val="nil"/>
              <w:bottom w:val="single" w:sz="8" w:space="0" w:color="auto"/>
              <w:right w:val="single" w:sz="8" w:space="0" w:color="auto"/>
            </w:tcBorders>
            <w:noWrap/>
            <w:vAlign w:val="bottom"/>
            <w:hideMark/>
          </w:tcPr>
          <w:p w14:paraId="10DA2E6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1186</w:t>
            </w:r>
          </w:p>
        </w:tc>
      </w:tr>
      <w:tr w:rsidR="00EA0FD7" w:rsidRPr="00EA0FD7" w14:paraId="5492AA18" w14:textId="77777777" w:rsidTr="00EA0FD7">
        <w:trPr>
          <w:trHeight w:val="240"/>
        </w:trPr>
        <w:tc>
          <w:tcPr>
            <w:tcW w:w="1177" w:type="dxa"/>
            <w:noWrap/>
            <w:vAlign w:val="bottom"/>
          </w:tcPr>
          <w:p w14:paraId="647B35FA"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2460" w:type="dxa"/>
            <w:noWrap/>
            <w:vAlign w:val="bottom"/>
          </w:tcPr>
          <w:p w14:paraId="65D2B6E6"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411" w:type="dxa"/>
            <w:noWrap/>
            <w:vAlign w:val="bottom"/>
          </w:tcPr>
          <w:p w14:paraId="5FBF71CA"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408" w:type="dxa"/>
            <w:noWrap/>
            <w:vAlign w:val="bottom"/>
          </w:tcPr>
          <w:p w14:paraId="4E7D433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p>
        </w:tc>
        <w:tc>
          <w:tcPr>
            <w:tcW w:w="1336" w:type="dxa"/>
            <w:noWrap/>
            <w:vAlign w:val="bottom"/>
          </w:tcPr>
          <w:p w14:paraId="3688D0AD"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39BA5710"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3CAACEF7"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7FD29E83"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4E17FE0D"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097A194F"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2C29A459" w14:textId="77777777" w:rsidR="00EA0FD7" w:rsidRPr="00EA0FD7" w:rsidRDefault="00EA0FD7" w:rsidP="00EA0FD7">
            <w:pPr>
              <w:spacing w:after="0" w:line="240" w:lineRule="auto"/>
              <w:rPr>
                <w:rFonts w:ascii="Arial" w:eastAsia="Times New Roman" w:hAnsi="Arial" w:cs="Arial"/>
                <w:b/>
                <w:bCs/>
                <w:sz w:val="18"/>
                <w:szCs w:val="18"/>
                <w:lang w:val="sr-Cyrl-RS"/>
              </w:rPr>
            </w:pPr>
          </w:p>
        </w:tc>
      </w:tr>
      <w:tr w:rsidR="00EA0FD7" w:rsidRPr="00EA0FD7" w14:paraId="1B7E118A" w14:textId="77777777" w:rsidTr="00EA0FD7">
        <w:trPr>
          <w:trHeight w:val="390"/>
        </w:trPr>
        <w:tc>
          <w:tcPr>
            <w:tcW w:w="9108" w:type="dxa"/>
            <w:gridSpan w:val="6"/>
            <w:tcBorders>
              <w:top w:val="nil"/>
              <w:left w:val="nil"/>
              <w:bottom w:val="single" w:sz="8" w:space="0" w:color="auto"/>
              <w:right w:val="nil"/>
            </w:tcBorders>
            <w:noWrap/>
            <w:vAlign w:val="bottom"/>
            <w:hideMark/>
          </w:tcPr>
          <w:p w14:paraId="19944AAA" w14:textId="25395A94"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21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ОДЈЕЉЕЊЕ ЗА ПРОСТОРНО ПЛАНИРАЊЕ И ИМОВИНСКОПРАВНЕ ПОСЛОВЕ</w:t>
            </w:r>
          </w:p>
        </w:tc>
        <w:tc>
          <w:tcPr>
            <w:tcW w:w="1316" w:type="dxa"/>
            <w:noWrap/>
            <w:vAlign w:val="bottom"/>
            <w:hideMark/>
          </w:tcPr>
          <w:p w14:paraId="69011D78"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xml:space="preserve"> </w:t>
            </w:r>
          </w:p>
        </w:tc>
        <w:tc>
          <w:tcPr>
            <w:tcW w:w="1316" w:type="dxa"/>
            <w:noWrap/>
            <w:vAlign w:val="bottom"/>
          </w:tcPr>
          <w:p w14:paraId="6AD469E5"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71EF6635"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0830EE60"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58359ABC"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45D0A7FA" w14:textId="77777777" w:rsidTr="00EA0FD7">
        <w:trPr>
          <w:trHeight w:val="300"/>
        </w:trPr>
        <w:tc>
          <w:tcPr>
            <w:tcW w:w="1177" w:type="dxa"/>
            <w:vMerge w:val="restart"/>
            <w:tcBorders>
              <w:top w:val="nil"/>
              <w:left w:val="single" w:sz="8" w:space="0" w:color="auto"/>
              <w:bottom w:val="single" w:sz="8" w:space="0" w:color="000000"/>
              <w:right w:val="single" w:sz="8" w:space="0" w:color="auto"/>
            </w:tcBorders>
            <w:shd w:val="clear" w:color="auto" w:fill="808080"/>
            <w:vAlign w:val="center"/>
            <w:hideMark/>
          </w:tcPr>
          <w:p w14:paraId="4E739C8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460" w:type="dxa"/>
            <w:vMerge w:val="restart"/>
            <w:tcBorders>
              <w:top w:val="nil"/>
              <w:left w:val="single" w:sz="8" w:space="0" w:color="auto"/>
              <w:bottom w:val="single" w:sz="8" w:space="0" w:color="000000"/>
              <w:right w:val="single" w:sz="8" w:space="0" w:color="auto"/>
            </w:tcBorders>
            <w:shd w:val="clear" w:color="auto" w:fill="808080"/>
            <w:vAlign w:val="center"/>
            <w:hideMark/>
          </w:tcPr>
          <w:p w14:paraId="4449704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411" w:type="dxa"/>
            <w:vMerge w:val="restart"/>
            <w:tcBorders>
              <w:top w:val="nil"/>
              <w:left w:val="single" w:sz="8" w:space="0" w:color="auto"/>
              <w:bottom w:val="single" w:sz="8" w:space="0" w:color="000000"/>
              <w:right w:val="single" w:sz="8" w:space="0" w:color="auto"/>
            </w:tcBorders>
            <w:shd w:val="clear" w:color="auto" w:fill="808080"/>
            <w:vAlign w:val="center"/>
            <w:hideMark/>
          </w:tcPr>
          <w:p w14:paraId="5065A10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408" w:type="dxa"/>
            <w:vMerge w:val="restart"/>
            <w:tcBorders>
              <w:top w:val="nil"/>
              <w:left w:val="single" w:sz="8" w:space="0" w:color="auto"/>
              <w:bottom w:val="single" w:sz="8" w:space="0" w:color="000000"/>
              <w:right w:val="single" w:sz="8" w:space="0" w:color="auto"/>
            </w:tcBorders>
            <w:shd w:val="clear" w:color="auto" w:fill="808080"/>
            <w:vAlign w:val="center"/>
            <w:hideMark/>
          </w:tcPr>
          <w:p w14:paraId="65DF2A5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36" w:type="dxa"/>
            <w:vMerge w:val="restart"/>
            <w:tcBorders>
              <w:top w:val="nil"/>
              <w:left w:val="single" w:sz="8" w:space="0" w:color="auto"/>
              <w:bottom w:val="single" w:sz="8" w:space="0" w:color="000000"/>
              <w:right w:val="single" w:sz="8" w:space="0" w:color="auto"/>
            </w:tcBorders>
            <w:shd w:val="clear" w:color="auto" w:fill="808080"/>
            <w:vAlign w:val="center"/>
            <w:hideMark/>
          </w:tcPr>
          <w:p w14:paraId="3D68FAB1"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7F66280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0D1A523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43393E8D"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70C8EACC"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66E4912A"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69A1D83D"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00F19027"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4E33E289"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tcBorders>
              <w:top w:val="nil"/>
              <w:left w:val="nil"/>
              <w:bottom w:val="single" w:sz="8" w:space="0" w:color="auto"/>
              <w:right w:val="single" w:sz="4" w:space="0" w:color="auto"/>
            </w:tcBorders>
            <w:shd w:val="clear" w:color="auto" w:fill="808080"/>
            <w:noWrap/>
            <w:vAlign w:val="center"/>
            <w:hideMark/>
          </w:tcPr>
          <w:p w14:paraId="37868EB8"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401DEBD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56ED0CB0"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tcBorders>
              <w:top w:val="nil"/>
              <w:left w:val="nil"/>
              <w:bottom w:val="single" w:sz="8" w:space="0" w:color="auto"/>
              <w:right w:val="single" w:sz="4" w:space="0" w:color="auto"/>
            </w:tcBorders>
            <w:shd w:val="clear" w:color="auto" w:fill="808080"/>
            <w:noWrap/>
            <w:vAlign w:val="center"/>
            <w:hideMark/>
          </w:tcPr>
          <w:p w14:paraId="5F0CB29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052D732E"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3BA8510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627DF907" w14:textId="77777777" w:rsidTr="00EA0FD7">
        <w:trPr>
          <w:trHeight w:val="225"/>
        </w:trPr>
        <w:tc>
          <w:tcPr>
            <w:tcW w:w="1177" w:type="dxa"/>
            <w:tcBorders>
              <w:top w:val="nil"/>
              <w:left w:val="single" w:sz="8" w:space="0" w:color="auto"/>
              <w:bottom w:val="single" w:sz="4" w:space="0" w:color="auto"/>
              <w:right w:val="single" w:sz="4" w:space="0" w:color="auto"/>
            </w:tcBorders>
            <w:noWrap/>
            <w:vAlign w:val="bottom"/>
            <w:hideMark/>
          </w:tcPr>
          <w:p w14:paraId="06218C3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60" w:type="dxa"/>
            <w:tcBorders>
              <w:top w:val="nil"/>
              <w:left w:val="nil"/>
              <w:bottom w:val="single" w:sz="4" w:space="0" w:color="auto"/>
              <w:right w:val="single" w:sz="4" w:space="0" w:color="auto"/>
            </w:tcBorders>
            <w:noWrap/>
            <w:vAlign w:val="bottom"/>
            <w:hideMark/>
          </w:tcPr>
          <w:p w14:paraId="500D613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411" w:type="dxa"/>
            <w:tcBorders>
              <w:top w:val="nil"/>
              <w:left w:val="nil"/>
              <w:bottom w:val="single" w:sz="4" w:space="0" w:color="auto"/>
              <w:right w:val="single" w:sz="4" w:space="0" w:color="auto"/>
            </w:tcBorders>
            <w:noWrap/>
            <w:vAlign w:val="bottom"/>
            <w:hideMark/>
          </w:tcPr>
          <w:p w14:paraId="2C57542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08" w:type="dxa"/>
            <w:tcBorders>
              <w:top w:val="nil"/>
              <w:left w:val="nil"/>
              <w:bottom w:val="single" w:sz="4" w:space="0" w:color="auto"/>
              <w:right w:val="single" w:sz="4" w:space="0" w:color="auto"/>
            </w:tcBorders>
            <w:noWrap/>
            <w:vAlign w:val="bottom"/>
            <w:hideMark/>
          </w:tcPr>
          <w:p w14:paraId="2D43EF2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tcBorders>
              <w:top w:val="nil"/>
              <w:left w:val="nil"/>
              <w:bottom w:val="single" w:sz="4" w:space="0" w:color="auto"/>
              <w:right w:val="single" w:sz="4" w:space="0" w:color="auto"/>
            </w:tcBorders>
            <w:noWrap/>
            <w:vAlign w:val="bottom"/>
            <w:hideMark/>
          </w:tcPr>
          <w:p w14:paraId="223976B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118D21E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6E5979D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79A3594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0AA42F7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57BCBC4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8" w:space="0" w:color="auto"/>
            </w:tcBorders>
            <w:noWrap/>
            <w:vAlign w:val="bottom"/>
            <w:hideMark/>
          </w:tcPr>
          <w:p w14:paraId="7E8F821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71B13480" w14:textId="77777777" w:rsidTr="00EA0FD7">
        <w:trPr>
          <w:trHeight w:val="480"/>
        </w:trPr>
        <w:tc>
          <w:tcPr>
            <w:tcW w:w="1177" w:type="dxa"/>
            <w:tcBorders>
              <w:top w:val="nil"/>
              <w:left w:val="single" w:sz="8" w:space="0" w:color="auto"/>
              <w:bottom w:val="single" w:sz="4" w:space="0" w:color="auto"/>
              <w:right w:val="single" w:sz="4" w:space="0" w:color="auto"/>
            </w:tcBorders>
            <w:vAlign w:val="bottom"/>
            <w:hideMark/>
          </w:tcPr>
          <w:p w14:paraId="15C7719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611100</w:t>
            </w:r>
            <w:r w:rsidRPr="00EA0FD7">
              <w:rPr>
                <w:rFonts w:ascii="Arial" w:eastAsia="Times New Roman" w:hAnsi="Arial" w:cs="Arial"/>
                <w:sz w:val="17"/>
                <w:szCs w:val="17"/>
                <w:lang w:val="sr-Cyrl-RS"/>
              </w:rPr>
              <w:br/>
              <w:t>612100</w:t>
            </w:r>
          </w:p>
        </w:tc>
        <w:tc>
          <w:tcPr>
            <w:tcW w:w="2460" w:type="dxa"/>
            <w:tcBorders>
              <w:top w:val="nil"/>
              <w:left w:val="nil"/>
              <w:bottom w:val="single" w:sz="4" w:space="0" w:color="auto"/>
              <w:right w:val="single" w:sz="4" w:space="0" w:color="auto"/>
            </w:tcBorders>
            <w:vAlign w:val="bottom"/>
            <w:hideMark/>
          </w:tcPr>
          <w:p w14:paraId="1F5C69FF"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Бруто плате и доприноси послодавца</w:t>
            </w:r>
          </w:p>
        </w:tc>
        <w:tc>
          <w:tcPr>
            <w:tcW w:w="1411" w:type="dxa"/>
            <w:tcBorders>
              <w:top w:val="nil"/>
              <w:left w:val="nil"/>
              <w:bottom w:val="single" w:sz="4" w:space="0" w:color="auto"/>
              <w:right w:val="single" w:sz="4" w:space="0" w:color="auto"/>
            </w:tcBorders>
            <w:noWrap/>
            <w:vAlign w:val="bottom"/>
            <w:hideMark/>
          </w:tcPr>
          <w:p w14:paraId="375B167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1,398,720.42</w:t>
            </w:r>
          </w:p>
        </w:tc>
        <w:tc>
          <w:tcPr>
            <w:tcW w:w="1408" w:type="dxa"/>
            <w:tcBorders>
              <w:top w:val="nil"/>
              <w:left w:val="nil"/>
              <w:bottom w:val="single" w:sz="4" w:space="0" w:color="auto"/>
              <w:right w:val="single" w:sz="4" w:space="0" w:color="auto"/>
            </w:tcBorders>
            <w:noWrap/>
            <w:vAlign w:val="bottom"/>
            <w:hideMark/>
          </w:tcPr>
          <w:p w14:paraId="3C79508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1,380,354.63</w:t>
            </w:r>
          </w:p>
        </w:tc>
        <w:tc>
          <w:tcPr>
            <w:tcW w:w="1336" w:type="dxa"/>
            <w:tcBorders>
              <w:top w:val="nil"/>
              <w:left w:val="nil"/>
              <w:bottom w:val="single" w:sz="4" w:space="0" w:color="auto"/>
              <w:right w:val="single" w:sz="4" w:space="0" w:color="auto"/>
            </w:tcBorders>
            <w:noWrap/>
            <w:vAlign w:val="bottom"/>
            <w:hideMark/>
          </w:tcPr>
          <w:p w14:paraId="15135CE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1,613,141.46</w:t>
            </w:r>
          </w:p>
        </w:tc>
        <w:tc>
          <w:tcPr>
            <w:tcW w:w="1316" w:type="dxa"/>
            <w:tcBorders>
              <w:top w:val="nil"/>
              <w:left w:val="nil"/>
              <w:bottom w:val="single" w:sz="4" w:space="0" w:color="auto"/>
              <w:right w:val="single" w:sz="4" w:space="0" w:color="auto"/>
            </w:tcBorders>
            <w:noWrap/>
            <w:vAlign w:val="bottom"/>
            <w:hideMark/>
          </w:tcPr>
          <w:p w14:paraId="22E0E30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1,744,866</w:t>
            </w:r>
          </w:p>
        </w:tc>
        <w:tc>
          <w:tcPr>
            <w:tcW w:w="1316" w:type="dxa"/>
            <w:tcBorders>
              <w:top w:val="nil"/>
              <w:left w:val="nil"/>
              <w:bottom w:val="single" w:sz="4" w:space="0" w:color="auto"/>
              <w:right w:val="single" w:sz="4" w:space="0" w:color="auto"/>
            </w:tcBorders>
            <w:noWrap/>
            <w:vAlign w:val="bottom"/>
            <w:hideMark/>
          </w:tcPr>
          <w:p w14:paraId="2872C28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1,744,866</w:t>
            </w:r>
          </w:p>
        </w:tc>
        <w:tc>
          <w:tcPr>
            <w:tcW w:w="1316" w:type="dxa"/>
            <w:tcBorders>
              <w:top w:val="nil"/>
              <w:left w:val="nil"/>
              <w:bottom w:val="single" w:sz="4" w:space="0" w:color="auto"/>
              <w:right w:val="single" w:sz="4" w:space="0" w:color="auto"/>
            </w:tcBorders>
            <w:noWrap/>
            <w:vAlign w:val="bottom"/>
            <w:hideMark/>
          </w:tcPr>
          <w:p w14:paraId="559DDBA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1,744,866</w:t>
            </w:r>
          </w:p>
        </w:tc>
        <w:tc>
          <w:tcPr>
            <w:tcW w:w="1316" w:type="dxa"/>
            <w:tcBorders>
              <w:top w:val="nil"/>
              <w:left w:val="nil"/>
              <w:bottom w:val="single" w:sz="4" w:space="0" w:color="auto"/>
              <w:right w:val="single" w:sz="4" w:space="0" w:color="auto"/>
            </w:tcBorders>
            <w:noWrap/>
            <w:vAlign w:val="bottom"/>
            <w:hideMark/>
          </w:tcPr>
          <w:p w14:paraId="2401A13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1,744,866</w:t>
            </w:r>
          </w:p>
        </w:tc>
        <w:tc>
          <w:tcPr>
            <w:tcW w:w="1316" w:type="dxa"/>
            <w:tcBorders>
              <w:top w:val="nil"/>
              <w:left w:val="nil"/>
              <w:bottom w:val="single" w:sz="4" w:space="0" w:color="auto"/>
              <w:right w:val="single" w:sz="4" w:space="0" w:color="auto"/>
            </w:tcBorders>
            <w:noWrap/>
            <w:vAlign w:val="bottom"/>
            <w:hideMark/>
          </w:tcPr>
          <w:p w14:paraId="6D92903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1,744,866</w:t>
            </w:r>
          </w:p>
        </w:tc>
        <w:tc>
          <w:tcPr>
            <w:tcW w:w="1316" w:type="dxa"/>
            <w:tcBorders>
              <w:top w:val="nil"/>
              <w:left w:val="nil"/>
              <w:bottom w:val="single" w:sz="4" w:space="0" w:color="auto"/>
              <w:right w:val="single" w:sz="4" w:space="0" w:color="auto"/>
            </w:tcBorders>
            <w:noWrap/>
            <w:vAlign w:val="bottom"/>
            <w:hideMark/>
          </w:tcPr>
          <w:p w14:paraId="2AB4B5D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1,744,866</w:t>
            </w:r>
          </w:p>
        </w:tc>
      </w:tr>
      <w:tr w:rsidR="00EA0FD7" w:rsidRPr="00EA0FD7" w14:paraId="15525015" w14:textId="77777777" w:rsidTr="00EA0FD7">
        <w:trPr>
          <w:trHeight w:val="334"/>
        </w:trPr>
        <w:tc>
          <w:tcPr>
            <w:tcW w:w="1177" w:type="dxa"/>
            <w:tcBorders>
              <w:top w:val="nil"/>
              <w:left w:val="single" w:sz="8" w:space="0" w:color="auto"/>
              <w:bottom w:val="single" w:sz="4" w:space="0" w:color="auto"/>
              <w:right w:val="single" w:sz="4" w:space="0" w:color="auto"/>
            </w:tcBorders>
            <w:noWrap/>
            <w:vAlign w:val="bottom"/>
            <w:hideMark/>
          </w:tcPr>
          <w:p w14:paraId="3637F73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611200</w:t>
            </w:r>
          </w:p>
        </w:tc>
        <w:tc>
          <w:tcPr>
            <w:tcW w:w="2460" w:type="dxa"/>
            <w:tcBorders>
              <w:top w:val="nil"/>
              <w:left w:val="nil"/>
              <w:bottom w:val="single" w:sz="4" w:space="0" w:color="auto"/>
              <w:right w:val="single" w:sz="4" w:space="0" w:color="auto"/>
            </w:tcBorders>
            <w:vAlign w:val="bottom"/>
            <w:hideMark/>
          </w:tcPr>
          <w:p w14:paraId="1C136487"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Накнаде трошкова запослених</w:t>
            </w:r>
          </w:p>
        </w:tc>
        <w:tc>
          <w:tcPr>
            <w:tcW w:w="1411" w:type="dxa"/>
            <w:tcBorders>
              <w:top w:val="nil"/>
              <w:left w:val="nil"/>
              <w:bottom w:val="single" w:sz="4" w:space="0" w:color="auto"/>
              <w:right w:val="single" w:sz="4" w:space="0" w:color="auto"/>
            </w:tcBorders>
            <w:noWrap/>
            <w:vAlign w:val="bottom"/>
            <w:hideMark/>
          </w:tcPr>
          <w:p w14:paraId="2F04525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63,667.00</w:t>
            </w:r>
          </w:p>
        </w:tc>
        <w:tc>
          <w:tcPr>
            <w:tcW w:w="1408" w:type="dxa"/>
            <w:tcBorders>
              <w:top w:val="nil"/>
              <w:left w:val="nil"/>
              <w:bottom w:val="single" w:sz="4" w:space="0" w:color="auto"/>
              <w:right w:val="single" w:sz="4" w:space="0" w:color="auto"/>
            </w:tcBorders>
            <w:noWrap/>
            <w:vAlign w:val="bottom"/>
            <w:hideMark/>
          </w:tcPr>
          <w:p w14:paraId="53D73EB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52,558.38</w:t>
            </w:r>
          </w:p>
        </w:tc>
        <w:tc>
          <w:tcPr>
            <w:tcW w:w="1336" w:type="dxa"/>
            <w:tcBorders>
              <w:top w:val="nil"/>
              <w:left w:val="nil"/>
              <w:bottom w:val="single" w:sz="4" w:space="0" w:color="auto"/>
              <w:right w:val="single" w:sz="4" w:space="0" w:color="auto"/>
            </w:tcBorders>
            <w:noWrap/>
            <w:vAlign w:val="bottom"/>
            <w:hideMark/>
          </w:tcPr>
          <w:p w14:paraId="038D3F3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138,290.00</w:t>
            </w:r>
          </w:p>
        </w:tc>
        <w:tc>
          <w:tcPr>
            <w:tcW w:w="1316" w:type="dxa"/>
            <w:tcBorders>
              <w:top w:val="nil"/>
              <w:left w:val="nil"/>
              <w:bottom w:val="single" w:sz="4" w:space="0" w:color="auto"/>
              <w:right w:val="single" w:sz="4" w:space="0" w:color="auto"/>
            </w:tcBorders>
            <w:noWrap/>
            <w:vAlign w:val="bottom"/>
            <w:hideMark/>
          </w:tcPr>
          <w:p w14:paraId="5CBF8AF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136,890</w:t>
            </w:r>
          </w:p>
        </w:tc>
        <w:tc>
          <w:tcPr>
            <w:tcW w:w="1316" w:type="dxa"/>
            <w:tcBorders>
              <w:top w:val="nil"/>
              <w:left w:val="nil"/>
              <w:bottom w:val="single" w:sz="4" w:space="0" w:color="auto"/>
              <w:right w:val="single" w:sz="4" w:space="0" w:color="auto"/>
            </w:tcBorders>
            <w:noWrap/>
            <w:vAlign w:val="bottom"/>
            <w:hideMark/>
          </w:tcPr>
          <w:p w14:paraId="3B43A32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121,890</w:t>
            </w:r>
          </w:p>
        </w:tc>
        <w:tc>
          <w:tcPr>
            <w:tcW w:w="1316" w:type="dxa"/>
            <w:tcBorders>
              <w:top w:val="nil"/>
              <w:left w:val="nil"/>
              <w:bottom w:val="single" w:sz="4" w:space="0" w:color="auto"/>
              <w:right w:val="single" w:sz="4" w:space="0" w:color="auto"/>
            </w:tcBorders>
            <w:noWrap/>
            <w:vAlign w:val="bottom"/>
            <w:hideMark/>
          </w:tcPr>
          <w:p w14:paraId="2CD65B6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153,090</w:t>
            </w:r>
          </w:p>
        </w:tc>
        <w:tc>
          <w:tcPr>
            <w:tcW w:w="1316" w:type="dxa"/>
            <w:tcBorders>
              <w:top w:val="nil"/>
              <w:left w:val="nil"/>
              <w:bottom w:val="single" w:sz="4" w:space="0" w:color="auto"/>
              <w:right w:val="single" w:sz="4" w:space="0" w:color="auto"/>
            </w:tcBorders>
            <w:noWrap/>
            <w:vAlign w:val="bottom"/>
            <w:hideMark/>
          </w:tcPr>
          <w:p w14:paraId="367CF7D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136,890</w:t>
            </w:r>
          </w:p>
        </w:tc>
        <w:tc>
          <w:tcPr>
            <w:tcW w:w="1316" w:type="dxa"/>
            <w:tcBorders>
              <w:top w:val="nil"/>
              <w:left w:val="nil"/>
              <w:bottom w:val="single" w:sz="4" w:space="0" w:color="auto"/>
              <w:right w:val="single" w:sz="4" w:space="0" w:color="auto"/>
            </w:tcBorders>
            <w:noWrap/>
            <w:vAlign w:val="bottom"/>
            <w:hideMark/>
          </w:tcPr>
          <w:p w14:paraId="733C341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121,890</w:t>
            </w:r>
          </w:p>
        </w:tc>
        <w:tc>
          <w:tcPr>
            <w:tcW w:w="1316" w:type="dxa"/>
            <w:tcBorders>
              <w:top w:val="nil"/>
              <w:left w:val="nil"/>
              <w:bottom w:val="single" w:sz="4" w:space="0" w:color="auto"/>
              <w:right w:val="single" w:sz="4" w:space="0" w:color="auto"/>
            </w:tcBorders>
            <w:noWrap/>
            <w:vAlign w:val="bottom"/>
            <w:hideMark/>
          </w:tcPr>
          <w:p w14:paraId="67A7396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153,090</w:t>
            </w:r>
          </w:p>
        </w:tc>
      </w:tr>
      <w:tr w:rsidR="00EA0FD7" w:rsidRPr="00EA0FD7" w14:paraId="307F22C8" w14:textId="77777777" w:rsidTr="00EA0FD7">
        <w:trPr>
          <w:trHeight w:val="480"/>
        </w:trPr>
        <w:tc>
          <w:tcPr>
            <w:tcW w:w="1177" w:type="dxa"/>
            <w:tcBorders>
              <w:top w:val="nil"/>
              <w:left w:val="single" w:sz="8" w:space="0" w:color="auto"/>
              <w:bottom w:val="single" w:sz="4" w:space="0" w:color="auto"/>
              <w:right w:val="single" w:sz="4" w:space="0" w:color="auto"/>
            </w:tcBorders>
            <w:noWrap/>
            <w:vAlign w:val="bottom"/>
            <w:hideMark/>
          </w:tcPr>
          <w:p w14:paraId="11D6EE6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613000</w:t>
            </w:r>
          </w:p>
        </w:tc>
        <w:tc>
          <w:tcPr>
            <w:tcW w:w="2460" w:type="dxa"/>
            <w:tcBorders>
              <w:top w:val="nil"/>
              <w:left w:val="nil"/>
              <w:bottom w:val="single" w:sz="4" w:space="0" w:color="auto"/>
              <w:right w:val="single" w:sz="4" w:space="0" w:color="auto"/>
            </w:tcBorders>
            <w:vAlign w:val="bottom"/>
            <w:hideMark/>
          </w:tcPr>
          <w:p w14:paraId="7D85994B"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материјал, робе, ситан инвентар и услуге</w:t>
            </w:r>
          </w:p>
        </w:tc>
        <w:tc>
          <w:tcPr>
            <w:tcW w:w="1411" w:type="dxa"/>
            <w:tcBorders>
              <w:top w:val="nil"/>
              <w:left w:val="nil"/>
              <w:bottom w:val="single" w:sz="4" w:space="0" w:color="auto"/>
              <w:right w:val="single" w:sz="4" w:space="0" w:color="auto"/>
            </w:tcBorders>
            <w:noWrap/>
            <w:vAlign w:val="bottom"/>
            <w:hideMark/>
          </w:tcPr>
          <w:p w14:paraId="0956E05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335,902.00</w:t>
            </w:r>
          </w:p>
        </w:tc>
        <w:tc>
          <w:tcPr>
            <w:tcW w:w="1408" w:type="dxa"/>
            <w:tcBorders>
              <w:top w:val="nil"/>
              <w:left w:val="nil"/>
              <w:bottom w:val="single" w:sz="4" w:space="0" w:color="auto"/>
              <w:right w:val="single" w:sz="4" w:space="0" w:color="auto"/>
            </w:tcBorders>
            <w:noWrap/>
            <w:vAlign w:val="bottom"/>
            <w:hideMark/>
          </w:tcPr>
          <w:p w14:paraId="64E81F8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206,781.88</w:t>
            </w:r>
          </w:p>
        </w:tc>
        <w:tc>
          <w:tcPr>
            <w:tcW w:w="1336" w:type="dxa"/>
            <w:tcBorders>
              <w:top w:val="nil"/>
              <w:left w:val="nil"/>
              <w:bottom w:val="single" w:sz="4" w:space="0" w:color="auto"/>
              <w:right w:val="single" w:sz="4" w:space="0" w:color="auto"/>
            </w:tcBorders>
            <w:noWrap/>
            <w:vAlign w:val="bottom"/>
            <w:hideMark/>
          </w:tcPr>
          <w:p w14:paraId="380E35F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257,592.00</w:t>
            </w:r>
          </w:p>
        </w:tc>
        <w:tc>
          <w:tcPr>
            <w:tcW w:w="1316" w:type="dxa"/>
            <w:tcBorders>
              <w:top w:val="nil"/>
              <w:left w:val="nil"/>
              <w:bottom w:val="single" w:sz="4" w:space="0" w:color="auto"/>
              <w:right w:val="single" w:sz="4" w:space="0" w:color="auto"/>
            </w:tcBorders>
            <w:noWrap/>
            <w:vAlign w:val="bottom"/>
            <w:hideMark/>
          </w:tcPr>
          <w:p w14:paraId="1438255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206,782</w:t>
            </w:r>
          </w:p>
        </w:tc>
        <w:tc>
          <w:tcPr>
            <w:tcW w:w="1316" w:type="dxa"/>
            <w:tcBorders>
              <w:top w:val="nil"/>
              <w:left w:val="nil"/>
              <w:bottom w:val="single" w:sz="4" w:space="0" w:color="auto"/>
              <w:right w:val="single" w:sz="4" w:space="0" w:color="auto"/>
            </w:tcBorders>
            <w:noWrap/>
            <w:vAlign w:val="bottom"/>
            <w:hideMark/>
          </w:tcPr>
          <w:p w14:paraId="48FE06D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206,782</w:t>
            </w:r>
          </w:p>
        </w:tc>
        <w:tc>
          <w:tcPr>
            <w:tcW w:w="1316" w:type="dxa"/>
            <w:tcBorders>
              <w:top w:val="nil"/>
              <w:left w:val="nil"/>
              <w:bottom w:val="single" w:sz="4" w:space="0" w:color="auto"/>
              <w:right w:val="single" w:sz="4" w:space="0" w:color="auto"/>
            </w:tcBorders>
            <w:noWrap/>
            <w:vAlign w:val="bottom"/>
            <w:hideMark/>
          </w:tcPr>
          <w:p w14:paraId="5459972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206,782</w:t>
            </w:r>
          </w:p>
        </w:tc>
        <w:tc>
          <w:tcPr>
            <w:tcW w:w="1316" w:type="dxa"/>
            <w:tcBorders>
              <w:top w:val="nil"/>
              <w:left w:val="nil"/>
              <w:bottom w:val="single" w:sz="4" w:space="0" w:color="auto"/>
              <w:right w:val="single" w:sz="4" w:space="0" w:color="auto"/>
            </w:tcBorders>
            <w:noWrap/>
            <w:vAlign w:val="bottom"/>
            <w:hideMark/>
          </w:tcPr>
          <w:p w14:paraId="0C08E20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206,782</w:t>
            </w:r>
          </w:p>
        </w:tc>
        <w:tc>
          <w:tcPr>
            <w:tcW w:w="1316" w:type="dxa"/>
            <w:tcBorders>
              <w:top w:val="nil"/>
              <w:left w:val="nil"/>
              <w:bottom w:val="single" w:sz="4" w:space="0" w:color="auto"/>
              <w:right w:val="single" w:sz="4" w:space="0" w:color="auto"/>
            </w:tcBorders>
            <w:noWrap/>
            <w:vAlign w:val="bottom"/>
            <w:hideMark/>
          </w:tcPr>
          <w:p w14:paraId="4BD4E49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206,782</w:t>
            </w:r>
          </w:p>
        </w:tc>
        <w:tc>
          <w:tcPr>
            <w:tcW w:w="1316" w:type="dxa"/>
            <w:tcBorders>
              <w:top w:val="nil"/>
              <w:left w:val="nil"/>
              <w:bottom w:val="single" w:sz="4" w:space="0" w:color="auto"/>
              <w:right w:val="single" w:sz="4" w:space="0" w:color="auto"/>
            </w:tcBorders>
            <w:noWrap/>
            <w:vAlign w:val="bottom"/>
            <w:hideMark/>
          </w:tcPr>
          <w:p w14:paraId="4153375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206,782</w:t>
            </w:r>
          </w:p>
        </w:tc>
      </w:tr>
      <w:tr w:rsidR="00EA0FD7" w:rsidRPr="00EA0FD7" w14:paraId="28CE3A31" w14:textId="77777777" w:rsidTr="00EA0FD7">
        <w:trPr>
          <w:trHeight w:val="480"/>
        </w:trPr>
        <w:tc>
          <w:tcPr>
            <w:tcW w:w="1177" w:type="dxa"/>
            <w:tcBorders>
              <w:top w:val="nil"/>
              <w:left w:val="single" w:sz="8" w:space="0" w:color="auto"/>
              <w:bottom w:val="single" w:sz="4" w:space="0" w:color="auto"/>
              <w:right w:val="single" w:sz="4" w:space="0" w:color="auto"/>
            </w:tcBorders>
            <w:vAlign w:val="bottom"/>
            <w:hideMark/>
          </w:tcPr>
          <w:p w14:paraId="1866172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614000</w:t>
            </w:r>
          </w:p>
        </w:tc>
        <w:tc>
          <w:tcPr>
            <w:tcW w:w="2460" w:type="dxa"/>
            <w:tcBorders>
              <w:top w:val="nil"/>
              <w:left w:val="nil"/>
              <w:bottom w:val="single" w:sz="4" w:space="0" w:color="auto"/>
              <w:right w:val="single" w:sz="4" w:space="0" w:color="auto"/>
            </w:tcBorders>
            <w:vAlign w:val="bottom"/>
            <w:hideMark/>
          </w:tcPr>
          <w:p w14:paraId="1F929AAB"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Текући трансфери, донације и субвенције</w:t>
            </w:r>
          </w:p>
        </w:tc>
        <w:tc>
          <w:tcPr>
            <w:tcW w:w="1411" w:type="dxa"/>
            <w:tcBorders>
              <w:top w:val="nil"/>
              <w:left w:val="nil"/>
              <w:bottom w:val="single" w:sz="4" w:space="0" w:color="auto"/>
              <w:right w:val="single" w:sz="4" w:space="0" w:color="auto"/>
            </w:tcBorders>
            <w:noWrap/>
            <w:vAlign w:val="bottom"/>
            <w:hideMark/>
          </w:tcPr>
          <w:p w14:paraId="56445CC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1,082,418.00</w:t>
            </w:r>
          </w:p>
        </w:tc>
        <w:tc>
          <w:tcPr>
            <w:tcW w:w="1408" w:type="dxa"/>
            <w:tcBorders>
              <w:top w:val="nil"/>
              <w:left w:val="nil"/>
              <w:bottom w:val="single" w:sz="4" w:space="0" w:color="auto"/>
              <w:right w:val="single" w:sz="4" w:space="0" w:color="auto"/>
            </w:tcBorders>
            <w:noWrap/>
            <w:vAlign w:val="bottom"/>
            <w:hideMark/>
          </w:tcPr>
          <w:p w14:paraId="17A7084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1,219,836.00</w:t>
            </w:r>
          </w:p>
        </w:tc>
        <w:tc>
          <w:tcPr>
            <w:tcW w:w="1336" w:type="dxa"/>
            <w:tcBorders>
              <w:top w:val="nil"/>
              <w:left w:val="nil"/>
              <w:bottom w:val="single" w:sz="4" w:space="0" w:color="auto"/>
              <w:right w:val="single" w:sz="4" w:space="0" w:color="auto"/>
            </w:tcBorders>
            <w:noWrap/>
            <w:vAlign w:val="bottom"/>
            <w:hideMark/>
          </w:tcPr>
          <w:p w14:paraId="7DF5F73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1,630,000.00</w:t>
            </w:r>
          </w:p>
        </w:tc>
        <w:tc>
          <w:tcPr>
            <w:tcW w:w="1316" w:type="dxa"/>
            <w:tcBorders>
              <w:top w:val="nil"/>
              <w:left w:val="nil"/>
              <w:bottom w:val="single" w:sz="4" w:space="0" w:color="auto"/>
              <w:right w:val="single" w:sz="4" w:space="0" w:color="auto"/>
            </w:tcBorders>
            <w:noWrap/>
            <w:vAlign w:val="bottom"/>
            <w:hideMark/>
          </w:tcPr>
          <w:p w14:paraId="6019EE3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2,638,450</w:t>
            </w:r>
          </w:p>
        </w:tc>
        <w:tc>
          <w:tcPr>
            <w:tcW w:w="1316" w:type="dxa"/>
            <w:tcBorders>
              <w:top w:val="nil"/>
              <w:left w:val="nil"/>
              <w:bottom w:val="single" w:sz="4" w:space="0" w:color="auto"/>
              <w:right w:val="single" w:sz="4" w:space="0" w:color="auto"/>
            </w:tcBorders>
            <w:noWrap/>
            <w:vAlign w:val="bottom"/>
            <w:hideMark/>
          </w:tcPr>
          <w:p w14:paraId="5DD5A4B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2,778,450</w:t>
            </w:r>
          </w:p>
        </w:tc>
        <w:tc>
          <w:tcPr>
            <w:tcW w:w="1316" w:type="dxa"/>
            <w:tcBorders>
              <w:top w:val="nil"/>
              <w:left w:val="nil"/>
              <w:bottom w:val="single" w:sz="4" w:space="0" w:color="auto"/>
              <w:right w:val="single" w:sz="4" w:space="0" w:color="auto"/>
            </w:tcBorders>
            <w:noWrap/>
            <w:vAlign w:val="bottom"/>
            <w:hideMark/>
          </w:tcPr>
          <w:p w14:paraId="681C619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2,953,450</w:t>
            </w:r>
          </w:p>
        </w:tc>
        <w:tc>
          <w:tcPr>
            <w:tcW w:w="1316" w:type="dxa"/>
            <w:tcBorders>
              <w:top w:val="nil"/>
              <w:left w:val="nil"/>
              <w:bottom w:val="single" w:sz="4" w:space="0" w:color="auto"/>
              <w:right w:val="single" w:sz="4" w:space="0" w:color="auto"/>
            </w:tcBorders>
            <w:noWrap/>
            <w:vAlign w:val="bottom"/>
            <w:hideMark/>
          </w:tcPr>
          <w:p w14:paraId="23D97DC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2,330,000</w:t>
            </w:r>
          </w:p>
        </w:tc>
        <w:tc>
          <w:tcPr>
            <w:tcW w:w="1316" w:type="dxa"/>
            <w:tcBorders>
              <w:top w:val="nil"/>
              <w:left w:val="nil"/>
              <w:bottom w:val="single" w:sz="4" w:space="0" w:color="auto"/>
              <w:right w:val="single" w:sz="4" w:space="0" w:color="auto"/>
            </w:tcBorders>
            <w:noWrap/>
            <w:vAlign w:val="bottom"/>
            <w:hideMark/>
          </w:tcPr>
          <w:p w14:paraId="69BC236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2,778,450</w:t>
            </w:r>
          </w:p>
        </w:tc>
        <w:tc>
          <w:tcPr>
            <w:tcW w:w="1316" w:type="dxa"/>
            <w:tcBorders>
              <w:top w:val="nil"/>
              <w:left w:val="nil"/>
              <w:bottom w:val="single" w:sz="4" w:space="0" w:color="auto"/>
              <w:right w:val="single" w:sz="4" w:space="0" w:color="auto"/>
            </w:tcBorders>
            <w:noWrap/>
            <w:vAlign w:val="bottom"/>
            <w:hideMark/>
          </w:tcPr>
          <w:p w14:paraId="71A6D88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2,953,450</w:t>
            </w:r>
          </w:p>
        </w:tc>
      </w:tr>
      <w:tr w:rsidR="00EA0FD7" w:rsidRPr="00EA0FD7" w14:paraId="137E2A9A" w14:textId="77777777" w:rsidTr="00EA0FD7">
        <w:trPr>
          <w:trHeight w:val="240"/>
        </w:trPr>
        <w:tc>
          <w:tcPr>
            <w:tcW w:w="1177" w:type="dxa"/>
            <w:tcBorders>
              <w:top w:val="nil"/>
              <w:left w:val="single" w:sz="8" w:space="0" w:color="auto"/>
              <w:bottom w:val="nil"/>
              <w:right w:val="single" w:sz="4" w:space="0" w:color="auto"/>
            </w:tcBorders>
            <w:vAlign w:val="bottom"/>
            <w:hideMark/>
          </w:tcPr>
          <w:p w14:paraId="0A9B40A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lastRenderedPageBreak/>
              <w:t>615000</w:t>
            </w:r>
          </w:p>
        </w:tc>
        <w:tc>
          <w:tcPr>
            <w:tcW w:w="2460" w:type="dxa"/>
            <w:tcBorders>
              <w:top w:val="nil"/>
              <w:left w:val="nil"/>
              <w:bottom w:val="nil"/>
              <w:right w:val="single" w:sz="4" w:space="0" w:color="auto"/>
            </w:tcBorders>
            <w:vAlign w:val="bottom"/>
            <w:hideMark/>
          </w:tcPr>
          <w:p w14:paraId="010BC16D"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Капитални трансфери и донације</w:t>
            </w:r>
          </w:p>
        </w:tc>
        <w:tc>
          <w:tcPr>
            <w:tcW w:w="1411" w:type="dxa"/>
            <w:tcBorders>
              <w:top w:val="nil"/>
              <w:left w:val="nil"/>
              <w:bottom w:val="nil"/>
              <w:right w:val="single" w:sz="4" w:space="0" w:color="auto"/>
            </w:tcBorders>
            <w:noWrap/>
            <w:vAlign w:val="bottom"/>
            <w:hideMark/>
          </w:tcPr>
          <w:p w14:paraId="3B08310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337,418.00</w:t>
            </w:r>
          </w:p>
        </w:tc>
        <w:tc>
          <w:tcPr>
            <w:tcW w:w="1408" w:type="dxa"/>
            <w:tcBorders>
              <w:top w:val="nil"/>
              <w:left w:val="nil"/>
              <w:bottom w:val="nil"/>
              <w:right w:val="single" w:sz="4" w:space="0" w:color="auto"/>
            </w:tcBorders>
            <w:noWrap/>
            <w:vAlign w:val="bottom"/>
            <w:hideMark/>
          </w:tcPr>
          <w:p w14:paraId="444D25B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200,000.00</w:t>
            </w:r>
          </w:p>
        </w:tc>
        <w:tc>
          <w:tcPr>
            <w:tcW w:w="1336" w:type="dxa"/>
            <w:tcBorders>
              <w:top w:val="nil"/>
              <w:left w:val="nil"/>
              <w:bottom w:val="nil"/>
              <w:right w:val="single" w:sz="4" w:space="0" w:color="auto"/>
            </w:tcBorders>
            <w:noWrap/>
            <w:vAlign w:val="bottom"/>
            <w:hideMark/>
          </w:tcPr>
          <w:p w14:paraId="5EABE84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70,000.00</w:t>
            </w:r>
          </w:p>
        </w:tc>
        <w:tc>
          <w:tcPr>
            <w:tcW w:w="1316" w:type="dxa"/>
            <w:tcBorders>
              <w:top w:val="nil"/>
              <w:left w:val="nil"/>
              <w:bottom w:val="single" w:sz="4" w:space="0" w:color="auto"/>
              <w:right w:val="single" w:sz="4" w:space="0" w:color="auto"/>
            </w:tcBorders>
            <w:noWrap/>
            <w:vAlign w:val="bottom"/>
            <w:hideMark/>
          </w:tcPr>
          <w:p w14:paraId="03FB5BC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1,245,000</w:t>
            </w:r>
          </w:p>
        </w:tc>
        <w:tc>
          <w:tcPr>
            <w:tcW w:w="1316" w:type="dxa"/>
            <w:tcBorders>
              <w:top w:val="nil"/>
              <w:left w:val="nil"/>
              <w:bottom w:val="single" w:sz="4" w:space="0" w:color="auto"/>
              <w:right w:val="single" w:sz="4" w:space="0" w:color="auto"/>
            </w:tcBorders>
            <w:noWrap/>
            <w:vAlign w:val="bottom"/>
            <w:hideMark/>
          </w:tcPr>
          <w:p w14:paraId="5CFD265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w:t>
            </w:r>
          </w:p>
        </w:tc>
        <w:tc>
          <w:tcPr>
            <w:tcW w:w="1316" w:type="dxa"/>
            <w:tcBorders>
              <w:top w:val="nil"/>
              <w:left w:val="nil"/>
              <w:bottom w:val="single" w:sz="4" w:space="0" w:color="auto"/>
              <w:right w:val="single" w:sz="4" w:space="0" w:color="auto"/>
            </w:tcBorders>
            <w:noWrap/>
            <w:vAlign w:val="bottom"/>
            <w:hideMark/>
          </w:tcPr>
          <w:p w14:paraId="76B53FF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w:t>
            </w:r>
          </w:p>
        </w:tc>
        <w:tc>
          <w:tcPr>
            <w:tcW w:w="1316" w:type="dxa"/>
            <w:tcBorders>
              <w:top w:val="nil"/>
              <w:left w:val="nil"/>
              <w:bottom w:val="nil"/>
              <w:right w:val="single" w:sz="4" w:space="0" w:color="auto"/>
            </w:tcBorders>
            <w:noWrap/>
            <w:vAlign w:val="bottom"/>
            <w:hideMark/>
          </w:tcPr>
          <w:p w14:paraId="22637E1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70,000</w:t>
            </w:r>
          </w:p>
        </w:tc>
        <w:tc>
          <w:tcPr>
            <w:tcW w:w="1316" w:type="dxa"/>
            <w:tcBorders>
              <w:top w:val="nil"/>
              <w:left w:val="nil"/>
              <w:bottom w:val="single" w:sz="4" w:space="0" w:color="auto"/>
              <w:right w:val="single" w:sz="4" w:space="0" w:color="auto"/>
            </w:tcBorders>
            <w:noWrap/>
            <w:vAlign w:val="bottom"/>
            <w:hideMark/>
          </w:tcPr>
          <w:p w14:paraId="5DE9C56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w:t>
            </w:r>
          </w:p>
        </w:tc>
        <w:tc>
          <w:tcPr>
            <w:tcW w:w="1316" w:type="dxa"/>
            <w:tcBorders>
              <w:top w:val="nil"/>
              <w:left w:val="nil"/>
              <w:bottom w:val="single" w:sz="4" w:space="0" w:color="auto"/>
              <w:right w:val="single" w:sz="4" w:space="0" w:color="auto"/>
            </w:tcBorders>
            <w:noWrap/>
            <w:vAlign w:val="bottom"/>
            <w:hideMark/>
          </w:tcPr>
          <w:p w14:paraId="6C47A47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w:t>
            </w:r>
          </w:p>
        </w:tc>
      </w:tr>
      <w:tr w:rsidR="00EA0FD7" w:rsidRPr="00EA0FD7" w14:paraId="1CDD3282" w14:textId="77777777" w:rsidTr="00EA0FD7">
        <w:trPr>
          <w:trHeight w:val="480"/>
        </w:trPr>
        <w:tc>
          <w:tcPr>
            <w:tcW w:w="1177" w:type="dxa"/>
            <w:tcBorders>
              <w:top w:val="single" w:sz="4" w:space="0" w:color="auto"/>
              <w:left w:val="single" w:sz="8" w:space="0" w:color="auto"/>
              <w:bottom w:val="nil"/>
              <w:right w:val="single" w:sz="4" w:space="0" w:color="auto"/>
            </w:tcBorders>
            <w:noWrap/>
            <w:vAlign w:val="bottom"/>
            <w:hideMark/>
          </w:tcPr>
          <w:p w14:paraId="6A350BA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821000</w:t>
            </w:r>
          </w:p>
        </w:tc>
        <w:tc>
          <w:tcPr>
            <w:tcW w:w="2460" w:type="dxa"/>
            <w:tcBorders>
              <w:top w:val="single" w:sz="4" w:space="0" w:color="auto"/>
              <w:left w:val="nil"/>
              <w:bottom w:val="nil"/>
              <w:right w:val="single" w:sz="4" w:space="0" w:color="auto"/>
            </w:tcBorders>
            <w:vAlign w:val="bottom"/>
            <w:hideMark/>
          </w:tcPr>
          <w:p w14:paraId="100D8208"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набавку сталних средстава</w:t>
            </w:r>
          </w:p>
        </w:tc>
        <w:tc>
          <w:tcPr>
            <w:tcW w:w="1411" w:type="dxa"/>
            <w:tcBorders>
              <w:top w:val="single" w:sz="4" w:space="0" w:color="auto"/>
              <w:left w:val="nil"/>
              <w:bottom w:val="nil"/>
              <w:right w:val="single" w:sz="4" w:space="0" w:color="auto"/>
            </w:tcBorders>
            <w:noWrap/>
            <w:vAlign w:val="bottom"/>
            <w:hideMark/>
          </w:tcPr>
          <w:p w14:paraId="7142176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1,404,470.00</w:t>
            </w:r>
          </w:p>
        </w:tc>
        <w:tc>
          <w:tcPr>
            <w:tcW w:w="1408" w:type="dxa"/>
            <w:tcBorders>
              <w:top w:val="single" w:sz="4" w:space="0" w:color="auto"/>
              <w:left w:val="nil"/>
              <w:bottom w:val="nil"/>
              <w:right w:val="single" w:sz="4" w:space="0" w:color="auto"/>
            </w:tcBorders>
            <w:noWrap/>
            <w:vAlign w:val="bottom"/>
            <w:hideMark/>
          </w:tcPr>
          <w:p w14:paraId="0F8830C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148,479.07</w:t>
            </w:r>
          </w:p>
        </w:tc>
        <w:tc>
          <w:tcPr>
            <w:tcW w:w="1336" w:type="dxa"/>
            <w:tcBorders>
              <w:top w:val="single" w:sz="4" w:space="0" w:color="auto"/>
              <w:left w:val="nil"/>
              <w:bottom w:val="nil"/>
              <w:right w:val="single" w:sz="4" w:space="0" w:color="auto"/>
            </w:tcBorders>
            <w:noWrap/>
            <w:vAlign w:val="bottom"/>
            <w:hideMark/>
          </w:tcPr>
          <w:p w14:paraId="76C4B11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1,864,000.00</w:t>
            </w:r>
          </w:p>
        </w:tc>
        <w:tc>
          <w:tcPr>
            <w:tcW w:w="1316" w:type="dxa"/>
            <w:tcBorders>
              <w:top w:val="nil"/>
              <w:left w:val="nil"/>
              <w:bottom w:val="nil"/>
              <w:right w:val="single" w:sz="4" w:space="0" w:color="auto"/>
            </w:tcBorders>
            <w:noWrap/>
            <w:vAlign w:val="bottom"/>
            <w:hideMark/>
          </w:tcPr>
          <w:p w14:paraId="72CA94E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1,500,000</w:t>
            </w:r>
          </w:p>
        </w:tc>
        <w:tc>
          <w:tcPr>
            <w:tcW w:w="1316" w:type="dxa"/>
            <w:tcBorders>
              <w:top w:val="nil"/>
              <w:left w:val="nil"/>
              <w:bottom w:val="nil"/>
              <w:right w:val="single" w:sz="4" w:space="0" w:color="auto"/>
            </w:tcBorders>
            <w:noWrap/>
            <w:vAlign w:val="bottom"/>
            <w:hideMark/>
          </w:tcPr>
          <w:p w14:paraId="60C00C5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1,500,000</w:t>
            </w:r>
          </w:p>
        </w:tc>
        <w:tc>
          <w:tcPr>
            <w:tcW w:w="1316" w:type="dxa"/>
            <w:tcBorders>
              <w:top w:val="nil"/>
              <w:left w:val="nil"/>
              <w:bottom w:val="nil"/>
              <w:right w:val="single" w:sz="4" w:space="0" w:color="auto"/>
            </w:tcBorders>
            <w:noWrap/>
            <w:vAlign w:val="bottom"/>
            <w:hideMark/>
          </w:tcPr>
          <w:p w14:paraId="42A6EB2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1,500,000</w:t>
            </w:r>
          </w:p>
        </w:tc>
        <w:tc>
          <w:tcPr>
            <w:tcW w:w="1316" w:type="dxa"/>
            <w:tcBorders>
              <w:top w:val="single" w:sz="4" w:space="0" w:color="auto"/>
              <w:left w:val="nil"/>
              <w:bottom w:val="nil"/>
              <w:right w:val="single" w:sz="4" w:space="0" w:color="auto"/>
            </w:tcBorders>
            <w:noWrap/>
            <w:vAlign w:val="bottom"/>
            <w:hideMark/>
          </w:tcPr>
          <w:p w14:paraId="189921A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1,500,000</w:t>
            </w:r>
          </w:p>
        </w:tc>
        <w:tc>
          <w:tcPr>
            <w:tcW w:w="1316" w:type="dxa"/>
            <w:tcBorders>
              <w:top w:val="nil"/>
              <w:left w:val="nil"/>
              <w:bottom w:val="nil"/>
              <w:right w:val="single" w:sz="4" w:space="0" w:color="auto"/>
            </w:tcBorders>
            <w:noWrap/>
            <w:vAlign w:val="bottom"/>
            <w:hideMark/>
          </w:tcPr>
          <w:p w14:paraId="45AD94C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1,500,000</w:t>
            </w:r>
          </w:p>
        </w:tc>
        <w:tc>
          <w:tcPr>
            <w:tcW w:w="1316" w:type="dxa"/>
            <w:tcBorders>
              <w:top w:val="nil"/>
              <w:left w:val="nil"/>
              <w:bottom w:val="nil"/>
              <w:right w:val="single" w:sz="4" w:space="0" w:color="auto"/>
            </w:tcBorders>
            <w:noWrap/>
            <w:vAlign w:val="bottom"/>
            <w:hideMark/>
          </w:tcPr>
          <w:p w14:paraId="2F31999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1,500,000</w:t>
            </w:r>
          </w:p>
        </w:tc>
      </w:tr>
      <w:tr w:rsidR="00EA0FD7" w:rsidRPr="00EA0FD7" w14:paraId="72C147B4" w14:textId="77777777" w:rsidTr="00EA0FD7">
        <w:trPr>
          <w:trHeight w:val="240"/>
        </w:trPr>
        <w:tc>
          <w:tcPr>
            <w:tcW w:w="1177" w:type="dxa"/>
            <w:tcBorders>
              <w:top w:val="single" w:sz="8" w:space="0" w:color="auto"/>
              <w:left w:val="single" w:sz="8" w:space="0" w:color="auto"/>
              <w:bottom w:val="single" w:sz="8" w:space="0" w:color="auto"/>
              <w:right w:val="single" w:sz="8" w:space="0" w:color="auto"/>
            </w:tcBorders>
            <w:noWrap/>
            <w:vAlign w:val="bottom"/>
            <w:hideMark/>
          </w:tcPr>
          <w:p w14:paraId="6CE76F1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60" w:type="dxa"/>
            <w:tcBorders>
              <w:top w:val="single" w:sz="8" w:space="0" w:color="auto"/>
              <w:left w:val="nil"/>
              <w:bottom w:val="single" w:sz="8" w:space="0" w:color="auto"/>
              <w:right w:val="single" w:sz="8" w:space="0" w:color="auto"/>
            </w:tcBorders>
            <w:noWrap/>
            <w:vAlign w:val="bottom"/>
            <w:hideMark/>
          </w:tcPr>
          <w:p w14:paraId="059E3C6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411" w:type="dxa"/>
            <w:tcBorders>
              <w:top w:val="single" w:sz="8" w:space="0" w:color="auto"/>
              <w:left w:val="nil"/>
              <w:bottom w:val="single" w:sz="8" w:space="0" w:color="auto"/>
              <w:right w:val="single" w:sz="8" w:space="0" w:color="auto"/>
            </w:tcBorders>
            <w:noWrap/>
            <w:vAlign w:val="bottom"/>
            <w:hideMark/>
          </w:tcPr>
          <w:p w14:paraId="227FC39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4,622,595.42</w:t>
            </w:r>
          </w:p>
        </w:tc>
        <w:tc>
          <w:tcPr>
            <w:tcW w:w="1408" w:type="dxa"/>
            <w:tcBorders>
              <w:top w:val="single" w:sz="8" w:space="0" w:color="auto"/>
              <w:left w:val="nil"/>
              <w:bottom w:val="single" w:sz="8" w:space="0" w:color="auto"/>
              <w:right w:val="single" w:sz="8" w:space="0" w:color="auto"/>
            </w:tcBorders>
            <w:noWrap/>
            <w:vAlign w:val="bottom"/>
            <w:hideMark/>
          </w:tcPr>
          <w:p w14:paraId="1A7F239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3,208,009.96</w:t>
            </w:r>
          </w:p>
        </w:tc>
        <w:tc>
          <w:tcPr>
            <w:tcW w:w="1336" w:type="dxa"/>
            <w:tcBorders>
              <w:top w:val="single" w:sz="8" w:space="0" w:color="auto"/>
              <w:left w:val="nil"/>
              <w:bottom w:val="single" w:sz="8" w:space="0" w:color="auto"/>
              <w:right w:val="single" w:sz="8" w:space="0" w:color="auto"/>
            </w:tcBorders>
            <w:noWrap/>
            <w:vAlign w:val="bottom"/>
            <w:hideMark/>
          </w:tcPr>
          <w:p w14:paraId="1A861AE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5,573,023.46</w:t>
            </w:r>
          </w:p>
        </w:tc>
        <w:tc>
          <w:tcPr>
            <w:tcW w:w="1316" w:type="dxa"/>
            <w:tcBorders>
              <w:top w:val="single" w:sz="8" w:space="0" w:color="auto"/>
              <w:left w:val="nil"/>
              <w:bottom w:val="single" w:sz="8" w:space="0" w:color="auto"/>
              <w:right w:val="single" w:sz="8" w:space="0" w:color="auto"/>
            </w:tcBorders>
            <w:noWrap/>
            <w:vAlign w:val="bottom"/>
            <w:hideMark/>
          </w:tcPr>
          <w:p w14:paraId="25C1B8E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7,471,988</w:t>
            </w:r>
          </w:p>
        </w:tc>
        <w:tc>
          <w:tcPr>
            <w:tcW w:w="1316" w:type="dxa"/>
            <w:tcBorders>
              <w:top w:val="single" w:sz="8" w:space="0" w:color="auto"/>
              <w:left w:val="nil"/>
              <w:bottom w:val="single" w:sz="8" w:space="0" w:color="auto"/>
              <w:right w:val="single" w:sz="8" w:space="0" w:color="auto"/>
            </w:tcBorders>
            <w:noWrap/>
            <w:vAlign w:val="bottom"/>
            <w:hideMark/>
          </w:tcPr>
          <w:p w14:paraId="13DE376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6,851,988</w:t>
            </w:r>
          </w:p>
        </w:tc>
        <w:tc>
          <w:tcPr>
            <w:tcW w:w="1316" w:type="dxa"/>
            <w:tcBorders>
              <w:top w:val="single" w:sz="8" w:space="0" w:color="auto"/>
              <w:left w:val="nil"/>
              <w:bottom w:val="single" w:sz="8" w:space="0" w:color="auto"/>
              <w:right w:val="single" w:sz="8" w:space="0" w:color="auto"/>
            </w:tcBorders>
            <w:noWrap/>
            <w:vAlign w:val="bottom"/>
            <w:hideMark/>
          </w:tcPr>
          <w:p w14:paraId="4EFF3B1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7,058,188</w:t>
            </w:r>
          </w:p>
        </w:tc>
        <w:tc>
          <w:tcPr>
            <w:tcW w:w="1316" w:type="dxa"/>
            <w:tcBorders>
              <w:top w:val="single" w:sz="8" w:space="0" w:color="auto"/>
              <w:left w:val="nil"/>
              <w:bottom w:val="single" w:sz="8" w:space="0" w:color="auto"/>
              <w:right w:val="single" w:sz="8" w:space="0" w:color="auto"/>
            </w:tcBorders>
            <w:noWrap/>
            <w:vAlign w:val="bottom"/>
            <w:hideMark/>
          </w:tcPr>
          <w:p w14:paraId="308A935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5,988,538</w:t>
            </w:r>
          </w:p>
        </w:tc>
        <w:tc>
          <w:tcPr>
            <w:tcW w:w="1316" w:type="dxa"/>
            <w:tcBorders>
              <w:top w:val="single" w:sz="8" w:space="0" w:color="auto"/>
              <w:left w:val="nil"/>
              <w:bottom w:val="single" w:sz="8" w:space="0" w:color="auto"/>
              <w:right w:val="single" w:sz="8" w:space="0" w:color="auto"/>
            </w:tcBorders>
            <w:noWrap/>
            <w:vAlign w:val="bottom"/>
            <w:hideMark/>
          </w:tcPr>
          <w:p w14:paraId="4F4303A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6,851,988</w:t>
            </w:r>
          </w:p>
        </w:tc>
        <w:tc>
          <w:tcPr>
            <w:tcW w:w="1316" w:type="dxa"/>
            <w:tcBorders>
              <w:top w:val="single" w:sz="8" w:space="0" w:color="auto"/>
              <w:left w:val="nil"/>
              <w:bottom w:val="single" w:sz="8" w:space="0" w:color="auto"/>
              <w:right w:val="single" w:sz="8" w:space="0" w:color="auto"/>
            </w:tcBorders>
            <w:noWrap/>
            <w:vAlign w:val="bottom"/>
            <w:hideMark/>
          </w:tcPr>
          <w:p w14:paraId="58EF634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7,058,188</w:t>
            </w:r>
          </w:p>
        </w:tc>
      </w:tr>
      <w:tr w:rsidR="00EA0FD7" w:rsidRPr="00EA0FD7" w14:paraId="2AADA42A" w14:textId="77777777" w:rsidTr="00EA0FD7">
        <w:trPr>
          <w:trHeight w:val="46"/>
        </w:trPr>
        <w:tc>
          <w:tcPr>
            <w:tcW w:w="1177" w:type="dxa"/>
            <w:tcBorders>
              <w:top w:val="nil"/>
              <w:left w:val="single" w:sz="8" w:space="0" w:color="auto"/>
              <w:bottom w:val="single" w:sz="8" w:space="0" w:color="auto"/>
              <w:right w:val="nil"/>
            </w:tcBorders>
            <w:noWrap/>
            <w:vAlign w:val="bottom"/>
            <w:hideMark/>
          </w:tcPr>
          <w:p w14:paraId="7BE8B03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60" w:type="dxa"/>
            <w:tcBorders>
              <w:top w:val="nil"/>
              <w:left w:val="nil"/>
              <w:bottom w:val="single" w:sz="8" w:space="0" w:color="auto"/>
              <w:right w:val="nil"/>
            </w:tcBorders>
            <w:noWrap/>
            <w:vAlign w:val="bottom"/>
            <w:hideMark/>
          </w:tcPr>
          <w:p w14:paraId="28BCF02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11" w:type="dxa"/>
            <w:tcBorders>
              <w:top w:val="nil"/>
              <w:left w:val="nil"/>
              <w:bottom w:val="single" w:sz="8" w:space="0" w:color="auto"/>
              <w:right w:val="nil"/>
            </w:tcBorders>
            <w:noWrap/>
            <w:vAlign w:val="bottom"/>
            <w:hideMark/>
          </w:tcPr>
          <w:p w14:paraId="73557DE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08" w:type="dxa"/>
            <w:tcBorders>
              <w:top w:val="nil"/>
              <w:left w:val="nil"/>
              <w:bottom w:val="single" w:sz="8" w:space="0" w:color="auto"/>
              <w:right w:val="nil"/>
            </w:tcBorders>
            <w:noWrap/>
            <w:vAlign w:val="bottom"/>
            <w:hideMark/>
          </w:tcPr>
          <w:p w14:paraId="31CBE52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tcBorders>
              <w:top w:val="nil"/>
              <w:left w:val="nil"/>
              <w:bottom w:val="single" w:sz="8" w:space="0" w:color="auto"/>
              <w:right w:val="nil"/>
            </w:tcBorders>
            <w:noWrap/>
            <w:vAlign w:val="bottom"/>
            <w:hideMark/>
          </w:tcPr>
          <w:p w14:paraId="7623DCA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58D5667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0DC97F4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0624DE0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4F656E9B"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nil"/>
            </w:tcBorders>
            <w:noWrap/>
            <w:vAlign w:val="bottom"/>
            <w:hideMark/>
          </w:tcPr>
          <w:p w14:paraId="01510A87"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single" w:sz="8" w:space="0" w:color="auto"/>
            </w:tcBorders>
            <w:noWrap/>
            <w:vAlign w:val="bottom"/>
            <w:hideMark/>
          </w:tcPr>
          <w:p w14:paraId="1D0D84D5"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5C331FE2" w14:textId="77777777" w:rsidTr="00EA0FD7">
        <w:trPr>
          <w:trHeight w:val="315"/>
        </w:trPr>
        <w:tc>
          <w:tcPr>
            <w:tcW w:w="1177" w:type="dxa"/>
            <w:tcBorders>
              <w:top w:val="nil"/>
              <w:left w:val="single" w:sz="8" w:space="0" w:color="auto"/>
              <w:bottom w:val="single" w:sz="8" w:space="0" w:color="auto"/>
              <w:right w:val="single" w:sz="8" w:space="0" w:color="auto"/>
            </w:tcBorders>
            <w:noWrap/>
            <w:vAlign w:val="bottom"/>
            <w:hideMark/>
          </w:tcPr>
          <w:p w14:paraId="627FBAD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460" w:type="dxa"/>
            <w:tcBorders>
              <w:top w:val="nil"/>
              <w:left w:val="nil"/>
              <w:bottom w:val="single" w:sz="8" w:space="0" w:color="auto"/>
              <w:right w:val="single" w:sz="8" w:space="0" w:color="auto"/>
            </w:tcBorders>
            <w:noWrap/>
            <w:vAlign w:val="bottom"/>
            <w:hideMark/>
          </w:tcPr>
          <w:p w14:paraId="593052B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411" w:type="dxa"/>
            <w:tcBorders>
              <w:top w:val="nil"/>
              <w:left w:val="nil"/>
              <w:bottom w:val="single" w:sz="8" w:space="0" w:color="auto"/>
              <w:right w:val="single" w:sz="8" w:space="0" w:color="auto"/>
            </w:tcBorders>
            <w:noWrap/>
            <w:vAlign w:val="bottom"/>
            <w:hideMark/>
          </w:tcPr>
          <w:p w14:paraId="2DE20EE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59</w:t>
            </w:r>
          </w:p>
        </w:tc>
        <w:tc>
          <w:tcPr>
            <w:tcW w:w="1408" w:type="dxa"/>
            <w:tcBorders>
              <w:top w:val="nil"/>
              <w:left w:val="nil"/>
              <w:bottom w:val="single" w:sz="8" w:space="0" w:color="auto"/>
              <w:right w:val="single" w:sz="8" w:space="0" w:color="auto"/>
            </w:tcBorders>
            <w:noWrap/>
            <w:vAlign w:val="bottom"/>
            <w:hideMark/>
          </w:tcPr>
          <w:p w14:paraId="54624DE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43</w:t>
            </w:r>
          </w:p>
        </w:tc>
        <w:tc>
          <w:tcPr>
            <w:tcW w:w="1336" w:type="dxa"/>
            <w:tcBorders>
              <w:top w:val="nil"/>
              <w:left w:val="nil"/>
              <w:bottom w:val="single" w:sz="8" w:space="0" w:color="auto"/>
              <w:right w:val="single" w:sz="8" w:space="0" w:color="auto"/>
            </w:tcBorders>
            <w:noWrap/>
            <w:vAlign w:val="bottom"/>
            <w:hideMark/>
          </w:tcPr>
          <w:p w14:paraId="5A540B5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59</w:t>
            </w:r>
          </w:p>
        </w:tc>
        <w:tc>
          <w:tcPr>
            <w:tcW w:w="1316" w:type="dxa"/>
            <w:tcBorders>
              <w:top w:val="nil"/>
              <w:left w:val="nil"/>
              <w:bottom w:val="single" w:sz="8" w:space="0" w:color="auto"/>
              <w:right w:val="single" w:sz="8" w:space="0" w:color="auto"/>
            </w:tcBorders>
            <w:noWrap/>
            <w:vAlign w:val="bottom"/>
            <w:hideMark/>
          </w:tcPr>
          <w:p w14:paraId="6543A95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59</w:t>
            </w:r>
          </w:p>
        </w:tc>
        <w:tc>
          <w:tcPr>
            <w:tcW w:w="1316" w:type="dxa"/>
            <w:tcBorders>
              <w:top w:val="nil"/>
              <w:left w:val="nil"/>
              <w:bottom w:val="single" w:sz="8" w:space="0" w:color="auto"/>
              <w:right w:val="single" w:sz="8" w:space="0" w:color="auto"/>
            </w:tcBorders>
            <w:noWrap/>
            <w:vAlign w:val="bottom"/>
            <w:hideMark/>
          </w:tcPr>
          <w:p w14:paraId="6FC4A3A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59</w:t>
            </w:r>
          </w:p>
        </w:tc>
        <w:tc>
          <w:tcPr>
            <w:tcW w:w="1316" w:type="dxa"/>
            <w:tcBorders>
              <w:top w:val="nil"/>
              <w:left w:val="nil"/>
              <w:bottom w:val="single" w:sz="8" w:space="0" w:color="auto"/>
              <w:right w:val="single" w:sz="8" w:space="0" w:color="auto"/>
            </w:tcBorders>
            <w:noWrap/>
            <w:vAlign w:val="bottom"/>
            <w:hideMark/>
          </w:tcPr>
          <w:p w14:paraId="65C651B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59</w:t>
            </w:r>
          </w:p>
        </w:tc>
        <w:tc>
          <w:tcPr>
            <w:tcW w:w="1316" w:type="dxa"/>
            <w:tcBorders>
              <w:top w:val="nil"/>
              <w:left w:val="nil"/>
              <w:bottom w:val="single" w:sz="8" w:space="0" w:color="auto"/>
              <w:right w:val="single" w:sz="8" w:space="0" w:color="auto"/>
            </w:tcBorders>
            <w:noWrap/>
            <w:vAlign w:val="bottom"/>
            <w:hideMark/>
          </w:tcPr>
          <w:p w14:paraId="0438FD6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59</w:t>
            </w:r>
          </w:p>
        </w:tc>
        <w:tc>
          <w:tcPr>
            <w:tcW w:w="1316" w:type="dxa"/>
            <w:tcBorders>
              <w:top w:val="nil"/>
              <w:left w:val="nil"/>
              <w:bottom w:val="single" w:sz="8" w:space="0" w:color="auto"/>
              <w:right w:val="single" w:sz="8" w:space="0" w:color="auto"/>
            </w:tcBorders>
            <w:noWrap/>
            <w:vAlign w:val="bottom"/>
            <w:hideMark/>
          </w:tcPr>
          <w:p w14:paraId="195DDC7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59</w:t>
            </w:r>
          </w:p>
        </w:tc>
        <w:tc>
          <w:tcPr>
            <w:tcW w:w="1316" w:type="dxa"/>
            <w:tcBorders>
              <w:top w:val="nil"/>
              <w:left w:val="nil"/>
              <w:bottom w:val="single" w:sz="8" w:space="0" w:color="auto"/>
              <w:right w:val="single" w:sz="8" w:space="0" w:color="auto"/>
            </w:tcBorders>
            <w:noWrap/>
            <w:vAlign w:val="bottom"/>
            <w:hideMark/>
          </w:tcPr>
          <w:p w14:paraId="40DF93B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59</w:t>
            </w:r>
          </w:p>
        </w:tc>
      </w:tr>
    </w:tbl>
    <w:p w14:paraId="305B0EB9" w14:textId="77777777" w:rsidR="00EA0FD7" w:rsidRPr="00EA0FD7" w:rsidRDefault="00EA0FD7" w:rsidP="00EA0FD7">
      <w:pPr>
        <w:spacing w:after="0" w:line="256" w:lineRule="auto"/>
        <w:rPr>
          <w:rFonts w:ascii="Times New Roman" w:eastAsia="Times New Roman" w:hAnsi="Times New Roman" w:cs="Times New Roman"/>
          <w:b/>
          <w:sz w:val="44"/>
          <w:szCs w:val="44"/>
          <w:lang w:val="sr-Cyrl-RS" w:eastAsia="hr-HR"/>
        </w:rPr>
        <w:sectPr w:rsidR="00EA0FD7" w:rsidRPr="00EA0FD7">
          <w:pgSz w:w="16834" w:h="11909" w:orient="landscape"/>
          <w:pgMar w:top="547" w:right="1282" w:bottom="1411" w:left="720" w:header="706" w:footer="706" w:gutter="0"/>
          <w:cols w:space="720"/>
        </w:sectPr>
      </w:pPr>
    </w:p>
    <w:p w14:paraId="30509F15"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tbl>
      <w:tblPr>
        <w:tblW w:w="15720" w:type="dxa"/>
        <w:tblInd w:w="108" w:type="dxa"/>
        <w:tblLook w:val="04A0" w:firstRow="1" w:lastRow="0" w:firstColumn="1" w:lastColumn="0" w:noHBand="0" w:noVBand="1"/>
      </w:tblPr>
      <w:tblGrid>
        <w:gridCol w:w="1195"/>
        <w:gridCol w:w="17"/>
        <w:gridCol w:w="2485"/>
        <w:gridCol w:w="52"/>
        <w:gridCol w:w="7"/>
        <w:gridCol w:w="1352"/>
        <w:gridCol w:w="21"/>
        <w:gridCol w:w="70"/>
        <w:gridCol w:w="1257"/>
        <w:gridCol w:w="90"/>
        <w:gridCol w:w="1246"/>
        <w:gridCol w:w="32"/>
        <w:gridCol w:w="97"/>
        <w:gridCol w:w="1191"/>
        <w:gridCol w:w="28"/>
        <w:gridCol w:w="1288"/>
        <w:gridCol w:w="28"/>
        <w:gridCol w:w="1288"/>
        <w:gridCol w:w="28"/>
        <w:gridCol w:w="1288"/>
        <w:gridCol w:w="28"/>
        <w:gridCol w:w="1288"/>
        <w:gridCol w:w="28"/>
        <w:gridCol w:w="1288"/>
        <w:gridCol w:w="28"/>
      </w:tblGrid>
      <w:tr w:rsidR="00EA0FD7" w:rsidRPr="00EA0FD7" w14:paraId="0420BC67" w14:textId="77777777" w:rsidTr="00EA0FD7">
        <w:trPr>
          <w:gridAfter w:val="1"/>
          <w:wAfter w:w="31" w:type="dxa"/>
          <w:trHeight w:val="240"/>
        </w:trPr>
        <w:tc>
          <w:tcPr>
            <w:tcW w:w="9109" w:type="dxa"/>
            <w:gridSpan w:val="14"/>
            <w:tcBorders>
              <w:top w:val="nil"/>
              <w:left w:val="nil"/>
              <w:bottom w:val="single" w:sz="8" w:space="0" w:color="auto"/>
              <w:right w:val="nil"/>
            </w:tcBorders>
            <w:noWrap/>
            <w:vAlign w:val="bottom"/>
            <w:hideMark/>
          </w:tcPr>
          <w:p w14:paraId="1FF3B43C" w14:textId="56591A78"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22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О</w:t>
            </w:r>
            <w:r w:rsidR="00752F04">
              <w:rPr>
                <w:rFonts w:ascii="Arial" w:eastAsia="Times New Roman" w:hAnsi="Arial" w:cs="Arial"/>
                <w:b/>
                <w:bCs/>
                <w:sz w:val="20"/>
                <w:szCs w:val="20"/>
                <w:lang w:val="sr-Cyrl-RS"/>
              </w:rPr>
              <w:t xml:space="preserve"> </w:t>
            </w:r>
            <w:r w:rsidRPr="00EA0FD7">
              <w:rPr>
                <w:rFonts w:ascii="Arial" w:eastAsia="Times New Roman" w:hAnsi="Arial" w:cs="Arial"/>
                <w:b/>
                <w:bCs/>
                <w:sz w:val="20"/>
                <w:szCs w:val="20"/>
                <w:lang w:val="sr-Cyrl-RS"/>
              </w:rPr>
              <w:t>ДЈЕЉЕЊЕ ЗА РАСЕЉЕНА ЛИЦА, ИЗБЈЕГЛИЦЕ И СТАМБЕНА ПИТАЊА</w:t>
            </w:r>
          </w:p>
        </w:tc>
        <w:tc>
          <w:tcPr>
            <w:tcW w:w="1316" w:type="dxa"/>
            <w:gridSpan w:val="2"/>
            <w:noWrap/>
            <w:vAlign w:val="bottom"/>
          </w:tcPr>
          <w:p w14:paraId="63561FD6"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7A103DDD"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5C22416B"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293482B5"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5E87359D"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5D280387" w14:textId="77777777" w:rsidTr="00EA0FD7">
        <w:trPr>
          <w:gridAfter w:val="1"/>
          <w:wAfter w:w="31" w:type="dxa"/>
          <w:trHeight w:val="300"/>
        </w:trPr>
        <w:tc>
          <w:tcPr>
            <w:tcW w:w="1209" w:type="dxa"/>
            <w:gridSpan w:val="2"/>
            <w:vMerge w:val="restart"/>
            <w:tcBorders>
              <w:top w:val="nil"/>
              <w:left w:val="single" w:sz="8" w:space="0" w:color="auto"/>
              <w:bottom w:val="single" w:sz="8" w:space="0" w:color="000000"/>
              <w:right w:val="single" w:sz="8" w:space="0" w:color="auto"/>
            </w:tcBorders>
            <w:shd w:val="clear" w:color="auto" w:fill="808080"/>
            <w:vAlign w:val="center"/>
            <w:hideMark/>
          </w:tcPr>
          <w:p w14:paraId="76E8724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537" w:type="dxa"/>
            <w:gridSpan w:val="2"/>
            <w:vMerge w:val="restart"/>
            <w:tcBorders>
              <w:top w:val="nil"/>
              <w:left w:val="single" w:sz="8" w:space="0" w:color="auto"/>
              <w:bottom w:val="single" w:sz="8" w:space="0" w:color="000000"/>
              <w:right w:val="single" w:sz="8" w:space="0" w:color="auto"/>
            </w:tcBorders>
            <w:shd w:val="clear" w:color="auto" w:fill="808080"/>
            <w:vAlign w:val="center"/>
            <w:hideMark/>
          </w:tcPr>
          <w:p w14:paraId="4E74730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450" w:type="dxa"/>
            <w:gridSpan w:val="4"/>
            <w:vMerge w:val="restart"/>
            <w:tcBorders>
              <w:top w:val="nil"/>
              <w:left w:val="single" w:sz="8" w:space="0" w:color="auto"/>
              <w:bottom w:val="single" w:sz="8" w:space="0" w:color="000000"/>
              <w:right w:val="single" w:sz="8" w:space="0" w:color="auto"/>
            </w:tcBorders>
            <w:shd w:val="clear" w:color="auto" w:fill="808080"/>
            <w:vAlign w:val="center"/>
            <w:hideMark/>
          </w:tcPr>
          <w:p w14:paraId="646E4CD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347" w:type="dxa"/>
            <w:gridSpan w:val="2"/>
            <w:vMerge w:val="restart"/>
            <w:tcBorders>
              <w:top w:val="nil"/>
              <w:left w:val="single" w:sz="8" w:space="0" w:color="auto"/>
              <w:bottom w:val="single" w:sz="8" w:space="0" w:color="000000"/>
              <w:right w:val="single" w:sz="8" w:space="0" w:color="auto"/>
            </w:tcBorders>
            <w:shd w:val="clear" w:color="auto" w:fill="808080"/>
            <w:vAlign w:val="center"/>
            <w:hideMark/>
          </w:tcPr>
          <w:p w14:paraId="76864711"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75" w:type="dxa"/>
            <w:gridSpan w:val="3"/>
            <w:vMerge w:val="restart"/>
            <w:tcBorders>
              <w:top w:val="nil"/>
              <w:left w:val="single" w:sz="8" w:space="0" w:color="auto"/>
              <w:bottom w:val="single" w:sz="8" w:space="0" w:color="000000"/>
              <w:right w:val="single" w:sz="8" w:space="0" w:color="auto"/>
            </w:tcBorders>
            <w:shd w:val="clear" w:color="auto" w:fill="808080"/>
            <w:vAlign w:val="center"/>
            <w:hideMark/>
          </w:tcPr>
          <w:p w14:paraId="1861402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823" w:type="dxa"/>
            <w:gridSpan w:val="5"/>
            <w:tcBorders>
              <w:top w:val="single" w:sz="8" w:space="0" w:color="auto"/>
              <w:left w:val="nil"/>
              <w:bottom w:val="single" w:sz="8" w:space="0" w:color="auto"/>
              <w:right w:val="single" w:sz="8" w:space="0" w:color="000000"/>
            </w:tcBorders>
            <w:shd w:val="clear" w:color="auto" w:fill="808080"/>
            <w:noWrap/>
            <w:vAlign w:val="center"/>
            <w:hideMark/>
          </w:tcPr>
          <w:p w14:paraId="65E6DE1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6"/>
            <w:tcBorders>
              <w:top w:val="single" w:sz="8" w:space="0" w:color="auto"/>
              <w:left w:val="nil"/>
              <w:bottom w:val="single" w:sz="8" w:space="0" w:color="auto"/>
              <w:right w:val="single" w:sz="8" w:space="0" w:color="000000"/>
            </w:tcBorders>
            <w:shd w:val="clear" w:color="auto" w:fill="808080"/>
            <w:noWrap/>
            <w:vAlign w:val="center"/>
            <w:hideMark/>
          </w:tcPr>
          <w:p w14:paraId="64E26AC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3658DB33" w14:textId="77777777" w:rsidTr="00EA0FD7">
        <w:trPr>
          <w:gridAfter w:val="1"/>
          <w:wAfter w:w="31" w:type="dxa"/>
          <w:trHeight w:val="300"/>
        </w:trPr>
        <w:tc>
          <w:tcPr>
            <w:tcW w:w="0" w:type="auto"/>
            <w:gridSpan w:val="2"/>
            <w:vMerge/>
            <w:tcBorders>
              <w:top w:val="nil"/>
              <w:left w:val="single" w:sz="8" w:space="0" w:color="auto"/>
              <w:bottom w:val="single" w:sz="8" w:space="0" w:color="000000"/>
              <w:right w:val="single" w:sz="8" w:space="0" w:color="auto"/>
            </w:tcBorders>
            <w:vAlign w:val="center"/>
            <w:hideMark/>
          </w:tcPr>
          <w:p w14:paraId="631C2FB4"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2"/>
            <w:vMerge/>
            <w:tcBorders>
              <w:top w:val="nil"/>
              <w:left w:val="single" w:sz="8" w:space="0" w:color="auto"/>
              <w:bottom w:val="single" w:sz="8" w:space="0" w:color="000000"/>
              <w:right w:val="single" w:sz="8" w:space="0" w:color="auto"/>
            </w:tcBorders>
            <w:vAlign w:val="center"/>
            <w:hideMark/>
          </w:tcPr>
          <w:p w14:paraId="4B5EE82D"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4"/>
            <w:vMerge/>
            <w:tcBorders>
              <w:top w:val="nil"/>
              <w:left w:val="single" w:sz="8" w:space="0" w:color="auto"/>
              <w:bottom w:val="single" w:sz="8" w:space="0" w:color="000000"/>
              <w:right w:val="single" w:sz="8" w:space="0" w:color="auto"/>
            </w:tcBorders>
            <w:vAlign w:val="center"/>
            <w:hideMark/>
          </w:tcPr>
          <w:p w14:paraId="12FDF3BF"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2"/>
            <w:vMerge/>
            <w:tcBorders>
              <w:top w:val="nil"/>
              <w:left w:val="single" w:sz="8" w:space="0" w:color="auto"/>
              <w:bottom w:val="single" w:sz="8" w:space="0" w:color="000000"/>
              <w:right w:val="single" w:sz="8" w:space="0" w:color="auto"/>
            </w:tcBorders>
            <w:vAlign w:val="center"/>
            <w:hideMark/>
          </w:tcPr>
          <w:p w14:paraId="337CA15B"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3"/>
            <w:vMerge/>
            <w:tcBorders>
              <w:top w:val="nil"/>
              <w:left w:val="single" w:sz="8" w:space="0" w:color="auto"/>
              <w:bottom w:val="single" w:sz="8" w:space="0" w:color="000000"/>
              <w:right w:val="single" w:sz="8" w:space="0" w:color="auto"/>
            </w:tcBorders>
            <w:vAlign w:val="center"/>
            <w:hideMark/>
          </w:tcPr>
          <w:p w14:paraId="4F46F806"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191" w:type="dxa"/>
            <w:tcBorders>
              <w:top w:val="nil"/>
              <w:left w:val="nil"/>
              <w:bottom w:val="single" w:sz="8" w:space="0" w:color="auto"/>
              <w:right w:val="single" w:sz="4" w:space="0" w:color="auto"/>
            </w:tcBorders>
            <w:shd w:val="clear" w:color="auto" w:fill="808080"/>
            <w:noWrap/>
            <w:vAlign w:val="center"/>
            <w:hideMark/>
          </w:tcPr>
          <w:p w14:paraId="70A5E17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26C7393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gridSpan w:val="2"/>
            <w:tcBorders>
              <w:top w:val="nil"/>
              <w:left w:val="nil"/>
              <w:bottom w:val="single" w:sz="8" w:space="0" w:color="auto"/>
              <w:right w:val="single" w:sz="8" w:space="0" w:color="auto"/>
            </w:tcBorders>
            <w:shd w:val="clear" w:color="auto" w:fill="808080"/>
            <w:noWrap/>
            <w:vAlign w:val="center"/>
            <w:hideMark/>
          </w:tcPr>
          <w:p w14:paraId="43E9F80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01DCD540"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0FEDAE4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gridSpan w:val="2"/>
            <w:tcBorders>
              <w:top w:val="nil"/>
              <w:left w:val="nil"/>
              <w:bottom w:val="single" w:sz="8" w:space="0" w:color="auto"/>
              <w:right w:val="single" w:sz="8" w:space="0" w:color="auto"/>
            </w:tcBorders>
            <w:shd w:val="clear" w:color="auto" w:fill="808080"/>
            <w:noWrap/>
            <w:vAlign w:val="center"/>
            <w:hideMark/>
          </w:tcPr>
          <w:p w14:paraId="2C438BD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58F71074" w14:textId="77777777" w:rsidTr="00EA0FD7">
        <w:trPr>
          <w:gridAfter w:val="1"/>
          <w:wAfter w:w="31" w:type="dxa"/>
          <w:trHeight w:val="225"/>
        </w:trPr>
        <w:tc>
          <w:tcPr>
            <w:tcW w:w="1209" w:type="dxa"/>
            <w:gridSpan w:val="2"/>
            <w:tcBorders>
              <w:top w:val="nil"/>
              <w:left w:val="single" w:sz="8" w:space="0" w:color="auto"/>
              <w:bottom w:val="single" w:sz="4" w:space="0" w:color="auto"/>
              <w:right w:val="single" w:sz="4" w:space="0" w:color="auto"/>
            </w:tcBorders>
            <w:noWrap/>
            <w:vAlign w:val="bottom"/>
            <w:hideMark/>
          </w:tcPr>
          <w:p w14:paraId="09DE056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37" w:type="dxa"/>
            <w:gridSpan w:val="2"/>
            <w:tcBorders>
              <w:top w:val="nil"/>
              <w:left w:val="nil"/>
              <w:bottom w:val="single" w:sz="4" w:space="0" w:color="auto"/>
              <w:right w:val="single" w:sz="4" w:space="0" w:color="auto"/>
            </w:tcBorders>
            <w:noWrap/>
            <w:vAlign w:val="bottom"/>
            <w:hideMark/>
          </w:tcPr>
          <w:p w14:paraId="2582EE8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450" w:type="dxa"/>
            <w:gridSpan w:val="4"/>
            <w:tcBorders>
              <w:top w:val="nil"/>
              <w:left w:val="nil"/>
              <w:bottom w:val="single" w:sz="4" w:space="0" w:color="auto"/>
              <w:right w:val="single" w:sz="4" w:space="0" w:color="auto"/>
            </w:tcBorders>
            <w:noWrap/>
            <w:vAlign w:val="bottom"/>
            <w:hideMark/>
          </w:tcPr>
          <w:p w14:paraId="2B05994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47" w:type="dxa"/>
            <w:gridSpan w:val="2"/>
            <w:tcBorders>
              <w:top w:val="nil"/>
              <w:left w:val="nil"/>
              <w:bottom w:val="single" w:sz="4" w:space="0" w:color="auto"/>
              <w:right w:val="single" w:sz="4" w:space="0" w:color="auto"/>
            </w:tcBorders>
            <w:noWrap/>
            <w:vAlign w:val="bottom"/>
            <w:hideMark/>
          </w:tcPr>
          <w:p w14:paraId="10D5B8F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75" w:type="dxa"/>
            <w:gridSpan w:val="3"/>
            <w:tcBorders>
              <w:top w:val="nil"/>
              <w:left w:val="nil"/>
              <w:bottom w:val="single" w:sz="4" w:space="0" w:color="auto"/>
              <w:right w:val="single" w:sz="4" w:space="0" w:color="auto"/>
            </w:tcBorders>
            <w:noWrap/>
            <w:vAlign w:val="bottom"/>
            <w:hideMark/>
          </w:tcPr>
          <w:p w14:paraId="7224DD5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91" w:type="dxa"/>
            <w:tcBorders>
              <w:top w:val="nil"/>
              <w:left w:val="nil"/>
              <w:bottom w:val="single" w:sz="4" w:space="0" w:color="auto"/>
              <w:right w:val="single" w:sz="4" w:space="0" w:color="auto"/>
            </w:tcBorders>
            <w:noWrap/>
            <w:vAlign w:val="bottom"/>
            <w:hideMark/>
          </w:tcPr>
          <w:p w14:paraId="0B4BA8F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709D260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57C9AE4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6F2F561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0607C0E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8" w:space="0" w:color="auto"/>
            </w:tcBorders>
            <w:noWrap/>
            <w:vAlign w:val="bottom"/>
            <w:hideMark/>
          </w:tcPr>
          <w:p w14:paraId="7280F9A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5254F517" w14:textId="77777777" w:rsidTr="00EA0FD7">
        <w:trPr>
          <w:gridAfter w:val="1"/>
          <w:wAfter w:w="31" w:type="dxa"/>
          <w:trHeight w:val="480"/>
        </w:trPr>
        <w:tc>
          <w:tcPr>
            <w:tcW w:w="1209" w:type="dxa"/>
            <w:gridSpan w:val="2"/>
            <w:tcBorders>
              <w:top w:val="nil"/>
              <w:left w:val="single" w:sz="8" w:space="0" w:color="auto"/>
              <w:bottom w:val="single" w:sz="4" w:space="0" w:color="auto"/>
              <w:right w:val="single" w:sz="4" w:space="0" w:color="auto"/>
            </w:tcBorders>
            <w:vAlign w:val="bottom"/>
            <w:hideMark/>
          </w:tcPr>
          <w:p w14:paraId="193F0B6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611100</w:t>
            </w:r>
            <w:r w:rsidRPr="00EA0FD7">
              <w:rPr>
                <w:rFonts w:ascii="Arial" w:eastAsia="Times New Roman" w:hAnsi="Arial" w:cs="Arial"/>
                <w:sz w:val="17"/>
                <w:szCs w:val="17"/>
                <w:lang w:val="sr-Cyrl-RS"/>
              </w:rPr>
              <w:br/>
              <w:t>612100</w:t>
            </w:r>
          </w:p>
        </w:tc>
        <w:tc>
          <w:tcPr>
            <w:tcW w:w="2537" w:type="dxa"/>
            <w:gridSpan w:val="2"/>
            <w:tcBorders>
              <w:top w:val="nil"/>
              <w:left w:val="nil"/>
              <w:bottom w:val="single" w:sz="4" w:space="0" w:color="auto"/>
              <w:right w:val="single" w:sz="4" w:space="0" w:color="auto"/>
            </w:tcBorders>
            <w:vAlign w:val="bottom"/>
            <w:hideMark/>
          </w:tcPr>
          <w:p w14:paraId="22A46EE4"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Бруто плате и доприноси послодавца</w:t>
            </w:r>
          </w:p>
        </w:tc>
        <w:tc>
          <w:tcPr>
            <w:tcW w:w="1450" w:type="dxa"/>
            <w:gridSpan w:val="4"/>
            <w:tcBorders>
              <w:top w:val="nil"/>
              <w:left w:val="nil"/>
              <w:bottom w:val="single" w:sz="4" w:space="0" w:color="auto"/>
              <w:right w:val="single" w:sz="4" w:space="0" w:color="auto"/>
            </w:tcBorders>
            <w:noWrap/>
            <w:vAlign w:val="bottom"/>
            <w:hideMark/>
          </w:tcPr>
          <w:p w14:paraId="193EF4D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739,813.00</w:t>
            </w:r>
          </w:p>
        </w:tc>
        <w:tc>
          <w:tcPr>
            <w:tcW w:w="1347" w:type="dxa"/>
            <w:gridSpan w:val="2"/>
            <w:tcBorders>
              <w:top w:val="nil"/>
              <w:left w:val="nil"/>
              <w:bottom w:val="single" w:sz="4" w:space="0" w:color="auto"/>
              <w:right w:val="single" w:sz="4" w:space="0" w:color="auto"/>
            </w:tcBorders>
            <w:noWrap/>
            <w:vAlign w:val="bottom"/>
            <w:hideMark/>
          </w:tcPr>
          <w:p w14:paraId="1F430DE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725,999.92</w:t>
            </w:r>
          </w:p>
        </w:tc>
        <w:tc>
          <w:tcPr>
            <w:tcW w:w="1375" w:type="dxa"/>
            <w:gridSpan w:val="3"/>
            <w:tcBorders>
              <w:top w:val="nil"/>
              <w:left w:val="nil"/>
              <w:bottom w:val="single" w:sz="4" w:space="0" w:color="auto"/>
              <w:right w:val="single" w:sz="4" w:space="0" w:color="auto"/>
            </w:tcBorders>
            <w:noWrap/>
            <w:vAlign w:val="bottom"/>
            <w:hideMark/>
          </w:tcPr>
          <w:p w14:paraId="6A7858A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764,184.00</w:t>
            </w:r>
          </w:p>
        </w:tc>
        <w:tc>
          <w:tcPr>
            <w:tcW w:w="1191" w:type="dxa"/>
            <w:tcBorders>
              <w:top w:val="nil"/>
              <w:left w:val="nil"/>
              <w:bottom w:val="single" w:sz="4" w:space="0" w:color="auto"/>
              <w:right w:val="single" w:sz="4" w:space="0" w:color="auto"/>
            </w:tcBorders>
            <w:noWrap/>
            <w:vAlign w:val="bottom"/>
            <w:hideMark/>
          </w:tcPr>
          <w:p w14:paraId="25EE492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764,990</w:t>
            </w:r>
          </w:p>
        </w:tc>
        <w:tc>
          <w:tcPr>
            <w:tcW w:w="1316" w:type="dxa"/>
            <w:gridSpan w:val="2"/>
            <w:tcBorders>
              <w:top w:val="nil"/>
              <w:left w:val="nil"/>
              <w:bottom w:val="single" w:sz="4" w:space="0" w:color="auto"/>
              <w:right w:val="single" w:sz="4" w:space="0" w:color="auto"/>
            </w:tcBorders>
            <w:noWrap/>
            <w:vAlign w:val="bottom"/>
            <w:hideMark/>
          </w:tcPr>
          <w:p w14:paraId="4178228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767,151</w:t>
            </w:r>
          </w:p>
        </w:tc>
        <w:tc>
          <w:tcPr>
            <w:tcW w:w="1316" w:type="dxa"/>
            <w:gridSpan w:val="2"/>
            <w:tcBorders>
              <w:top w:val="nil"/>
              <w:left w:val="nil"/>
              <w:bottom w:val="single" w:sz="4" w:space="0" w:color="auto"/>
              <w:right w:val="single" w:sz="4" w:space="0" w:color="auto"/>
            </w:tcBorders>
            <w:noWrap/>
            <w:vAlign w:val="bottom"/>
            <w:hideMark/>
          </w:tcPr>
          <w:p w14:paraId="38D1369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769,316</w:t>
            </w:r>
          </w:p>
        </w:tc>
        <w:tc>
          <w:tcPr>
            <w:tcW w:w="1316" w:type="dxa"/>
            <w:gridSpan w:val="2"/>
            <w:tcBorders>
              <w:top w:val="nil"/>
              <w:left w:val="nil"/>
              <w:bottom w:val="single" w:sz="4" w:space="0" w:color="auto"/>
              <w:right w:val="single" w:sz="4" w:space="0" w:color="auto"/>
            </w:tcBorders>
            <w:noWrap/>
            <w:vAlign w:val="bottom"/>
            <w:hideMark/>
          </w:tcPr>
          <w:p w14:paraId="4D28E6E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764,990</w:t>
            </w:r>
          </w:p>
        </w:tc>
        <w:tc>
          <w:tcPr>
            <w:tcW w:w="1316" w:type="dxa"/>
            <w:gridSpan w:val="2"/>
            <w:tcBorders>
              <w:top w:val="nil"/>
              <w:left w:val="nil"/>
              <w:bottom w:val="single" w:sz="4" w:space="0" w:color="auto"/>
              <w:right w:val="single" w:sz="4" w:space="0" w:color="auto"/>
            </w:tcBorders>
            <w:noWrap/>
            <w:vAlign w:val="bottom"/>
            <w:hideMark/>
          </w:tcPr>
          <w:p w14:paraId="352ED26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767,151</w:t>
            </w:r>
          </w:p>
        </w:tc>
        <w:tc>
          <w:tcPr>
            <w:tcW w:w="1316" w:type="dxa"/>
            <w:gridSpan w:val="2"/>
            <w:tcBorders>
              <w:top w:val="nil"/>
              <w:left w:val="nil"/>
              <w:bottom w:val="single" w:sz="4" w:space="0" w:color="auto"/>
              <w:right w:val="single" w:sz="4" w:space="0" w:color="auto"/>
            </w:tcBorders>
            <w:noWrap/>
            <w:vAlign w:val="bottom"/>
            <w:hideMark/>
          </w:tcPr>
          <w:p w14:paraId="604BADB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769,316</w:t>
            </w:r>
          </w:p>
        </w:tc>
      </w:tr>
      <w:tr w:rsidR="00EA0FD7" w:rsidRPr="00EA0FD7" w14:paraId="187ED6D9" w14:textId="77777777" w:rsidTr="00EA0FD7">
        <w:trPr>
          <w:gridAfter w:val="1"/>
          <w:wAfter w:w="31" w:type="dxa"/>
          <w:trHeight w:val="240"/>
        </w:trPr>
        <w:tc>
          <w:tcPr>
            <w:tcW w:w="1209" w:type="dxa"/>
            <w:gridSpan w:val="2"/>
            <w:tcBorders>
              <w:top w:val="nil"/>
              <w:left w:val="single" w:sz="8" w:space="0" w:color="auto"/>
              <w:bottom w:val="single" w:sz="4" w:space="0" w:color="auto"/>
              <w:right w:val="single" w:sz="4" w:space="0" w:color="auto"/>
            </w:tcBorders>
            <w:noWrap/>
            <w:vAlign w:val="bottom"/>
            <w:hideMark/>
          </w:tcPr>
          <w:p w14:paraId="204B4D7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611200</w:t>
            </w:r>
          </w:p>
        </w:tc>
        <w:tc>
          <w:tcPr>
            <w:tcW w:w="2537" w:type="dxa"/>
            <w:gridSpan w:val="2"/>
            <w:tcBorders>
              <w:top w:val="nil"/>
              <w:left w:val="nil"/>
              <w:bottom w:val="single" w:sz="4" w:space="0" w:color="auto"/>
              <w:right w:val="single" w:sz="4" w:space="0" w:color="auto"/>
            </w:tcBorders>
            <w:vAlign w:val="bottom"/>
            <w:hideMark/>
          </w:tcPr>
          <w:p w14:paraId="03E8C853"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Накнаде трошкова запослених</w:t>
            </w:r>
          </w:p>
        </w:tc>
        <w:tc>
          <w:tcPr>
            <w:tcW w:w="1450" w:type="dxa"/>
            <w:gridSpan w:val="4"/>
            <w:tcBorders>
              <w:top w:val="nil"/>
              <w:left w:val="nil"/>
              <w:bottom w:val="single" w:sz="4" w:space="0" w:color="auto"/>
              <w:right w:val="single" w:sz="4" w:space="0" w:color="auto"/>
            </w:tcBorders>
            <w:noWrap/>
            <w:vAlign w:val="bottom"/>
            <w:hideMark/>
          </w:tcPr>
          <w:p w14:paraId="1459BAB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32,327.00</w:t>
            </w:r>
          </w:p>
        </w:tc>
        <w:tc>
          <w:tcPr>
            <w:tcW w:w="1347" w:type="dxa"/>
            <w:gridSpan w:val="2"/>
            <w:tcBorders>
              <w:top w:val="nil"/>
              <w:left w:val="nil"/>
              <w:bottom w:val="single" w:sz="4" w:space="0" w:color="auto"/>
              <w:right w:val="single" w:sz="4" w:space="0" w:color="auto"/>
            </w:tcBorders>
            <w:noWrap/>
            <w:vAlign w:val="bottom"/>
            <w:hideMark/>
          </w:tcPr>
          <w:p w14:paraId="515C0E6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27,704.53</w:t>
            </w:r>
          </w:p>
        </w:tc>
        <w:tc>
          <w:tcPr>
            <w:tcW w:w="1375" w:type="dxa"/>
            <w:gridSpan w:val="3"/>
            <w:tcBorders>
              <w:top w:val="nil"/>
              <w:left w:val="nil"/>
              <w:bottom w:val="single" w:sz="4" w:space="0" w:color="auto"/>
              <w:right w:val="single" w:sz="4" w:space="0" w:color="auto"/>
            </w:tcBorders>
            <w:noWrap/>
            <w:vAlign w:val="bottom"/>
            <w:hideMark/>
          </w:tcPr>
          <w:p w14:paraId="53A0CFF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47,799.00</w:t>
            </w:r>
          </w:p>
        </w:tc>
        <w:tc>
          <w:tcPr>
            <w:tcW w:w="1191" w:type="dxa"/>
            <w:tcBorders>
              <w:top w:val="nil"/>
              <w:left w:val="nil"/>
              <w:bottom w:val="single" w:sz="4" w:space="0" w:color="auto"/>
              <w:right w:val="single" w:sz="4" w:space="0" w:color="auto"/>
            </w:tcBorders>
            <w:noWrap/>
            <w:vAlign w:val="bottom"/>
            <w:hideMark/>
          </w:tcPr>
          <w:p w14:paraId="5B582FE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58,720</w:t>
            </w:r>
          </w:p>
        </w:tc>
        <w:tc>
          <w:tcPr>
            <w:tcW w:w="1316" w:type="dxa"/>
            <w:gridSpan w:val="2"/>
            <w:tcBorders>
              <w:top w:val="nil"/>
              <w:left w:val="nil"/>
              <w:bottom w:val="single" w:sz="4" w:space="0" w:color="auto"/>
              <w:right w:val="single" w:sz="4" w:space="0" w:color="auto"/>
            </w:tcBorders>
            <w:noWrap/>
            <w:vAlign w:val="bottom"/>
            <w:hideMark/>
          </w:tcPr>
          <w:p w14:paraId="613332B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58,720</w:t>
            </w:r>
          </w:p>
        </w:tc>
        <w:tc>
          <w:tcPr>
            <w:tcW w:w="1316" w:type="dxa"/>
            <w:gridSpan w:val="2"/>
            <w:tcBorders>
              <w:top w:val="nil"/>
              <w:left w:val="nil"/>
              <w:bottom w:val="single" w:sz="4" w:space="0" w:color="auto"/>
              <w:right w:val="single" w:sz="4" w:space="0" w:color="auto"/>
            </w:tcBorders>
            <w:noWrap/>
            <w:vAlign w:val="bottom"/>
            <w:hideMark/>
          </w:tcPr>
          <w:p w14:paraId="042EA43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58,720</w:t>
            </w:r>
          </w:p>
        </w:tc>
        <w:tc>
          <w:tcPr>
            <w:tcW w:w="1316" w:type="dxa"/>
            <w:gridSpan w:val="2"/>
            <w:tcBorders>
              <w:top w:val="nil"/>
              <w:left w:val="nil"/>
              <w:bottom w:val="single" w:sz="4" w:space="0" w:color="auto"/>
              <w:right w:val="single" w:sz="4" w:space="0" w:color="auto"/>
            </w:tcBorders>
            <w:noWrap/>
            <w:vAlign w:val="bottom"/>
            <w:hideMark/>
          </w:tcPr>
          <w:p w14:paraId="0C5E181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58,720</w:t>
            </w:r>
          </w:p>
        </w:tc>
        <w:tc>
          <w:tcPr>
            <w:tcW w:w="1316" w:type="dxa"/>
            <w:gridSpan w:val="2"/>
            <w:tcBorders>
              <w:top w:val="nil"/>
              <w:left w:val="nil"/>
              <w:bottom w:val="single" w:sz="4" w:space="0" w:color="auto"/>
              <w:right w:val="single" w:sz="4" w:space="0" w:color="auto"/>
            </w:tcBorders>
            <w:noWrap/>
            <w:vAlign w:val="bottom"/>
            <w:hideMark/>
          </w:tcPr>
          <w:p w14:paraId="10CDE7F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58,720</w:t>
            </w:r>
          </w:p>
        </w:tc>
        <w:tc>
          <w:tcPr>
            <w:tcW w:w="1316" w:type="dxa"/>
            <w:gridSpan w:val="2"/>
            <w:tcBorders>
              <w:top w:val="nil"/>
              <w:left w:val="nil"/>
              <w:bottom w:val="single" w:sz="4" w:space="0" w:color="auto"/>
              <w:right w:val="single" w:sz="4" w:space="0" w:color="auto"/>
            </w:tcBorders>
            <w:noWrap/>
            <w:vAlign w:val="bottom"/>
            <w:hideMark/>
          </w:tcPr>
          <w:p w14:paraId="4649CE5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58,720</w:t>
            </w:r>
          </w:p>
        </w:tc>
      </w:tr>
      <w:tr w:rsidR="00EA0FD7" w:rsidRPr="00EA0FD7" w14:paraId="763324BA" w14:textId="77777777" w:rsidTr="00EA0FD7">
        <w:trPr>
          <w:gridAfter w:val="1"/>
          <w:wAfter w:w="31" w:type="dxa"/>
          <w:trHeight w:val="480"/>
        </w:trPr>
        <w:tc>
          <w:tcPr>
            <w:tcW w:w="1209" w:type="dxa"/>
            <w:gridSpan w:val="2"/>
            <w:tcBorders>
              <w:top w:val="nil"/>
              <w:left w:val="single" w:sz="8" w:space="0" w:color="auto"/>
              <w:bottom w:val="single" w:sz="4" w:space="0" w:color="auto"/>
              <w:right w:val="single" w:sz="4" w:space="0" w:color="auto"/>
            </w:tcBorders>
            <w:noWrap/>
            <w:vAlign w:val="bottom"/>
            <w:hideMark/>
          </w:tcPr>
          <w:p w14:paraId="55050F7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613000</w:t>
            </w:r>
          </w:p>
        </w:tc>
        <w:tc>
          <w:tcPr>
            <w:tcW w:w="2537" w:type="dxa"/>
            <w:gridSpan w:val="2"/>
            <w:tcBorders>
              <w:top w:val="nil"/>
              <w:left w:val="nil"/>
              <w:bottom w:val="single" w:sz="4" w:space="0" w:color="auto"/>
              <w:right w:val="single" w:sz="4" w:space="0" w:color="auto"/>
            </w:tcBorders>
            <w:vAlign w:val="bottom"/>
            <w:hideMark/>
          </w:tcPr>
          <w:p w14:paraId="3E2FDAEB"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материјал, робе, ситан инвентар и услуге</w:t>
            </w:r>
          </w:p>
        </w:tc>
        <w:tc>
          <w:tcPr>
            <w:tcW w:w="1450" w:type="dxa"/>
            <w:gridSpan w:val="4"/>
            <w:tcBorders>
              <w:top w:val="nil"/>
              <w:left w:val="nil"/>
              <w:bottom w:val="single" w:sz="4" w:space="0" w:color="auto"/>
              <w:right w:val="single" w:sz="4" w:space="0" w:color="auto"/>
            </w:tcBorders>
            <w:noWrap/>
            <w:vAlign w:val="bottom"/>
            <w:hideMark/>
          </w:tcPr>
          <w:p w14:paraId="4CEE3F2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149,654.00</w:t>
            </w:r>
          </w:p>
        </w:tc>
        <w:tc>
          <w:tcPr>
            <w:tcW w:w="1347" w:type="dxa"/>
            <w:gridSpan w:val="2"/>
            <w:tcBorders>
              <w:top w:val="nil"/>
              <w:left w:val="nil"/>
              <w:bottom w:val="single" w:sz="4" w:space="0" w:color="auto"/>
              <w:right w:val="single" w:sz="4" w:space="0" w:color="auto"/>
            </w:tcBorders>
            <w:noWrap/>
            <w:vAlign w:val="bottom"/>
            <w:hideMark/>
          </w:tcPr>
          <w:p w14:paraId="6AFA074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141,112.77</w:t>
            </w:r>
          </w:p>
        </w:tc>
        <w:tc>
          <w:tcPr>
            <w:tcW w:w="1375" w:type="dxa"/>
            <w:gridSpan w:val="3"/>
            <w:tcBorders>
              <w:top w:val="nil"/>
              <w:left w:val="nil"/>
              <w:bottom w:val="single" w:sz="4" w:space="0" w:color="auto"/>
              <w:right w:val="single" w:sz="4" w:space="0" w:color="auto"/>
            </w:tcBorders>
            <w:noWrap/>
            <w:vAlign w:val="bottom"/>
            <w:hideMark/>
          </w:tcPr>
          <w:p w14:paraId="14F5DA2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173,909.00</w:t>
            </w:r>
          </w:p>
        </w:tc>
        <w:tc>
          <w:tcPr>
            <w:tcW w:w="1191" w:type="dxa"/>
            <w:tcBorders>
              <w:top w:val="nil"/>
              <w:left w:val="nil"/>
              <w:bottom w:val="single" w:sz="4" w:space="0" w:color="auto"/>
              <w:right w:val="single" w:sz="4" w:space="0" w:color="auto"/>
            </w:tcBorders>
            <w:noWrap/>
            <w:vAlign w:val="bottom"/>
            <w:hideMark/>
          </w:tcPr>
          <w:p w14:paraId="36BFD0C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171,113</w:t>
            </w:r>
          </w:p>
        </w:tc>
        <w:tc>
          <w:tcPr>
            <w:tcW w:w="1316" w:type="dxa"/>
            <w:gridSpan w:val="2"/>
            <w:tcBorders>
              <w:top w:val="nil"/>
              <w:left w:val="nil"/>
              <w:bottom w:val="single" w:sz="4" w:space="0" w:color="auto"/>
              <w:right w:val="single" w:sz="4" w:space="0" w:color="auto"/>
            </w:tcBorders>
            <w:noWrap/>
            <w:vAlign w:val="bottom"/>
            <w:hideMark/>
          </w:tcPr>
          <w:p w14:paraId="77B959B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171,113</w:t>
            </w:r>
          </w:p>
        </w:tc>
        <w:tc>
          <w:tcPr>
            <w:tcW w:w="1316" w:type="dxa"/>
            <w:gridSpan w:val="2"/>
            <w:tcBorders>
              <w:top w:val="nil"/>
              <w:left w:val="nil"/>
              <w:bottom w:val="single" w:sz="4" w:space="0" w:color="auto"/>
              <w:right w:val="single" w:sz="4" w:space="0" w:color="auto"/>
            </w:tcBorders>
            <w:noWrap/>
            <w:vAlign w:val="bottom"/>
            <w:hideMark/>
          </w:tcPr>
          <w:p w14:paraId="1CB422F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171,113</w:t>
            </w:r>
          </w:p>
        </w:tc>
        <w:tc>
          <w:tcPr>
            <w:tcW w:w="1316" w:type="dxa"/>
            <w:gridSpan w:val="2"/>
            <w:tcBorders>
              <w:top w:val="nil"/>
              <w:left w:val="nil"/>
              <w:bottom w:val="single" w:sz="4" w:space="0" w:color="auto"/>
              <w:right w:val="single" w:sz="4" w:space="0" w:color="auto"/>
            </w:tcBorders>
            <w:noWrap/>
            <w:vAlign w:val="bottom"/>
            <w:hideMark/>
          </w:tcPr>
          <w:p w14:paraId="45AD407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171,113</w:t>
            </w:r>
          </w:p>
        </w:tc>
        <w:tc>
          <w:tcPr>
            <w:tcW w:w="1316" w:type="dxa"/>
            <w:gridSpan w:val="2"/>
            <w:tcBorders>
              <w:top w:val="nil"/>
              <w:left w:val="nil"/>
              <w:bottom w:val="single" w:sz="4" w:space="0" w:color="auto"/>
              <w:right w:val="single" w:sz="4" w:space="0" w:color="auto"/>
            </w:tcBorders>
            <w:noWrap/>
            <w:vAlign w:val="bottom"/>
            <w:hideMark/>
          </w:tcPr>
          <w:p w14:paraId="228E983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171,113</w:t>
            </w:r>
          </w:p>
        </w:tc>
        <w:tc>
          <w:tcPr>
            <w:tcW w:w="1316" w:type="dxa"/>
            <w:gridSpan w:val="2"/>
            <w:tcBorders>
              <w:top w:val="nil"/>
              <w:left w:val="nil"/>
              <w:bottom w:val="single" w:sz="4" w:space="0" w:color="auto"/>
              <w:right w:val="single" w:sz="4" w:space="0" w:color="auto"/>
            </w:tcBorders>
            <w:noWrap/>
            <w:vAlign w:val="bottom"/>
            <w:hideMark/>
          </w:tcPr>
          <w:p w14:paraId="5372CD1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171,113</w:t>
            </w:r>
          </w:p>
        </w:tc>
      </w:tr>
      <w:tr w:rsidR="00EA0FD7" w:rsidRPr="00EA0FD7" w14:paraId="79780797" w14:textId="77777777" w:rsidTr="00EA0FD7">
        <w:trPr>
          <w:gridAfter w:val="1"/>
          <w:wAfter w:w="31" w:type="dxa"/>
          <w:trHeight w:val="480"/>
        </w:trPr>
        <w:tc>
          <w:tcPr>
            <w:tcW w:w="1209" w:type="dxa"/>
            <w:gridSpan w:val="2"/>
            <w:tcBorders>
              <w:top w:val="nil"/>
              <w:left w:val="single" w:sz="8" w:space="0" w:color="auto"/>
              <w:bottom w:val="single" w:sz="4" w:space="0" w:color="auto"/>
              <w:right w:val="single" w:sz="4" w:space="0" w:color="auto"/>
            </w:tcBorders>
            <w:vAlign w:val="bottom"/>
            <w:hideMark/>
          </w:tcPr>
          <w:p w14:paraId="2314DBF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614000</w:t>
            </w:r>
          </w:p>
        </w:tc>
        <w:tc>
          <w:tcPr>
            <w:tcW w:w="2537" w:type="dxa"/>
            <w:gridSpan w:val="2"/>
            <w:tcBorders>
              <w:top w:val="nil"/>
              <w:left w:val="nil"/>
              <w:bottom w:val="single" w:sz="4" w:space="0" w:color="auto"/>
              <w:right w:val="single" w:sz="4" w:space="0" w:color="auto"/>
            </w:tcBorders>
            <w:vAlign w:val="bottom"/>
            <w:hideMark/>
          </w:tcPr>
          <w:p w14:paraId="7246ADCD"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Текући трансфери, донације и субвенције</w:t>
            </w:r>
          </w:p>
        </w:tc>
        <w:tc>
          <w:tcPr>
            <w:tcW w:w="1450" w:type="dxa"/>
            <w:gridSpan w:val="4"/>
            <w:tcBorders>
              <w:top w:val="nil"/>
              <w:left w:val="nil"/>
              <w:bottom w:val="single" w:sz="4" w:space="0" w:color="auto"/>
              <w:right w:val="single" w:sz="4" w:space="0" w:color="auto"/>
            </w:tcBorders>
            <w:noWrap/>
            <w:vAlign w:val="bottom"/>
            <w:hideMark/>
          </w:tcPr>
          <w:p w14:paraId="1C8677F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1,867,356.00</w:t>
            </w:r>
          </w:p>
        </w:tc>
        <w:tc>
          <w:tcPr>
            <w:tcW w:w="1347" w:type="dxa"/>
            <w:gridSpan w:val="2"/>
            <w:tcBorders>
              <w:top w:val="nil"/>
              <w:left w:val="nil"/>
              <w:bottom w:val="single" w:sz="4" w:space="0" w:color="auto"/>
              <w:right w:val="single" w:sz="4" w:space="0" w:color="auto"/>
            </w:tcBorders>
            <w:noWrap/>
            <w:vAlign w:val="bottom"/>
            <w:hideMark/>
          </w:tcPr>
          <w:p w14:paraId="6DB577E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1,851,110.34</w:t>
            </w:r>
          </w:p>
        </w:tc>
        <w:tc>
          <w:tcPr>
            <w:tcW w:w="1375" w:type="dxa"/>
            <w:gridSpan w:val="3"/>
            <w:tcBorders>
              <w:top w:val="nil"/>
              <w:left w:val="nil"/>
              <w:bottom w:val="single" w:sz="4" w:space="0" w:color="auto"/>
              <w:right w:val="single" w:sz="4" w:space="0" w:color="auto"/>
            </w:tcBorders>
            <w:noWrap/>
            <w:vAlign w:val="bottom"/>
            <w:hideMark/>
          </w:tcPr>
          <w:p w14:paraId="65C4C63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3,400.00</w:t>
            </w:r>
          </w:p>
        </w:tc>
        <w:tc>
          <w:tcPr>
            <w:tcW w:w="1191" w:type="dxa"/>
            <w:tcBorders>
              <w:top w:val="nil"/>
              <w:left w:val="nil"/>
              <w:bottom w:val="single" w:sz="4" w:space="0" w:color="auto"/>
              <w:right w:val="single" w:sz="4" w:space="0" w:color="auto"/>
            </w:tcBorders>
            <w:noWrap/>
            <w:vAlign w:val="bottom"/>
            <w:hideMark/>
          </w:tcPr>
          <w:p w14:paraId="48F4C69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10,000</w:t>
            </w:r>
          </w:p>
        </w:tc>
        <w:tc>
          <w:tcPr>
            <w:tcW w:w="1316" w:type="dxa"/>
            <w:gridSpan w:val="2"/>
            <w:tcBorders>
              <w:top w:val="nil"/>
              <w:left w:val="nil"/>
              <w:bottom w:val="single" w:sz="4" w:space="0" w:color="auto"/>
              <w:right w:val="single" w:sz="4" w:space="0" w:color="auto"/>
            </w:tcBorders>
            <w:noWrap/>
            <w:vAlign w:val="bottom"/>
            <w:hideMark/>
          </w:tcPr>
          <w:p w14:paraId="7173081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10,000</w:t>
            </w:r>
          </w:p>
        </w:tc>
        <w:tc>
          <w:tcPr>
            <w:tcW w:w="1316" w:type="dxa"/>
            <w:gridSpan w:val="2"/>
            <w:tcBorders>
              <w:top w:val="nil"/>
              <w:left w:val="nil"/>
              <w:bottom w:val="single" w:sz="4" w:space="0" w:color="auto"/>
              <w:right w:val="single" w:sz="4" w:space="0" w:color="auto"/>
            </w:tcBorders>
            <w:noWrap/>
            <w:vAlign w:val="bottom"/>
            <w:hideMark/>
          </w:tcPr>
          <w:p w14:paraId="650B0D0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10,000</w:t>
            </w:r>
          </w:p>
        </w:tc>
        <w:tc>
          <w:tcPr>
            <w:tcW w:w="1316" w:type="dxa"/>
            <w:gridSpan w:val="2"/>
            <w:tcBorders>
              <w:top w:val="nil"/>
              <w:left w:val="nil"/>
              <w:bottom w:val="single" w:sz="4" w:space="0" w:color="auto"/>
              <w:right w:val="single" w:sz="4" w:space="0" w:color="auto"/>
            </w:tcBorders>
            <w:noWrap/>
            <w:vAlign w:val="bottom"/>
            <w:hideMark/>
          </w:tcPr>
          <w:p w14:paraId="73FFFDA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10,000</w:t>
            </w:r>
          </w:p>
        </w:tc>
        <w:tc>
          <w:tcPr>
            <w:tcW w:w="1316" w:type="dxa"/>
            <w:gridSpan w:val="2"/>
            <w:tcBorders>
              <w:top w:val="nil"/>
              <w:left w:val="nil"/>
              <w:bottom w:val="single" w:sz="4" w:space="0" w:color="auto"/>
              <w:right w:val="single" w:sz="4" w:space="0" w:color="auto"/>
            </w:tcBorders>
            <w:noWrap/>
            <w:vAlign w:val="bottom"/>
            <w:hideMark/>
          </w:tcPr>
          <w:p w14:paraId="3EB2619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10,000</w:t>
            </w:r>
          </w:p>
        </w:tc>
        <w:tc>
          <w:tcPr>
            <w:tcW w:w="1316" w:type="dxa"/>
            <w:gridSpan w:val="2"/>
            <w:tcBorders>
              <w:top w:val="nil"/>
              <w:left w:val="nil"/>
              <w:bottom w:val="single" w:sz="4" w:space="0" w:color="auto"/>
              <w:right w:val="single" w:sz="4" w:space="0" w:color="auto"/>
            </w:tcBorders>
            <w:noWrap/>
            <w:vAlign w:val="bottom"/>
            <w:hideMark/>
          </w:tcPr>
          <w:p w14:paraId="5C56654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10,000</w:t>
            </w:r>
          </w:p>
        </w:tc>
      </w:tr>
      <w:tr w:rsidR="00EA0FD7" w:rsidRPr="00EA0FD7" w14:paraId="06356B5A" w14:textId="77777777" w:rsidTr="00EA0FD7">
        <w:trPr>
          <w:gridAfter w:val="1"/>
          <w:wAfter w:w="31" w:type="dxa"/>
          <w:trHeight w:val="240"/>
        </w:trPr>
        <w:tc>
          <w:tcPr>
            <w:tcW w:w="1209" w:type="dxa"/>
            <w:gridSpan w:val="2"/>
            <w:tcBorders>
              <w:top w:val="nil"/>
              <w:left w:val="single" w:sz="8" w:space="0" w:color="auto"/>
              <w:bottom w:val="nil"/>
              <w:right w:val="single" w:sz="4" w:space="0" w:color="auto"/>
            </w:tcBorders>
            <w:vAlign w:val="bottom"/>
            <w:hideMark/>
          </w:tcPr>
          <w:p w14:paraId="0CC831E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615000</w:t>
            </w:r>
          </w:p>
        </w:tc>
        <w:tc>
          <w:tcPr>
            <w:tcW w:w="2537" w:type="dxa"/>
            <w:gridSpan w:val="2"/>
            <w:tcBorders>
              <w:top w:val="nil"/>
              <w:left w:val="nil"/>
              <w:bottom w:val="nil"/>
              <w:right w:val="single" w:sz="4" w:space="0" w:color="auto"/>
            </w:tcBorders>
            <w:vAlign w:val="bottom"/>
            <w:hideMark/>
          </w:tcPr>
          <w:p w14:paraId="772F431B"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Капитални трансфери и донације</w:t>
            </w:r>
          </w:p>
        </w:tc>
        <w:tc>
          <w:tcPr>
            <w:tcW w:w="1450" w:type="dxa"/>
            <w:gridSpan w:val="4"/>
            <w:tcBorders>
              <w:top w:val="nil"/>
              <w:left w:val="nil"/>
              <w:bottom w:val="nil"/>
              <w:right w:val="single" w:sz="4" w:space="0" w:color="auto"/>
            </w:tcBorders>
            <w:noWrap/>
            <w:vAlign w:val="bottom"/>
            <w:hideMark/>
          </w:tcPr>
          <w:p w14:paraId="6B2E5AF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25,000.00</w:t>
            </w:r>
          </w:p>
        </w:tc>
        <w:tc>
          <w:tcPr>
            <w:tcW w:w="1347" w:type="dxa"/>
            <w:gridSpan w:val="2"/>
            <w:tcBorders>
              <w:top w:val="nil"/>
              <w:left w:val="nil"/>
              <w:bottom w:val="nil"/>
              <w:right w:val="single" w:sz="4" w:space="0" w:color="auto"/>
            </w:tcBorders>
            <w:noWrap/>
            <w:vAlign w:val="bottom"/>
            <w:hideMark/>
          </w:tcPr>
          <w:p w14:paraId="6C65A99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75" w:type="dxa"/>
            <w:gridSpan w:val="3"/>
            <w:tcBorders>
              <w:top w:val="nil"/>
              <w:left w:val="nil"/>
              <w:bottom w:val="nil"/>
              <w:right w:val="single" w:sz="4" w:space="0" w:color="auto"/>
            </w:tcBorders>
            <w:noWrap/>
            <w:vAlign w:val="bottom"/>
            <w:hideMark/>
          </w:tcPr>
          <w:p w14:paraId="13283F0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1,122,000.00</w:t>
            </w:r>
          </w:p>
        </w:tc>
        <w:tc>
          <w:tcPr>
            <w:tcW w:w="1191" w:type="dxa"/>
            <w:tcBorders>
              <w:top w:val="nil"/>
              <w:left w:val="nil"/>
              <w:bottom w:val="nil"/>
              <w:right w:val="single" w:sz="4" w:space="0" w:color="auto"/>
            </w:tcBorders>
            <w:noWrap/>
            <w:vAlign w:val="bottom"/>
            <w:hideMark/>
          </w:tcPr>
          <w:p w14:paraId="0A05DCE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1,150,000</w:t>
            </w:r>
          </w:p>
        </w:tc>
        <w:tc>
          <w:tcPr>
            <w:tcW w:w="1316" w:type="dxa"/>
            <w:gridSpan w:val="2"/>
            <w:tcBorders>
              <w:top w:val="nil"/>
              <w:left w:val="nil"/>
              <w:bottom w:val="nil"/>
              <w:right w:val="single" w:sz="4" w:space="0" w:color="auto"/>
            </w:tcBorders>
            <w:noWrap/>
            <w:vAlign w:val="bottom"/>
            <w:hideMark/>
          </w:tcPr>
          <w:p w14:paraId="1DF89E6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1,150,000</w:t>
            </w:r>
          </w:p>
        </w:tc>
        <w:tc>
          <w:tcPr>
            <w:tcW w:w="1316" w:type="dxa"/>
            <w:gridSpan w:val="2"/>
            <w:tcBorders>
              <w:top w:val="nil"/>
              <w:left w:val="nil"/>
              <w:bottom w:val="nil"/>
              <w:right w:val="single" w:sz="4" w:space="0" w:color="auto"/>
            </w:tcBorders>
            <w:noWrap/>
            <w:vAlign w:val="bottom"/>
            <w:hideMark/>
          </w:tcPr>
          <w:p w14:paraId="65E295E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1,150,000</w:t>
            </w:r>
          </w:p>
        </w:tc>
        <w:tc>
          <w:tcPr>
            <w:tcW w:w="1316" w:type="dxa"/>
            <w:gridSpan w:val="2"/>
            <w:tcBorders>
              <w:top w:val="nil"/>
              <w:left w:val="nil"/>
              <w:bottom w:val="nil"/>
              <w:right w:val="single" w:sz="4" w:space="0" w:color="auto"/>
            </w:tcBorders>
            <w:noWrap/>
            <w:vAlign w:val="bottom"/>
            <w:hideMark/>
          </w:tcPr>
          <w:p w14:paraId="409CFA9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1,150,000</w:t>
            </w:r>
          </w:p>
        </w:tc>
        <w:tc>
          <w:tcPr>
            <w:tcW w:w="1316" w:type="dxa"/>
            <w:gridSpan w:val="2"/>
            <w:tcBorders>
              <w:top w:val="nil"/>
              <w:left w:val="nil"/>
              <w:bottom w:val="nil"/>
              <w:right w:val="single" w:sz="4" w:space="0" w:color="auto"/>
            </w:tcBorders>
            <w:noWrap/>
            <w:vAlign w:val="bottom"/>
            <w:hideMark/>
          </w:tcPr>
          <w:p w14:paraId="61460D2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1,150,000</w:t>
            </w:r>
          </w:p>
        </w:tc>
        <w:tc>
          <w:tcPr>
            <w:tcW w:w="1316" w:type="dxa"/>
            <w:gridSpan w:val="2"/>
            <w:tcBorders>
              <w:top w:val="nil"/>
              <w:left w:val="nil"/>
              <w:bottom w:val="nil"/>
              <w:right w:val="single" w:sz="4" w:space="0" w:color="auto"/>
            </w:tcBorders>
            <w:noWrap/>
            <w:vAlign w:val="bottom"/>
            <w:hideMark/>
          </w:tcPr>
          <w:p w14:paraId="5773880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1,150,000</w:t>
            </w:r>
          </w:p>
        </w:tc>
      </w:tr>
      <w:tr w:rsidR="00EA0FD7" w:rsidRPr="00EA0FD7" w14:paraId="525710AA" w14:textId="77777777" w:rsidTr="00EA0FD7">
        <w:trPr>
          <w:gridAfter w:val="1"/>
          <w:wAfter w:w="31" w:type="dxa"/>
          <w:trHeight w:val="480"/>
        </w:trPr>
        <w:tc>
          <w:tcPr>
            <w:tcW w:w="1209" w:type="dxa"/>
            <w:gridSpan w:val="2"/>
            <w:tcBorders>
              <w:top w:val="single" w:sz="4" w:space="0" w:color="auto"/>
              <w:left w:val="single" w:sz="8" w:space="0" w:color="auto"/>
              <w:bottom w:val="nil"/>
              <w:right w:val="single" w:sz="4" w:space="0" w:color="auto"/>
            </w:tcBorders>
            <w:noWrap/>
            <w:vAlign w:val="bottom"/>
            <w:hideMark/>
          </w:tcPr>
          <w:p w14:paraId="4A641F2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821000</w:t>
            </w:r>
          </w:p>
        </w:tc>
        <w:tc>
          <w:tcPr>
            <w:tcW w:w="2537" w:type="dxa"/>
            <w:gridSpan w:val="2"/>
            <w:tcBorders>
              <w:top w:val="single" w:sz="4" w:space="0" w:color="auto"/>
              <w:left w:val="nil"/>
              <w:bottom w:val="nil"/>
              <w:right w:val="single" w:sz="4" w:space="0" w:color="auto"/>
            </w:tcBorders>
            <w:vAlign w:val="bottom"/>
            <w:hideMark/>
          </w:tcPr>
          <w:p w14:paraId="7E0B211B"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набавку сталних средстава</w:t>
            </w:r>
          </w:p>
        </w:tc>
        <w:tc>
          <w:tcPr>
            <w:tcW w:w="1450" w:type="dxa"/>
            <w:gridSpan w:val="4"/>
            <w:tcBorders>
              <w:top w:val="single" w:sz="4" w:space="0" w:color="auto"/>
              <w:left w:val="nil"/>
              <w:bottom w:val="nil"/>
              <w:right w:val="single" w:sz="4" w:space="0" w:color="auto"/>
            </w:tcBorders>
            <w:noWrap/>
            <w:vAlign w:val="bottom"/>
            <w:hideMark/>
          </w:tcPr>
          <w:p w14:paraId="0C020D2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100,000.00</w:t>
            </w:r>
          </w:p>
        </w:tc>
        <w:tc>
          <w:tcPr>
            <w:tcW w:w="1347" w:type="dxa"/>
            <w:gridSpan w:val="2"/>
            <w:tcBorders>
              <w:top w:val="single" w:sz="4" w:space="0" w:color="auto"/>
              <w:left w:val="nil"/>
              <w:bottom w:val="nil"/>
              <w:right w:val="single" w:sz="4" w:space="0" w:color="auto"/>
            </w:tcBorders>
            <w:noWrap/>
            <w:vAlign w:val="bottom"/>
            <w:hideMark/>
          </w:tcPr>
          <w:p w14:paraId="45BEA2C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21,696.49</w:t>
            </w:r>
          </w:p>
        </w:tc>
        <w:tc>
          <w:tcPr>
            <w:tcW w:w="1375" w:type="dxa"/>
            <w:gridSpan w:val="3"/>
            <w:tcBorders>
              <w:top w:val="single" w:sz="4" w:space="0" w:color="auto"/>
              <w:left w:val="nil"/>
              <w:bottom w:val="nil"/>
              <w:right w:val="single" w:sz="4" w:space="0" w:color="auto"/>
            </w:tcBorders>
            <w:noWrap/>
            <w:vAlign w:val="bottom"/>
            <w:hideMark/>
          </w:tcPr>
          <w:p w14:paraId="3D7856F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240,000.00</w:t>
            </w:r>
          </w:p>
        </w:tc>
        <w:tc>
          <w:tcPr>
            <w:tcW w:w="1191" w:type="dxa"/>
            <w:tcBorders>
              <w:top w:val="single" w:sz="4" w:space="0" w:color="auto"/>
              <w:left w:val="nil"/>
              <w:bottom w:val="nil"/>
              <w:right w:val="single" w:sz="4" w:space="0" w:color="auto"/>
            </w:tcBorders>
            <w:noWrap/>
            <w:vAlign w:val="bottom"/>
            <w:hideMark/>
          </w:tcPr>
          <w:p w14:paraId="4CACCF9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1,100,000</w:t>
            </w:r>
          </w:p>
        </w:tc>
        <w:tc>
          <w:tcPr>
            <w:tcW w:w="1316" w:type="dxa"/>
            <w:gridSpan w:val="2"/>
            <w:tcBorders>
              <w:top w:val="single" w:sz="4" w:space="0" w:color="auto"/>
              <w:left w:val="nil"/>
              <w:bottom w:val="nil"/>
              <w:right w:val="single" w:sz="4" w:space="0" w:color="auto"/>
            </w:tcBorders>
            <w:noWrap/>
            <w:vAlign w:val="bottom"/>
            <w:hideMark/>
          </w:tcPr>
          <w:p w14:paraId="1CA4C4D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w:t>
            </w:r>
          </w:p>
        </w:tc>
        <w:tc>
          <w:tcPr>
            <w:tcW w:w="1316" w:type="dxa"/>
            <w:gridSpan w:val="2"/>
            <w:tcBorders>
              <w:top w:val="single" w:sz="4" w:space="0" w:color="auto"/>
              <w:left w:val="nil"/>
              <w:bottom w:val="nil"/>
              <w:right w:val="single" w:sz="4" w:space="0" w:color="auto"/>
            </w:tcBorders>
            <w:noWrap/>
            <w:vAlign w:val="bottom"/>
            <w:hideMark/>
          </w:tcPr>
          <w:p w14:paraId="78208F5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w:t>
            </w:r>
          </w:p>
        </w:tc>
        <w:tc>
          <w:tcPr>
            <w:tcW w:w="1316" w:type="dxa"/>
            <w:gridSpan w:val="2"/>
            <w:tcBorders>
              <w:top w:val="single" w:sz="4" w:space="0" w:color="auto"/>
              <w:left w:val="nil"/>
              <w:bottom w:val="nil"/>
              <w:right w:val="single" w:sz="4" w:space="0" w:color="auto"/>
            </w:tcBorders>
            <w:noWrap/>
            <w:vAlign w:val="bottom"/>
            <w:hideMark/>
          </w:tcPr>
          <w:p w14:paraId="142927D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1,100,000</w:t>
            </w:r>
          </w:p>
        </w:tc>
        <w:tc>
          <w:tcPr>
            <w:tcW w:w="1316" w:type="dxa"/>
            <w:gridSpan w:val="2"/>
            <w:tcBorders>
              <w:top w:val="single" w:sz="4" w:space="0" w:color="auto"/>
              <w:left w:val="nil"/>
              <w:bottom w:val="nil"/>
              <w:right w:val="single" w:sz="4" w:space="0" w:color="auto"/>
            </w:tcBorders>
            <w:noWrap/>
            <w:vAlign w:val="bottom"/>
            <w:hideMark/>
          </w:tcPr>
          <w:p w14:paraId="09EA7EE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w:t>
            </w:r>
          </w:p>
        </w:tc>
        <w:tc>
          <w:tcPr>
            <w:tcW w:w="1316" w:type="dxa"/>
            <w:gridSpan w:val="2"/>
            <w:tcBorders>
              <w:top w:val="single" w:sz="4" w:space="0" w:color="auto"/>
              <w:left w:val="nil"/>
              <w:bottom w:val="nil"/>
              <w:right w:val="single" w:sz="4" w:space="0" w:color="auto"/>
            </w:tcBorders>
            <w:noWrap/>
            <w:vAlign w:val="bottom"/>
            <w:hideMark/>
          </w:tcPr>
          <w:p w14:paraId="04126FC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w:t>
            </w:r>
          </w:p>
        </w:tc>
      </w:tr>
      <w:tr w:rsidR="00EA0FD7" w:rsidRPr="00EA0FD7" w14:paraId="25078E1B" w14:textId="77777777" w:rsidTr="00EA0FD7">
        <w:trPr>
          <w:gridAfter w:val="1"/>
          <w:wAfter w:w="31" w:type="dxa"/>
          <w:trHeight w:val="240"/>
        </w:trPr>
        <w:tc>
          <w:tcPr>
            <w:tcW w:w="1209" w:type="dxa"/>
            <w:gridSpan w:val="2"/>
            <w:tcBorders>
              <w:top w:val="single" w:sz="8" w:space="0" w:color="auto"/>
              <w:left w:val="single" w:sz="8" w:space="0" w:color="auto"/>
              <w:bottom w:val="single" w:sz="8" w:space="0" w:color="auto"/>
              <w:right w:val="single" w:sz="8" w:space="0" w:color="auto"/>
            </w:tcBorders>
            <w:noWrap/>
            <w:vAlign w:val="bottom"/>
            <w:hideMark/>
          </w:tcPr>
          <w:p w14:paraId="71272EC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37" w:type="dxa"/>
            <w:gridSpan w:val="2"/>
            <w:tcBorders>
              <w:top w:val="single" w:sz="8" w:space="0" w:color="auto"/>
              <w:left w:val="nil"/>
              <w:bottom w:val="single" w:sz="8" w:space="0" w:color="auto"/>
              <w:right w:val="single" w:sz="8" w:space="0" w:color="auto"/>
            </w:tcBorders>
            <w:noWrap/>
            <w:vAlign w:val="bottom"/>
            <w:hideMark/>
          </w:tcPr>
          <w:p w14:paraId="0739C2F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450" w:type="dxa"/>
            <w:gridSpan w:val="4"/>
            <w:tcBorders>
              <w:top w:val="single" w:sz="8" w:space="0" w:color="auto"/>
              <w:left w:val="nil"/>
              <w:bottom w:val="single" w:sz="8" w:space="0" w:color="auto"/>
              <w:right w:val="single" w:sz="8" w:space="0" w:color="auto"/>
            </w:tcBorders>
            <w:noWrap/>
            <w:vAlign w:val="bottom"/>
            <w:hideMark/>
          </w:tcPr>
          <w:p w14:paraId="4DFA16C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2,914,150.00</w:t>
            </w:r>
          </w:p>
        </w:tc>
        <w:tc>
          <w:tcPr>
            <w:tcW w:w="1347" w:type="dxa"/>
            <w:gridSpan w:val="2"/>
            <w:tcBorders>
              <w:top w:val="single" w:sz="8" w:space="0" w:color="auto"/>
              <w:left w:val="nil"/>
              <w:bottom w:val="single" w:sz="8" w:space="0" w:color="auto"/>
              <w:right w:val="single" w:sz="8" w:space="0" w:color="auto"/>
            </w:tcBorders>
            <w:noWrap/>
            <w:vAlign w:val="bottom"/>
            <w:hideMark/>
          </w:tcPr>
          <w:p w14:paraId="0E4903A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2,767,624.05</w:t>
            </w:r>
          </w:p>
        </w:tc>
        <w:tc>
          <w:tcPr>
            <w:tcW w:w="1375" w:type="dxa"/>
            <w:gridSpan w:val="3"/>
            <w:tcBorders>
              <w:top w:val="single" w:sz="8" w:space="0" w:color="auto"/>
              <w:left w:val="nil"/>
              <w:bottom w:val="single" w:sz="8" w:space="0" w:color="auto"/>
              <w:right w:val="single" w:sz="8" w:space="0" w:color="auto"/>
            </w:tcBorders>
            <w:noWrap/>
            <w:vAlign w:val="bottom"/>
            <w:hideMark/>
          </w:tcPr>
          <w:p w14:paraId="221EB17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2,351,292.00</w:t>
            </w:r>
          </w:p>
        </w:tc>
        <w:tc>
          <w:tcPr>
            <w:tcW w:w="1191" w:type="dxa"/>
            <w:tcBorders>
              <w:top w:val="single" w:sz="8" w:space="0" w:color="auto"/>
              <w:left w:val="nil"/>
              <w:bottom w:val="single" w:sz="8" w:space="0" w:color="auto"/>
              <w:right w:val="single" w:sz="8" w:space="0" w:color="auto"/>
            </w:tcBorders>
            <w:noWrap/>
            <w:vAlign w:val="bottom"/>
            <w:hideMark/>
          </w:tcPr>
          <w:p w14:paraId="0E8B86E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3,254,823</w:t>
            </w:r>
          </w:p>
        </w:tc>
        <w:tc>
          <w:tcPr>
            <w:tcW w:w="1316" w:type="dxa"/>
            <w:gridSpan w:val="2"/>
            <w:tcBorders>
              <w:top w:val="single" w:sz="8" w:space="0" w:color="auto"/>
              <w:left w:val="nil"/>
              <w:bottom w:val="single" w:sz="8" w:space="0" w:color="auto"/>
              <w:right w:val="single" w:sz="8" w:space="0" w:color="auto"/>
            </w:tcBorders>
            <w:noWrap/>
            <w:vAlign w:val="bottom"/>
            <w:hideMark/>
          </w:tcPr>
          <w:p w14:paraId="19C3809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2,656,984</w:t>
            </w:r>
          </w:p>
        </w:tc>
        <w:tc>
          <w:tcPr>
            <w:tcW w:w="1316" w:type="dxa"/>
            <w:gridSpan w:val="2"/>
            <w:tcBorders>
              <w:top w:val="single" w:sz="8" w:space="0" w:color="auto"/>
              <w:left w:val="nil"/>
              <w:bottom w:val="single" w:sz="8" w:space="0" w:color="auto"/>
              <w:right w:val="single" w:sz="8" w:space="0" w:color="auto"/>
            </w:tcBorders>
            <w:noWrap/>
            <w:vAlign w:val="bottom"/>
            <w:hideMark/>
          </w:tcPr>
          <w:p w14:paraId="7C28386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2,659,149</w:t>
            </w:r>
          </w:p>
        </w:tc>
        <w:tc>
          <w:tcPr>
            <w:tcW w:w="1316" w:type="dxa"/>
            <w:gridSpan w:val="2"/>
            <w:tcBorders>
              <w:top w:val="single" w:sz="8" w:space="0" w:color="auto"/>
              <w:left w:val="nil"/>
              <w:bottom w:val="single" w:sz="8" w:space="0" w:color="auto"/>
              <w:right w:val="single" w:sz="8" w:space="0" w:color="auto"/>
            </w:tcBorders>
            <w:noWrap/>
            <w:vAlign w:val="bottom"/>
            <w:hideMark/>
          </w:tcPr>
          <w:p w14:paraId="2E08BFA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3,254,823</w:t>
            </w:r>
          </w:p>
        </w:tc>
        <w:tc>
          <w:tcPr>
            <w:tcW w:w="1316" w:type="dxa"/>
            <w:gridSpan w:val="2"/>
            <w:tcBorders>
              <w:top w:val="single" w:sz="8" w:space="0" w:color="auto"/>
              <w:left w:val="nil"/>
              <w:bottom w:val="single" w:sz="8" w:space="0" w:color="auto"/>
              <w:right w:val="single" w:sz="8" w:space="0" w:color="auto"/>
            </w:tcBorders>
            <w:noWrap/>
            <w:vAlign w:val="bottom"/>
            <w:hideMark/>
          </w:tcPr>
          <w:p w14:paraId="20AE3E3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2,656,984</w:t>
            </w:r>
          </w:p>
        </w:tc>
        <w:tc>
          <w:tcPr>
            <w:tcW w:w="1316" w:type="dxa"/>
            <w:gridSpan w:val="2"/>
            <w:tcBorders>
              <w:top w:val="single" w:sz="8" w:space="0" w:color="auto"/>
              <w:left w:val="nil"/>
              <w:bottom w:val="single" w:sz="8" w:space="0" w:color="auto"/>
              <w:right w:val="single" w:sz="8" w:space="0" w:color="auto"/>
            </w:tcBorders>
            <w:noWrap/>
            <w:vAlign w:val="bottom"/>
            <w:hideMark/>
          </w:tcPr>
          <w:p w14:paraId="5795B32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2,659,149</w:t>
            </w:r>
          </w:p>
        </w:tc>
      </w:tr>
      <w:tr w:rsidR="00EA0FD7" w:rsidRPr="00EA0FD7" w14:paraId="25DDFDC7" w14:textId="77777777" w:rsidTr="00EA0FD7">
        <w:trPr>
          <w:gridAfter w:val="1"/>
          <w:wAfter w:w="31" w:type="dxa"/>
          <w:trHeight w:val="210"/>
        </w:trPr>
        <w:tc>
          <w:tcPr>
            <w:tcW w:w="11741" w:type="dxa"/>
            <w:gridSpan w:val="18"/>
            <w:tcBorders>
              <w:top w:val="nil"/>
              <w:left w:val="single" w:sz="8" w:space="0" w:color="auto"/>
              <w:bottom w:val="nil"/>
              <w:right w:val="nil"/>
            </w:tcBorders>
            <w:noWrap/>
            <w:vAlign w:val="bottom"/>
            <w:hideMark/>
          </w:tcPr>
          <w:p w14:paraId="2DE36399"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noWrap/>
            <w:vAlign w:val="bottom"/>
          </w:tcPr>
          <w:p w14:paraId="0770AA7E"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08496950"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tcBorders>
              <w:top w:val="nil"/>
              <w:left w:val="nil"/>
              <w:bottom w:val="nil"/>
              <w:right w:val="single" w:sz="8" w:space="0" w:color="auto"/>
            </w:tcBorders>
            <w:noWrap/>
            <w:vAlign w:val="bottom"/>
            <w:hideMark/>
          </w:tcPr>
          <w:p w14:paraId="0359C4C2"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2D5B877B" w14:textId="77777777" w:rsidTr="00EA0FD7">
        <w:trPr>
          <w:gridAfter w:val="1"/>
          <w:wAfter w:w="31" w:type="dxa"/>
          <w:trHeight w:val="285"/>
        </w:trPr>
        <w:tc>
          <w:tcPr>
            <w:tcW w:w="1209" w:type="dxa"/>
            <w:gridSpan w:val="2"/>
            <w:tcBorders>
              <w:top w:val="single" w:sz="8" w:space="0" w:color="auto"/>
              <w:left w:val="single" w:sz="8" w:space="0" w:color="auto"/>
              <w:bottom w:val="single" w:sz="8" w:space="0" w:color="auto"/>
              <w:right w:val="single" w:sz="8" w:space="0" w:color="auto"/>
            </w:tcBorders>
            <w:noWrap/>
            <w:vAlign w:val="bottom"/>
            <w:hideMark/>
          </w:tcPr>
          <w:p w14:paraId="505D70B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37" w:type="dxa"/>
            <w:gridSpan w:val="2"/>
            <w:tcBorders>
              <w:top w:val="single" w:sz="8" w:space="0" w:color="auto"/>
              <w:left w:val="nil"/>
              <w:bottom w:val="single" w:sz="8" w:space="0" w:color="auto"/>
              <w:right w:val="single" w:sz="8" w:space="0" w:color="auto"/>
            </w:tcBorders>
            <w:noWrap/>
            <w:vAlign w:val="bottom"/>
            <w:hideMark/>
          </w:tcPr>
          <w:p w14:paraId="2BBA09E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450" w:type="dxa"/>
            <w:gridSpan w:val="4"/>
            <w:tcBorders>
              <w:top w:val="single" w:sz="8" w:space="0" w:color="auto"/>
              <w:left w:val="nil"/>
              <w:bottom w:val="single" w:sz="8" w:space="0" w:color="auto"/>
              <w:right w:val="single" w:sz="8" w:space="0" w:color="auto"/>
            </w:tcBorders>
            <w:noWrap/>
            <w:vAlign w:val="bottom"/>
            <w:hideMark/>
          </w:tcPr>
          <w:p w14:paraId="1B19B7B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32</w:t>
            </w:r>
          </w:p>
        </w:tc>
        <w:tc>
          <w:tcPr>
            <w:tcW w:w="1347" w:type="dxa"/>
            <w:gridSpan w:val="2"/>
            <w:tcBorders>
              <w:top w:val="single" w:sz="8" w:space="0" w:color="auto"/>
              <w:left w:val="nil"/>
              <w:bottom w:val="single" w:sz="8" w:space="0" w:color="auto"/>
              <w:right w:val="single" w:sz="8" w:space="0" w:color="auto"/>
            </w:tcBorders>
            <w:shd w:val="clear" w:color="auto" w:fill="FFFFFF"/>
            <w:noWrap/>
            <w:vAlign w:val="bottom"/>
            <w:hideMark/>
          </w:tcPr>
          <w:p w14:paraId="44A972B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32</w:t>
            </w:r>
          </w:p>
        </w:tc>
        <w:tc>
          <w:tcPr>
            <w:tcW w:w="1375" w:type="dxa"/>
            <w:gridSpan w:val="3"/>
            <w:tcBorders>
              <w:top w:val="single" w:sz="8" w:space="0" w:color="auto"/>
              <w:left w:val="nil"/>
              <w:bottom w:val="single" w:sz="8" w:space="0" w:color="auto"/>
              <w:right w:val="single" w:sz="8" w:space="0" w:color="auto"/>
            </w:tcBorders>
            <w:noWrap/>
            <w:vAlign w:val="bottom"/>
            <w:hideMark/>
          </w:tcPr>
          <w:p w14:paraId="33A2E02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32</w:t>
            </w:r>
          </w:p>
        </w:tc>
        <w:tc>
          <w:tcPr>
            <w:tcW w:w="1191" w:type="dxa"/>
            <w:tcBorders>
              <w:top w:val="single" w:sz="8" w:space="0" w:color="auto"/>
              <w:left w:val="nil"/>
              <w:bottom w:val="single" w:sz="8" w:space="0" w:color="auto"/>
              <w:right w:val="single" w:sz="8" w:space="0" w:color="auto"/>
            </w:tcBorders>
            <w:noWrap/>
            <w:vAlign w:val="bottom"/>
            <w:hideMark/>
          </w:tcPr>
          <w:p w14:paraId="0A7CF8F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32</w:t>
            </w:r>
          </w:p>
        </w:tc>
        <w:tc>
          <w:tcPr>
            <w:tcW w:w="1316" w:type="dxa"/>
            <w:gridSpan w:val="2"/>
            <w:tcBorders>
              <w:top w:val="single" w:sz="8" w:space="0" w:color="auto"/>
              <w:left w:val="nil"/>
              <w:bottom w:val="single" w:sz="8" w:space="0" w:color="auto"/>
              <w:right w:val="single" w:sz="8" w:space="0" w:color="auto"/>
            </w:tcBorders>
            <w:noWrap/>
            <w:vAlign w:val="bottom"/>
            <w:hideMark/>
          </w:tcPr>
          <w:p w14:paraId="77676D7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32</w:t>
            </w:r>
          </w:p>
        </w:tc>
        <w:tc>
          <w:tcPr>
            <w:tcW w:w="1316" w:type="dxa"/>
            <w:gridSpan w:val="2"/>
            <w:tcBorders>
              <w:top w:val="single" w:sz="8" w:space="0" w:color="auto"/>
              <w:left w:val="nil"/>
              <w:bottom w:val="single" w:sz="8" w:space="0" w:color="auto"/>
              <w:right w:val="single" w:sz="8" w:space="0" w:color="auto"/>
            </w:tcBorders>
            <w:noWrap/>
            <w:vAlign w:val="bottom"/>
            <w:hideMark/>
          </w:tcPr>
          <w:p w14:paraId="55E09E9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32</w:t>
            </w:r>
          </w:p>
        </w:tc>
        <w:tc>
          <w:tcPr>
            <w:tcW w:w="1316" w:type="dxa"/>
            <w:gridSpan w:val="2"/>
            <w:tcBorders>
              <w:top w:val="single" w:sz="8" w:space="0" w:color="auto"/>
              <w:left w:val="nil"/>
              <w:bottom w:val="single" w:sz="8" w:space="0" w:color="auto"/>
              <w:right w:val="single" w:sz="8" w:space="0" w:color="auto"/>
            </w:tcBorders>
            <w:noWrap/>
            <w:vAlign w:val="bottom"/>
            <w:hideMark/>
          </w:tcPr>
          <w:p w14:paraId="252FFD3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32</w:t>
            </w:r>
          </w:p>
        </w:tc>
        <w:tc>
          <w:tcPr>
            <w:tcW w:w="1316" w:type="dxa"/>
            <w:gridSpan w:val="2"/>
            <w:tcBorders>
              <w:top w:val="single" w:sz="8" w:space="0" w:color="auto"/>
              <w:left w:val="nil"/>
              <w:bottom w:val="single" w:sz="8" w:space="0" w:color="auto"/>
              <w:right w:val="single" w:sz="8" w:space="0" w:color="auto"/>
            </w:tcBorders>
            <w:noWrap/>
            <w:vAlign w:val="bottom"/>
            <w:hideMark/>
          </w:tcPr>
          <w:p w14:paraId="3D11E6F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32</w:t>
            </w:r>
          </w:p>
        </w:tc>
        <w:tc>
          <w:tcPr>
            <w:tcW w:w="1316" w:type="dxa"/>
            <w:gridSpan w:val="2"/>
            <w:tcBorders>
              <w:top w:val="single" w:sz="8" w:space="0" w:color="auto"/>
              <w:left w:val="nil"/>
              <w:bottom w:val="single" w:sz="8" w:space="0" w:color="auto"/>
              <w:right w:val="single" w:sz="8" w:space="0" w:color="auto"/>
            </w:tcBorders>
            <w:noWrap/>
            <w:vAlign w:val="bottom"/>
            <w:hideMark/>
          </w:tcPr>
          <w:p w14:paraId="72D6969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32</w:t>
            </w:r>
          </w:p>
        </w:tc>
      </w:tr>
      <w:tr w:rsidR="00EA0FD7" w:rsidRPr="00EA0FD7" w14:paraId="128BC54D" w14:textId="77777777" w:rsidTr="00EA0FD7">
        <w:trPr>
          <w:gridAfter w:val="1"/>
          <w:wAfter w:w="31" w:type="dxa"/>
          <w:trHeight w:val="375"/>
        </w:trPr>
        <w:tc>
          <w:tcPr>
            <w:tcW w:w="1209" w:type="dxa"/>
            <w:gridSpan w:val="2"/>
            <w:noWrap/>
            <w:vAlign w:val="bottom"/>
          </w:tcPr>
          <w:p w14:paraId="2B6939C0"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2537" w:type="dxa"/>
            <w:gridSpan w:val="2"/>
            <w:noWrap/>
            <w:vAlign w:val="bottom"/>
          </w:tcPr>
          <w:p w14:paraId="7ED939D6"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450" w:type="dxa"/>
            <w:gridSpan w:val="4"/>
            <w:noWrap/>
            <w:vAlign w:val="bottom"/>
          </w:tcPr>
          <w:p w14:paraId="6E8CC4B2"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47" w:type="dxa"/>
            <w:gridSpan w:val="2"/>
            <w:noWrap/>
            <w:vAlign w:val="bottom"/>
          </w:tcPr>
          <w:p w14:paraId="2962C78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p>
        </w:tc>
        <w:tc>
          <w:tcPr>
            <w:tcW w:w="1375" w:type="dxa"/>
            <w:gridSpan w:val="3"/>
            <w:noWrap/>
            <w:vAlign w:val="bottom"/>
          </w:tcPr>
          <w:p w14:paraId="4D8DE21B"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191" w:type="dxa"/>
            <w:noWrap/>
            <w:vAlign w:val="bottom"/>
          </w:tcPr>
          <w:p w14:paraId="57281201"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3747954B"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50372B6C"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6F89AB84"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0F85ECA1"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1FD391C4" w14:textId="77777777" w:rsidR="00EA0FD7" w:rsidRPr="00EA0FD7" w:rsidRDefault="00EA0FD7" w:rsidP="00EA0FD7">
            <w:pPr>
              <w:spacing w:after="0" w:line="240" w:lineRule="auto"/>
              <w:rPr>
                <w:rFonts w:ascii="Arial" w:eastAsia="Times New Roman" w:hAnsi="Arial" w:cs="Arial"/>
                <w:b/>
                <w:bCs/>
                <w:sz w:val="18"/>
                <w:szCs w:val="18"/>
                <w:lang w:val="sr-Cyrl-RS"/>
              </w:rPr>
            </w:pPr>
          </w:p>
        </w:tc>
      </w:tr>
      <w:tr w:rsidR="00EA0FD7" w:rsidRPr="00EA0FD7" w14:paraId="01CAD309" w14:textId="77777777" w:rsidTr="00EA0FD7">
        <w:trPr>
          <w:gridAfter w:val="1"/>
          <w:wAfter w:w="31" w:type="dxa"/>
          <w:trHeight w:val="345"/>
        </w:trPr>
        <w:tc>
          <w:tcPr>
            <w:tcW w:w="6543" w:type="dxa"/>
            <w:gridSpan w:val="10"/>
            <w:tcBorders>
              <w:top w:val="nil"/>
              <w:left w:val="nil"/>
              <w:bottom w:val="single" w:sz="8" w:space="0" w:color="auto"/>
              <w:right w:val="nil"/>
            </w:tcBorders>
            <w:noWrap/>
            <w:vAlign w:val="bottom"/>
            <w:hideMark/>
          </w:tcPr>
          <w:p w14:paraId="171CDE30" w14:textId="7AFF158A"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23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ОДЈЕЉЕЊЕ ЗА КОМУНАЛНЕ ПОСЛОВЕ</w:t>
            </w:r>
          </w:p>
        </w:tc>
        <w:tc>
          <w:tcPr>
            <w:tcW w:w="1375" w:type="dxa"/>
            <w:gridSpan w:val="3"/>
            <w:noWrap/>
            <w:vAlign w:val="bottom"/>
          </w:tcPr>
          <w:p w14:paraId="4984884A"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191" w:type="dxa"/>
            <w:noWrap/>
            <w:vAlign w:val="bottom"/>
          </w:tcPr>
          <w:p w14:paraId="7C6D6934"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0C69E66E"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55B9CB39"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53B62B90"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0EB215B2"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60F71418"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6143EBFA" w14:textId="77777777" w:rsidTr="00EA0FD7">
        <w:trPr>
          <w:gridAfter w:val="1"/>
          <w:wAfter w:w="31" w:type="dxa"/>
          <w:trHeight w:val="300"/>
        </w:trPr>
        <w:tc>
          <w:tcPr>
            <w:tcW w:w="1209" w:type="dxa"/>
            <w:gridSpan w:val="2"/>
            <w:vMerge w:val="restart"/>
            <w:tcBorders>
              <w:top w:val="nil"/>
              <w:left w:val="single" w:sz="8" w:space="0" w:color="auto"/>
              <w:bottom w:val="single" w:sz="8" w:space="0" w:color="000000"/>
              <w:right w:val="single" w:sz="8" w:space="0" w:color="auto"/>
            </w:tcBorders>
            <w:shd w:val="clear" w:color="auto" w:fill="808080"/>
            <w:vAlign w:val="center"/>
            <w:hideMark/>
          </w:tcPr>
          <w:p w14:paraId="5D0EAC7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537" w:type="dxa"/>
            <w:gridSpan w:val="2"/>
            <w:vMerge w:val="restart"/>
            <w:tcBorders>
              <w:top w:val="nil"/>
              <w:left w:val="single" w:sz="8" w:space="0" w:color="auto"/>
              <w:bottom w:val="single" w:sz="8" w:space="0" w:color="000000"/>
              <w:right w:val="single" w:sz="8" w:space="0" w:color="auto"/>
            </w:tcBorders>
            <w:shd w:val="clear" w:color="auto" w:fill="808080"/>
            <w:vAlign w:val="center"/>
            <w:hideMark/>
          </w:tcPr>
          <w:p w14:paraId="16FBA49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450" w:type="dxa"/>
            <w:gridSpan w:val="4"/>
            <w:vMerge w:val="restart"/>
            <w:tcBorders>
              <w:top w:val="nil"/>
              <w:left w:val="single" w:sz="8" w:space="0" w:color="auto"/>
              <w:bottom w:val="single" w:sz="8" w:space="0" w:color="000000"/>
              <w:right w:val="single" w:sz="8" w:space="0" w:color="auto"/>
            </w:tcBorders>
            <w:shd w:val="clear" w:color="auto" w:fill="808080"/>
            <w:vAlign w:val="center"/>
            <w:hideMark/>
          </w:tcPr>
          <w:p w14:paraId="4EE6A87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347" w:type="dxa"/>
            <w:gridSpan w:val="2"/>
            <w:vMerge w:val="restart"/>
            <w:tcBorders>
              <w:top w:val="nil"/>
              <w:left w:val="single" w:sz="8" w:space="0" w:color="auto"/>
              <w:bottom w:val="single" w:sz="8" w:space="0" w:color="000000"/>
              <w:right w:val="single" w:sz="8" w:space="0" w:color="auto"/>
            </w:tcBorders>
            <w:shd w:val="clear" w:color="auto" w:fill="808080"/>
            <w:vAlign w:val="center"/>
            <w:hideMark/>
          </w:tcPr>
          <w:p w14:paraId="01D90AF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75" w:type="dxa"/>
            <w:gridSpan w:val="3"/>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7E86484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823" w:type="dxa"/>
            <w:gridSpan w:val="5"/>
            <w:tcBorders>
              <w:top w:val="single" w:sz="8" w:space="0" w:color="auto"/>
              <w:left w:val="nil"/>
              <w:bottom w:val="single" w:sz="8" w:space="0" w:color="auto"/>
              <w:right w:val="single" w:sz="8" w:space="0" w:color="000000"/>
            </w:tcBorders>
            <w:shd w:val="clear" w:color="auto" w:fill="808080"/>
            <w:noWrap/>
            <w:vAlign w:val="center"/>
            <w:hideMark/>
          </w:tcPr>
          <w:p w14:paraId="008F752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6"/>
            <w:tcBorders>
              <w:top w:val="single" w:sz="8" w:space="0" w:color="auto"/>
              <w:left w:val="nil"/>
              <w:bottom w:val="single" w:sz="8" w:space="0" w:color="auto"/>
              <w:right w:val="single" w:sz="8" w:space="0" w:color="000000"/>
            </w:tcBorders>
            <w:shd w:val="clear" w:color="auto" w:fill="808080"/>
            <w:noWrap/>
            <w:vAlign w:val="center"/>
            <w:hideMark/>
          </w:tcPr>
          <w:p w14:paraId="1A8E544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7C2CA611" w14:textId="77777777" w:rsidTr="00EA0FD7">
        <w:trPr>
          <w:gridAfter w:val="1"/>
          <w:wAfter w:w="31" w:type="dxa"/>
          <w:trHeight w:val="300"/>
        </w:trPr>
        <w:tc>
          <w:tcPr>
            <w:tcW w:w="0" w:type="auto"/>
            <w:gridSpan w:val="2"/>
            <w:vMerge/>
            <w:tcBorders>
              <w:top w:val="nil"/>
              <w:left w:val="single" w:sz="8" w:space="0" w:color="auto"/>
              <w:bottom w:val="single" w:sz="8" w:space="0" w:color="000000"/>
              <w:right w:val="single" w:sz="8" w:space="0" w:color="auto"/>
            </w:tcBorders>
            <w:vAlign w:val="center"/>
            <w:hideMark/>
          </w:tcPr>
          <w:p w14:paraId="05C0C667"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2"/>
            <w:vMerge/>
            <w:tcBorders>
              <w:top w:val="nil"/>
              <w:left w:val="single" w:sz="8" w:space="0" w:color="auto"/>
              <w:bottom w:val="single" w:sz="8" w:space="0" w:color="000000"/>
              <w:right w:val="single" w:sz="8" w:space="0" w:color="auto"/>
            </w:tcBorders>
            <w:vAlign w:val="center"/>
            <w:hideMark/>
          </w:tcPr>
          <w:p w14:paraId="4F8820DA"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4"/>
            <w:vMerge/>
            <w:tcBorders>
              <w:top w:val="nil"/>
              <w:left w:val="single" w:sz="8" w:space="0" w:color="auto"/>
              <w:bottom w:val="single" w:sz="8" w:space="0" w:color="000000"/>
              <w:right w:val="single" w:sz="8" w:space="0" w:color="auto"/>
            </w:tcBorders>
            <w:vAlign w:val="center"/>
            <w:hideMark/>
          </w:tcPr>
          <w:p w14:paraId="34613751"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2"/>
            <w:vMerge/>
            <w:tcBorders>
              <w:top w:val="nil"/>
              <w:left w:val="single" w:sz="8" w:space="0" w:color="auto"/>
              <w:bottom w:val="single" w:sz="8" w:space="0" w:color="000000"/>
              <w:right w:val="single" w:sz="8" w:space="0" w:color="auto"/>
            </w:tcBorders>
            <w:vAlign w:val="center"/>
            <w:hideMark/>
          </w:tcPr>
          <w:p w14:paraId="1093FC64"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3"/>
            <w:vMerge/>
            <w:tcBorders>
              <w:top w:val="single" w:sz="8" w:space="0" w:color="auto"/>
              <w:left w:val="single" w:sz="8" w:space="0" w:color="auto"/>
              <w:bottom w:val="single" w:sz="8" w:space="0" w:color="000000"/>
              <w:right w:val="single" w:sz="8" w:space="0" w:color="auto"/>
            </w:tcBorders>
            <w:vAlign w:val="center"/>
            <w:hideMark/>
          </w:tcPr>
          <w:p w14:paraId="18463344"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191" w:type="dxa"/>
            <w:tcBorders>
              <w:top w:val="nil"/>
              <w:left w:val="nil"/>
              <w:bottom w:val="single" w:sz="8" w:space="0" w:color="auto"/>
              <w:right w:val="single" w:sz="4" w:space="0" w:color="auto"/>
            </w:tcBorders>
            <w:shd w:val="clear" w:color="auto" w:fill="808080"/>
            <w:noWrap/>
            <w:vAlign w:val="center"/>
            <w:hideMark/>
          </w:tcPr>
          <w:p w14:paraId="58296E40"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4877701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gridSpan w:val="2"/>
            <w:tcBorders>
              <w:top w:val="nil"/>
              <w:left w:val="nil"/>
              <w:bottom w:val="single" w:sz="8" w:space="0" w:color="auto"/>
              <w:right w:val="single" w:sz="8" w:space="0" w:color="auto"/>
            </w:tcBorders>
            <w:shd w:val="clear" w:color="auto" w:fill="808080"/>
            <w:noWrap/>
            <w:vAlign w:val="center"/>
            <w:hideMark/>
          </w:tcPr>
          <w:p w14:paraId="29139F8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70DB1BC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20C6CF6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gridSpan w:val="2"/>
            <w:tcBorders>
              <w:top w:val="nil"/>
              <w:left w:val="nil"/>
              <w:bottom w:val="single" w:sz="8" w:space="0" w:color="auto"/>
              <w:right w:val="single" w:sz="8" w:space="0" w:color="auto"/>
            </w:tcBorders>
            <w:shd w:val="clear" w:color="auto" w:fill="808080"/>
            <w:noWrap/>
            <w:vAlign w:val="center"/>
            <w:hideMark/>
          </w:tcPr>
          <w:p w14:paraId="060EADC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61EE6B79" w14:textId="77777777" w:rsidTr="00EA0FD7">
        <w:trPr>
          <w:gridAfter w:val="1"/>
          <w:wAfter w:w="31" w:type="dxa"/>
          <w:trHeight w:val="240"/>
        </w:trPr>
        <w:tc>
          <w:tcPr>
            <w:tcW w:w="1209" w:type="dxa"/>
            <w:gridSpan w:val="2"/>
            <w:tcBorders>
              <w:top w:val="nil"/>
              <w:left w:val="single" w:sz="8" w:space="0" w:color="auto"/>
              <w:bottom w:val="single" w:sz="4" w:space="0" w:color="auto"/>
              <w:right w:val="single" w:sz="4" w:space="0" w:color="auto"/>
            </w:tcBorders>
            <w:noWrap/>
            <w:vAlign w:val="bottom"/>
            <w:hideMark/>
          </w:tcPr>
          <w:p w14:paraId="57EBDC0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37" w:type="dxa"/>
            <w:gridSpan w:val="2"/>
            <w:tcBorders>
              <w:top w:val="nil"/>
              <w:left w:val="nil"/>
              <w:bottom w:val="single" w:sz="4" w:space="0" w:color="auto"/>
              <w:right w:val="single" w:sz="4" w:space="0" w:color="auto"/>
            </w:tcBorders>
            <w:noWrap/>
            <w:vAlign w:val="bottom"/>
            <w:hideMark/>
          </w:tcPr>
          <w:p w14:paraId="0E64CA2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450" w:type="dxa"/>
            <w:gridSpan w:val="4"/>
            <w:tcBorders>
              <w:top w:val="nil"/>
              <w:left w:val="nil"/>
              <w:bottom w:val="single" w:sz="4" w:space="0" w:color="auto"/>
              <w:right w:val="single" w:sz="4" w:space="0" w:color="auto"/>
            </w:tcBorders>
            <w:noWrap/>
            <w:vAlign w:val="bottom"/>
            <w:hideMark/>
          </w:tcPr>
          <w:p w14:paraId="4BAB998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47" w:type="dxa"/>
            <w:gridSpan w:val="2"/>
            <w:tcBorders>
              <w:top w:val="nil"/>
              <w:left w:val="nil"/>
              <w:bottom w:val="single" w:sz="4" w:space="0" w:color="auto"/>
              <w:right w:val="single" w:sz="4" w:space="0" w:color="auto"/>
            </w:tcBorders>
            <w:noWrap/>
            <w:vAlign w:val="bottom"/>
            <w:hideMark/>
          </w:tcPr>
          <w:p w14:paraId="112C95D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75" w:type="dxa"/>
            <w:gridSpan w:val="3"/>
            <w:tcBorders>
              <w:top w:val="nil"/>
              <w:left w:val="nil"/>
              <w:bottom w:val="single" w:sz="4" w:space="0" w:color="auto"/>
              <w:right w:val="single" w:sz="4" w:space="0" w:color="auto"/>
            </w:tcBorders>
            <w:noWrap/>
            <w:vAlign w:val="bottom"/>
            <w:hideMark/>
          </w:tcPr>
          <w:p w14:paraId="767D713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91" w:type="dxa"/>
            <w:tcBorders>
              <w:top w:val="nil"/>
              <w:left w:val="nil"/>
              <w:bottom w:val="single" w:sz="4" w:space="0" w:color="auto"/>
              <w:right w:val="single" w:sz="4" w:space="0" w:color="auto"/>
            </w:tcBorders>
            <w:noWrap/>
            <w:vAlign w:val="bottom"/>
            <w:hideMark/>
          </w:tcPr>
          <w:p w14:paraId="456CF41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7FDDF21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009D82B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35ABC9C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1A69568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8" w:space="0" w:color="auto"/>
            </w:tcBorders>
            <w:noWrap/>
            <w:vAlign w:val="bottom"/>
            <w:hideMark/>
          </w:tcPr>
          <w:p w14:paraId="5628451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23B363E2" w14:textId="77777777" w:rsidTr="00EA0FD7">
        <w:trPr>
          <w:gridAfter w:val="1"/>
          <w:wAfter w:w="31" w:type="dxa"/>
          <w:trHeight w:val="480"/>
        </w:trPr>
        <w:tc>
          <w:tcPr>
            <w:tcW w:w="1209" w:type="dxa"/>
            <w:gridSpan w:val="2"/>
            <w:tcBorders>
              <w:top w:val="nil"/>
              <w:left w:val="single" w:sz="8" w:space="0" w:color="auto"/>
              <w:bottom w:val="single" w:sz="4" w:space="0" w:color="auto"/>
              <w:right w:val="single" w:sz="4" w:space="0" w:color="auto"/>
            </w:tcBorders>
            <w:vAlign w:val="bottom"/>
            <w:hideMark/>
          </w:tcPr>
          <w:p w14:paraId="129DFA0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611100</w:t>
            </w:r>
            <w:r w:rsidRPr="00EA0FD7">
              <w:rPr>
                <w:rFonts w:ascii="Arial" w:eastAsia="Times New Roman" w:hAnsi="Arial" w:cs="Arial"/>
                <w:sz w:val="17"/>
                <w:szCs w:val="17"/>
                <w:lang w:val="sr-Cyrl-RS"/>
              </w:rPr>
              <w:br/>
              <w:t>612100</w:t>
            </w:r>
          </w:p>
        </w:tc>
        <w:tc>
          <w:tcPr>
            <w:tcW w:w="2537" w:type="dxa"/>
            <w:gridSpan w:val="2"/>
            <w:tcBorders>
              <w:top w:val="nil"/>
              <w:left w:val="nil"/>
              <w:bottom w:val="single" w:sz="4" w:space="0" w:color="auto"/>
              <w:right w:val="single" w:sz="4" w:space="0" w:color="auto"/>
            </w:tcBorders>
            <w:vAlign w:val="bottom"/>
            <w:hideMark/>
          </w:tcPr>
          <w:p w14:paraId="518E3FDA"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Бруто плате и доприноси послодавца</w:t>
            </w:r>
          </w:p>
        </w:tc>
        <w:tc>
          <w:tcPr>
            <w:tcW w:w="1450" w:type="dxa"/>
            <w:gridSpan w:val="4"/>
            <w:tcBorders>
              <w:top w:val="nil"/>
              <w:left w:val="nil"/>
              <w:bottom w:val="single" w:sz="4" w:space="0" w:color="auto"/>
              <w:right w:val="single" w:sz="4" w:space="0" w:color="auto"/>
            </w:tcBorders>
            <w:noWrap/>
            <w:vAlign w:val="bottom"/>
            <w:hideMark/>
          </w:tcPr>
          <w:p w14:paraId="59346F7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743,674.52</w:t>
            </w:r>
          </w:p>
        </w:tc>
        <w:tc>
          <w:tcPr>
            <w:tcW w:w="1347" w:type="dxa"/>
            <w:gridSpan w:val="2"/>
            <w:tcBorders>
              <w:top w:val="nil"/>
              <w:left w:val="nil"/>
              <w:bottom w:val="single" w:sz="4" w:space="0" w:color="auto"/>
              <w:right w:val="single" w:sz="4" w:space="0" w:color="auto"/>
            </w:tcBorders>
            <w:noWrap/>
            <w:vAlign w:val="bottom"/>
            <w:hideMark/>
          </w:tcPr>
          <w:p w14:paraId="4BA4862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731,342.02</w:t>
            </w:r>
          </w:p>
        </w:tc>
        <w:tc>
          <w:tcPr>
            <w:tcW w:w="1375" w:type="dxa"/>
            <w:gridSpan w:val="3"/>
            <w:tcBorders>
              <w:top w:val="nil"/>
              <w:left w:val="nil"/>
              <w:bottom w:val="single" w:sz="4" w:space="0" w:color="auto"/>
              <w:right w:val="single" w:sz="4" w:space="0" w:color="auto"/>
            </w:tcBorders>
            <w:noWrap/>
            <w:vAlign w:val="bottom"/>
            <w:hideMark/>
          </w:tcPr>
          <w:p w14:paraId="01BAD41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761,405.93</w:t>
            </w:r>
          </w:p>
        </w:tc>
        <w:tc>
          <w:tcPr>
            <w:tcW w:w="1191" w:type="dxa"/>
            <w:tcBorders>
              <w:top w:val="nil"/>
              <w:left w:val="nil"/>
              <w:bottom w:val="single" w:sz="4" w:space="0" w:color="auto"/>
              <w:right w:val="single" w:sz="4" w:space="0" w:color="auto"/>
            </w:tcBorders>
            <w:noWrap/>
            <w:vAlign w:val="bottom"/>
            <w:hideMark/>
          </w:tcPr>
          <w:p w14:paraId="77684FD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761,406</w:t>
            </w:r>
          </w:p>
        </w:tc>
        <w:tc>
          <w:tcPr>
            <w:tcW w:w="1316" w:type="dxa"/>
            <w:gridSpan w:val="2"/>
            <w:tcBorders>
              <w:top w:val="nil"/>
              <w:left w:val="nil"/>
              <w:bottom w:val="single" w:sz="4" w:space="0" w:color="auto"/>
              <w:right w:val="single" w:sz="4" w:space="0" w:color="auto"/>
            </w:tcBorders>
            <w:noWrap/>
            <w:vAlign w:val="bottom"/>
            <w:hideMark/>
          </w:tcPr>
          <w:p w14:paraId="77CC269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761,406</w:t>
            </w:r>
          </w:p>
        </w:tc>
        <w:tc>
          <w:tcPr>
            <w:tcW w:w="1316" w:type="dxa"/>
            <w:gridSpan w:val="2"/>
            <w:tcBorders>
              <w:top w:val="nil"/>
              <w:left w:val="nil"/>
              <w:bottom w:val="single" w:sz="4" w:space="0" w:color="auto"/>
              <w:right w:val="single" w:sz="4" w:space="0" w:color="auto"/>
            </w:tcBorders>
            <w:noWrap/>
            <w:vAlign w:val="bottom"/>
            <w:hideMark/>
          </w:tcPr>
          <w:p w14:paraId="6DF0D82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761,406</w:t>
            </w:r>
          </w:p>
        </w:tc>
        <w:tc>
          <w:tcPr>
            <w:tcW w:w="1316" w:type="dxa"/>
            <w:gridSpan w:val="2"/>
            <w:tcBorders>
              <w:top w:val="nil"/>
              <w:left w:val="nil"/>
              <w:bottom w:val="single" w:sz="4" w:space="0" w:color="auto"/>
              <w:right w:val="single" w:sz="4" w:space="0" w:color="auto"/>
            </w:tcBorders>
            <w:noWrap/>
            <w:vAlign w:val="bottom"/>
            <w:hideMark/>
          </w:tcPr>
          <w:p w14:paraId="4BA128A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761,406</w:t>
            </w:r>
          </w:p>
        </w:tc>
        <w:tc>
          <w:tcPr>
            <w:tcW w:w="1316" w:type="dxa"/>
            <w:gridSpan w:val="2"/>
            <w:tcBorders>
              <w:top w:val="nil"/>
              <w:left w:val="nil"/>
              <w:bottom w:val="single" w:sz="4" w:space="0" w:color="auto"/>
              <w:right w:val="single" w:sz="4" w:space="0" w:color="auto"/>
            </w:tcBorders>
            <w:noWrap/>
            <w:vAlign w:val="bottom"/>
            <w:hideMark/>
          </w:tcPr>
          <w:p w14:paraId="00A1A2C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761,406</w:t>
            </w:r>
          </w:p>
        </w:tc>
        <w:tc>
          <w:tcPr>
            <w:tcW w:w="1316" w:type="dxa"/>
            <w:gridSpan w:val="2"/>
            <w:tcBorders>
              <w:top w:val="nil"/>
              <w:left w:val="nil"/>
              <w:bottom w:val="single" w:sz="4" w:space="0" w:color="auto"/>
              <w:right w:val="single" w:sz="4" w:space="0" w:color="auto"/>
            </w:tcBorders>
            <w:noWrap/>
            <w:vAlign w:val="bottom"/>
            <w:hideMark/>
          </w:tcPr>
          <w:p w14:paraId="53EF704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761,406</w:t>
            </w:r>
          </w:p>
        </w:tc>
      </w:tr>
      <w:tr w:rsidR="00EA0FD7" w:rsidRPr="00EA0FD7" w14:paraId="5DC3DD30" w14:textId="77777777" w:rsidTr="00EA0FD7">
        <w:trPr>
          <w:gridAfter w:val="1"/>
          <w:wAfter w:w="31" w:type="dxa"/>
          <w:trHeight w:val="240"/>
        </w:trPr>
        <w:tc>
          <w:tcPr>
            <w:tcW w:w="1209" w:type="dxa"/>
            <w:gridSpan w:val="2"/>
            <w:tcBorders>
              <w:top w:val="nil"/>
              <w:left w:val="single" w:sz="8" w:space="0" w:color="auto"/>
              <w:bottom w:val="single" w:sz="4" w:space="0" w:color="auto"/>
              <w:right w:val="single" w:sz="4" w:space="0" w:color="auto"/>
            </w:tcBorders>
            <w:noWrap/>
            <w:vAlign w:val="bottom"/>
            <w:hideMark/>
          </w:tcPr>
          <w:p w14:paraId="340B9F5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611200</w:t>
            </w:r>
          </w:p>
        </w:tc>
        <w:tc>
          <w:tcPr>
            <w:tcW w:w="2537" w:type="dxa"/>
            <w:gridSpan w:val="2"/>
            <w:tcBorders>
              <w:top w:val="nil"/>
              <w:left w:val="nil"/>
              <w:bottom w:val="single" w:sz="4" w:space="0" w:color="auto"/>
              <w:right w:val="single" w:sz="4" w:space="0" w:color="auto"/>
            </w:tcBorders>
            <w:vAlign w:val="bottom"/>
            <w:hideMark/>
          </w:tcPr>
          <w:p w14:paraId="3CED401F"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Накнаде трошкова запослених</w:t>
            </w:r>
          </w:p>
        </w:tc>
        <w:tc>
          <w:tcPr>
            <w:tcW w:w="1450" w:type="dxa"/>
            <w:gridSpan w:val="4"/>
            <w:tcBorders>
              <w:top w:val="nil"/>
              <w:left w:val="nil"/>
              <w:bottom w:val="single" w:sz="4" w:space="0" w:color="auto"/>
              <w:right w:val="single" w:sz="4" w:space="0" w:color="auto"/>
            </w:tcBorders>
            <w:noWrap/>
            <w:vAlign w:val="bottom"/>
            <w:hideMark/>
          </w:tcPr>
          <w:p w14:paraId="74C1CBD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13,160.00</w:t>
            </w:r>
          </w:p>
        </w:tc>
        <w:tc>
          <w:tcPr>
            <w:tcW w:w="1347" w:type="dxa"/>
            <w:gridSpan w:val="2"/>
            <w:tcBorders>
              <w:top w:val="nil"/>
              <w:left w:val="nil"/>
              <w:bottom w:val="single" w:sz="4" w:space="0" w:color="auto"/>
              <w:right w:val="single" w:sz="4" w:space="0" w:color="auto"/>
            </w:tcBorders>
            <w:noWrap/>
            <w:vAlign w:val="bottom"/>
            <w:hideMark/>
          </w:tcPr>
          <w:p w14:paraId="49B5C42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6,478.40</w:t>
            </w:r>
          </w:p>
        </w:tc>
        <w:tc>
          <w:tcPr>
            <w:tcW w:w="1375" w:type="dxa"/>
            <w:gridSpan w:val="3"/>
            <w:tcBorders>
              <w:top w:val="nil"/>
              <w:left w:val="nil"/>
              <w:bottom w:val="single" w:sz="4" w:space="0" w:color="auto"/>
              <w:right w:val="single" w:sz="4" w:space="0" w:color="auto"/>
            </w:tcBorders>
            <w:noWrap/>
            <w:vAlign w:val="bottom"/>
            <w:hideMark/>
          </w:tcPr>
          <w:p w14:paraId="5D321BB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93,533.00</w:t>
            </w:r>
          </w:p>
        </w:tc>
        <w:tc>
          <w:tcPr>
            <w:tcW w:w="1191" w:type="dxa"/>
            <w:tcBorders>
              <w:top w:val="nil"/>
              <w:left w:val="nil"/>
              <w:bottom w:val="single" w:sz="4" w:space="0" w:color="auto"/>
              <w:right w:val="single" w:sz="4" w:space="0" w:color="auto"/>
            </w:tcBorders>
            <w:noWrap/>
            <w:vAlign w:val="bottom"/>
            <w:hideMark/>
          </w:tcPr>
          <w:p w14:paraId="665D899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93,533</w:t>
            </w:r>
          </w:p>
        </w:tc>
        <w:tc>
          <w:tcPr>
            <w:tcW w:w="1316" w:type="dxa"/>
            <w:gridSpan w:val="2"/>
            <w:tcBorders>
              <w:top w:val="nil"/>
              <w:left w:val="nil"/>
              <w:bottom w:val="single" w:sz="4" w:space="0" w:color="auto"/>
              <w:right w:val="single" w:sz="4" w:space="0" w:color="auto"/>
            </w:tcBorders>
            <w:noWrap/>
            <w:vAlign w:val="bottom"/>
            <w:hideMark/>
          </w:tcPr>
          <w:p w14:paraId="2D73CDA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93,533</w:t>
            </w:r>
          </w:p>
        </w:tc>
        <w:tc>
          <w:tcPr>
            <w:tcW w:w="1316" w:type="dxa"/>
            <w:gridSpan w:val="2"/>
            <w:tcBorders>
              <w:top w:val="nil"/>
              <w:left w:val="nil"/>
              <w:bottom w:val="single" w:sz="4" w:space="0" w:color="auto"/>
              <w:right w:val="single" w:sz="4" w:space="0" w:color="auto"/>
            </w:tcBorders>
            <w:noWrap/>
            <w:vAlign w:val="bottom"/>
            <w:hideMark/>
          </w:tcPr>
          <w:p w14:paraId="4EA5662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93,533</w:t>
            </w:r>
          </w:p>
        </w:tc>
        <w:tc>
          <w:tcPr>
            <w:tcW w:w="1316" w:type="dxa"/>
            <w:gridSpan w:val="2"/>
            <w:tcBorders>
              <w:top w:val="nil"/>
              <w:left w:val="nil"/>
              <w:bottom w:val="single" w:sz="4" w:space="0" w:color="auto"/>
              <w:right w:val="single" w:sz="4" w:space="0" w:color="auto"/>
            </w:tcBorders>
            <w:noWrap/>
            <w:vAlign w:val="bottom"/>
            <w:hideMark/>
          </w:tcPr>
          <w:p w14:paraId="3A4D6C0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93,533</w:t>
            </w:r>
          </w:p>
        </w:tc>
        <w:tc>
          <w:tcPr>
            <w:tcW w:w="1316" w:type="dxa"/>
            <w:gridSpan w:val="2"/>
            <w:tcBorders>
              <w:top w:val="nil"/>
              <w:left w:val="nil"/>
              <w:bottom w:val="single" w:sz="4" w:space="0" w:color="auto"/>
              <w:right w:val="single" w:sz="4" w:space="0" w:color="auto"/>
            </w:tcBorders>
            <w:noWrap/>
            <w:vAlign w:val="bottom"/>
            <w:hideMark/>
          </w:tcPr>
          <w:p w14:paraId="4736B57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93,533</w:t>
            </w:r>
          </w:p>
        </w:tc>
        <w:tc>
          <w:tcPr>
            <w:tcW w:w="1316" w:type="dxa"/>
            <w:gridSpan w:val="2"/>
            <w:tcBorders>
              <w:top w:val="nil"/>
              <w:left w:val="nil"/>
              <w:bottom w:val="single" w:sz="4" w:space="0" w:color="auto"/>
              <w:right w:val="single" w:sz="4" w:space="0" w:color="auto"/>
            </w:tcBorders>
            <w:noWrap/>
            <w:vAlign w:val="bottom"/>
            <w:hideMark/>
          </w:tcPr>
          <w:p w14:paraId="18DC7D6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93,533</w:t>
            </w:r>
          </w:p>
        </w:tc>
      </w:tr>
      <w:tr w:rsidR="00EA0FD7" w:rsidRPr="00EA0FD7" w14:paraId="067C9F3A" w14:textId="77777777" w:rsidTr="00EA0FD7">
        <w:trPr>
          <w:gridAfter w:val="1"/>
          <w:wAfter w:w="31" w:type="dxa"/>
          <w:trHeight w:val="480"/>
        </w:trPr>
        <w:tc>
          <w:tcPr>
            <w:tcW w:w="1209" w:type="dxa"/>
            <w:gridSpan w:val="2"/>
            <w:tcBorders>
              <w:top w:val="nil"/>
              <w:left w:val="single" w:sz="8" w:space="0" w:color="auto"/>
              <w:bottom w:val="single" w:sz="4" w:space="0" w:color="auto"/>
              <w:right w:val="single" w:sz="4" w:space="0" w:color="auto"/>
            </w:tcBorders>
            <w:noWrap/>
            <w:vAlign w:val="bottom"/>
            <w:hideMark/>
          </w:tcPr>
          <w:p w14:paraId="3E09758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613000</w:t>
            </w:r>
          </w:p>
        </w:tc>
        <w:tc>
          <w:tcPr>
            <w:tcW w:w="2537" w:type="dxa"/>
            <w:gridSpan w:val="2"/>
            <w:tcBorders>
              <w:top w:val="nil"/>
              <w:left w:val="nil"/>
              <w:bottom w:val="single" w:sz="4" w:space="0" w:color="auto"/>
              <w:right w:val="single" w:sz="4" w:space="0" w:color="auto"/>
            </w:tcBorders>
            <w:vAlign w:val="bottom"/>
            <w:hideMark/>
          </w:tcPr>
          <w:p w14:paraId="0BEF400C"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материјал, робе, ситан инвентар и услуге</w:t>
            </w:r>
          </w:p>
        </w:tc>
        <w:tc>
          <w:tcPr>
            <w:tcW w:w="1450" w:type="dxa"/>
            <w:gridSpan w:val="4"/>
            <w:tcBorders>
              <w:top w:val="nil"/>
              <w:left w:val="nil"/>
              <w:bottom w:val="single" w:sz="4" w:space="0" w:color="auto"/>
              <w:right w:val="single" w:sz="4" w:space="0" w:color="auto"/>
            </w:tcBorders>
            <w:noWrap/>
            <w:vAlign w:val="bottom"/>
            <w:hideMark/>
          </w:tcPr>
          <w:p w14:paraId="7478CB1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3,151,982.00</w:t>
            </w:r>
          </w:p>
        </w:tc>
        <w:tc>
          <w:tcPr>
            <w:tcW w:w="1347" w:type="dxa"/>
            <w:gridSpan w:val="2"/>
            <w:tcBorders>
              <w:top w:val="nil"/>
              <w:left w:val="nil"/>
              <w:bottom w:val="single" w:sz="4" w:space="0" w:color="auto"/>
              <w:right w:val="single" w:sz="4" w:space="0" w:color="auto"/>
            </w:tcBorders>
            <w:noWrap/>
            <w:vAlign w:val="bottom"/>
            <w:hideMark/>
          </w:tcPr>
          <w:p w14:paraId="5913730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2,555,893.50</w:t>
            </w:r>
          </w:p>
        </w:tc>
        <w:tc>
          <w:tcPr>
            <w:tcW w:w="1375" w:type="dxa"/>
            <w:gridSpan w:val="3"/>
            <w:tcBorders>
              <w:top w:val="nil"/>
              <w:left w:val="nil"/>
              <w:bottom w:val="single" w:sz="4" w:space="0" w:color="auto"/>
              <w:right w:val="single" w:sz="4" w:space="0" w:color="auto"/>
            </w:tcBorders>
            <w:noWrap/>
            <w:vAlign w:val="bottom"/>
            <w:hideMark/>
          </w:tcPr>
          <w:p w14:paraId="5A30357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3,453,866.00</w:t>
            </w:r>
          </w:p>
        </w:tc>
        <w:tc>
          <w:tcPr>
            <w:tcW w:w="1191" w:type="dxa"/>
            <w:tcBorders>
              <w:top w:val="nil"/>
              <w:left w:val="nil"/>
              <w:bottom w:val="single" w:sz="4" w:space="0" w:color="auto"/>
              <w:right w:val="single" w:sz="4" w:space="0" w:color="auto"/>
            </w:tcBorders>
            <w:noWrap/>
            <w:vAlign w:val="bottom"/>
            <w:hideMark/>
          </w:tcPr>
          <w:p w14:paraId="0681293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4,055,893</w:t>
            </w:r>
          </w:p>
        </w:tc>
        <w:tc>
          <w:tcPr>
            <w:tcW w:w="1316" w:type="dxa"/>
            <w:gridSpan w:val="2"/>
            <w:tcBorders>
              <w:top w:val="nil"/>
              <w:left w:val="nil"/>
              <w:bottom w:val="single" w:sz="4" w:space="0" w:color="auto"/>
              <w:right w:val="single" w:sz="4" w:space="0" w:color="auto"/>
            </w:tcBorders>
            <w:noWrap/>
            <w:vAlign w:val="bottom"/>
            <w:hideMark/>
          </w:tcPr>
          <w:p w14:paraId="241637C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4,055,893</w:t>
            </w:r>
          </w:p>
        </w:tc>
        <w:tc>
          <w:tcPr>
            <w:tcW w:w="1316" w:type="dxa"/>
            <w:gridSpan w:val="2"/>
            <w:tcBorders>
              <w:top w:val="nil"/>
              <w:left w:val="nil"/>
              <w:bottom w:val="single" w:sz="4" w:space="0" w:color="auto"/>
              <w:right w:val="single" w:sz="4" w:space="0" w:color="auto"/>
            </w:tcBorders>
            <w:noWrap/>
            <w:vAlign w:val="bottom"/>
            <w:hideMark/>
          </w:tcPr>
          <w:p w14:paraId="0365EA1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4,055,893</w:t>
            </w:r>
          </w:p>
        </w:tc>
        <w:tc>
          <w:tcPr>
            <w:tcW w:w="1316" w:type="dxa"/>
            <w:gridSpan w:val="2"/>
            <w:tcBorders>
              <w:top w:val="nil"/>
              <w:left w:val="nil"/>
              <w:bottom w:val="single" w:sz="4" w:space="0" w:color="auto"/>
              <w:right w:val="single" w:sz="4" w:space="0" w:color="auto"/>
            </w:tcBorders>
            <w:noWrap/>
            <w:vAlign w:val="bottom"/>
            <w:hideMark/>
          </w:tcPr>
          <w:p w14:paraId="77D23B4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3,555,893</w:t>
            </w:r>
          </w:p>
        </w:tc>
        <w:tc>
          <w:tcPr>
            <w:tcW w:w="1316" w:type="dxa"/>
            <w:gridSpan w:val="2"/>
            <w:tcBorders>
              <w:top w:val="nil"/>
              <w:left w:val="nil"/>
              <w:bottom w:val="single" w:sz="4" w:space="0" w:color="auto"/>
              <w:right w:val="single" w:sz="4" w:space="0" w:color="auto"/>
            </w:tcBorders>
            <w:noWrap/>
            <w:vAlign w:val="bottom"/>
            <w:hideMark/>
          </w:tcPr>
          <w:p w14:paraId="573A466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4,055,893</w:t>
            </w:r>
          </w:p>
        </w:tc>
        <w:tc>
          <w:tcPr>
            <w:tcW w:w="1316" w:type="dxa"/>
            <w:gridSpan w:val="2"/>
            <w:tcBorders>
              <w:top w:val="nil"/>
              <w:left w:val="nil"/>
              <w:bottom w:val="single" w:sz="4" w:space="0" w:color="auto"/>
              <w:right w:val="single" w:sz="4" w:space="0" w:color="auto"/>
            </w:tcBorders>
            <w:noWrap/>
            <w:vAlign w:val="bottom"/>
            <w:hideMark/>
          </w:tcPr>
          <w:p w14:paraId="71AC9FD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4,055,893</w:t>
            </w:r>
          </w:p>
        </w:tc>
      </w:tr>
      <w:tr w:rsidR="00EA0FD7" w:rsidRPr="00EA0FD7" w14:paraId="5B3F74C9" w14:textId="77777777" w:rsidTr="00EA0FD7">
        <w:trPr>
          <w:gridAfter w:val="1"/>
          <w:wAfter w:w="31" w:type="dxa"/>
          <w:trHeight w:val="480"/>
        </w:trPr>
        <w:tc>
          <w:tcPr>
            <w:tcW w:w="1209" w:type="dxa"/>
            <w:gridSpan w:val="2"/>
            <w:tcBorders>
              <w:top w:val="nil"/>
              <w:left w:val="single" w:sz="8" w:space="0" w:color="auto"/>
              <w:bottom w:val="single" w:sz="4" w:space="0" w:color="auto"/>
              <w:right w:val="single" w:sz="4" w:space="0" w:color="auto"/>
            </w:tcBorders>
            <w:vAlign w:val="bottom"/>
            <w:hideMark/>
          </w:tcPr>
          <w:p w14:paraId="75F5167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614000</w:t>
            </w:r>
          </w:p>
        </w:tc>
        <w:tc>
          <w:tcPr>
            <w:tcW w:w="2537" w:type="dxa"/>
            <w:gridSpan w:val="2"/>
            <w:tcBorders>
              <w:top w:val="nil"/>
              <w:left w:val="nil"/>
              <w:bottom w:val="single" w:sz="4" w:space="0" w:color="auto"/>
              <w:right w:val="single" w:sz="4" w:space="0" w:color="auto"/>
            </w:tcBorders>
            <w:vAlign w:val="bottom"/>
            <w:hideMark/>
          </w:tcPr>
          <w:p w14:paraId="566B9504"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Текући трансфери, донације и субвенције</w:t>
            </w:r>
          </w:p>
        </w:tc>
        <w:tc>
          <w:tcPr>
            <w:tcW w:w="1450" w:type="dxa"/>
            <w:gridSpan w:val="4"/>
            <w:tcBorders>
              <w:top w:val="nil"/>
              <w:left w:val="nil"/>
              <w:bottom w:val="single" w:sz="4" w:space="0" w:color="auto"/>
              <w:right w:val="single" w:sz="4" w:space="0" w:color="auto"/>
            </w:tcBorders>
            <w:noWrap/>
            <w:vAlign w:val="bottom"/>
            <w:hideMark/>
          </w:tcPr>
          <w:p w14:paraId="7840A6D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47" w:type="dxa"/>
            <w:gridSpan w:val="2"/>
            <w:tcBorders>
              <w:top w:val="nil"/>
              <w:left w:val="nil"/>
              <w:bottom w:val="single" w:sz="4" w:space="0" w:color="auto"/>
              <w:right w:val="single" w:sz="4" w:space="0" w:color="auto"/>
            </w:tcBorders>
            <w:noWrap/>
            <w:vAlign w:val="bottom"/>
            <w:hideMark/>
          </w:tcPr>
          <w:p w14:paraId="634EB2D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75" w:type="dxa"/>
            <w:gridSpan w:val="3"/>
            <w:tcBorders>
              <w:top w:val="nil"/>
              <w:left w:val="nil"/>
              <w:bottom w:val="single" w:sz="4" w:space="0" w:color="auto"/>
              <w:right w:val="single" w:sz="4" w:space="0" w:color="auto"/>
            </w:tcBorders>
            <w:noWrap/>
            <w:vAlign w:val="bottom"/>
            <w:hideMark/>
          </w:tcPr>
          <w:p w14:paraId="5D2FEFC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91" w:type="dxa"/>
            <w:tcBorders>
              <w:top w:val="nil"/>
              <w:left w:val="nil"/>
              <w:bottom w:val="single" w:sz="4" w:space="0" w:color="auto"/>
              <w:right w:val="single" w:sz="4" w:space="0" w:color="auto"/>
            </w:tcBorders>
            <w:noWrap/>
            <w:vAlign w:val="bottom"/>
            <w:hideMark/>
          </w:tcPr>
          <w:p w14:paraId="130F2B1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gridSpan w:val="2"/>
            <w:tcBorders>
              <w:top w:val="nil"/>
              <w:left w:val="nil"/>
              <w:bottom w:val="single" w:sz="4" w:space="0" w:color="auto"/>
              <w:right w:val="single" w:sz="4" w:space="0" w:color="auto"/>
            </w:tcBorders>
            <w:noWrap/>
            <w:vAlign w:val="bottom"/>
            <w:hideMark/>
          </w:tcPr>
          <w:p w14:paraId="47F5043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gridSpan w:val="2"/>
            <w:tcBorders>
              <w:top w:val="nil"/>
              <w:left w:val="nil"/>
              <w:bottom w:val="single" w:sz="4" w:space="0" w:color="auto"/>
              <w:right w:val="single" w:sz="4" w:space="0" w:color="auto"/>
            </w:tcBorders>
            <w:noWrap/>
            <w:vAlign w:val="bottom"/>
            <w:hideMark/>
          </w:tcPr>
          <w:p w14:paraId="1DAFC3A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gridSpan w:val="2"/>
            <w:tcBorders>
              <w:top w:val="nil"/>
              <w:left w:val="nil"/>
              <w:bottom w:val="single" w:sz="4" w:space="0" w:color="auto"/>
              <w:right w:val="single" w:sz="4" w:space="0" w:color="auto"/>
            </w:tcBorders>
            <w:noWrap/>
            <w:vAlign w:val="bottom"/>
            <w:hideMark/>
          </w:tcPr>
          <w:p w14:paraId="7AF1489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gridSpan w:val="2"/>
            <w:tcBorders>
              <w:top w:val="nil"/>
              <w:left w:val="nil"/>
              <w:bottom w:val="single" w:sz="4" w:space="0" w:color="auto"/>
              <w:right w:val="single" w:sz="4" w:space="0" w:color="auto"/>
            </w:tcBorders>
            <w:noWrap/>
            <w:vAlign w:val="bottom"/>
            <w:hideMark/>
          </w:tcPr>
          <w:p w14:paraId="157B874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gridSpan w:val="2"/>
            <w:tcBorders>
              <w:top w:val="nil"/>
              <w:left w:val="nil"/>
              <w:bottom w:val="single" w:sz="4" w:space="0" w:color="auto"/>
              <w:right w:val="single" w:sz="4" w:space="0" w:color="auto"/>
            </w:tcBorders>
            <w:noWrap/>
            <w:vAlign w:val="bottom"/>
            <w:hideMark/>
          </w:tcPr>
          <w:p w14:paraId="3F026DE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r>
      <w:tr w:rsidR="00EA0FD7" w:rsidRPr="00EA0FD7" w14:paraId="14A45F6B" w14:textId="77777777" w:rsidTr="00EA0FD7">
        <w:trPr>
          <w:gridAfter w:val="1"/>
          <w:wAfter w:w="31" w:type="dxa"/>
          <w:trHeight w:val="240"/>
        </w:trPr>
        <w:tc>
          <w:tcPr>
            <w:tcW w:w="1209" w:type="dxa"/>
            <w:gridSpan w:val="2"/>
            <w:tcBorders>
              <w:top w:val="nil"/>
              <w:left w:val="single" w:sz="8" w:space="0" w:color="auto"/>
              <w:bottom w:val="nil"/>
              <w:right w:val="single" w:sz="4" w:space="0" w:color="auto"/>
            </w:tcBorders>
            <w:vAlign w:val="bottom"/>
            <w:hideMark/>
          </w:tcPr>
          <w:p w14:paraId="2C70278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615000</w:t>
            </w:r>
          </w:p>
        </w:tc>
        <w:tc>
          <w:tcPr>
            <w:tcW w:w="2537" w:type="dxa"/>
            <w:gridSpan w:val="2"/>
            <w:tcBorders>
              <w:top w:val="nil"/>
              <w:left w:val="nil"/>
              <w:bottom w:val="nil"/>
              <w:right w:val="single" w:sz="4" w:space="0" w:color="auto"/>
            </w:tcBorders>
            <w:vAlign w:val="bottom"/>
            <w:hideMark/>
          </w:tcPr>
          <w:p w14:paraId="65A8233A"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Капитални трансфери и донације</w:t>
            </w:r>
          </w:p>
        </w:tc>
        <w:tc>
          <w:tcPr>
            <w:tcW w:w="1450" w:type="dxa"/>
            <w:gridSpan w:val="4"/>
            <w:tcBorders>
              <w:top w:val="nil"/>
              <w:left w:val="nil"/>
              <w:bottom w:val="nil"/>
              <w:right w:val="single" w:sz="4" w:space="0" w:color="auto"/>
            </w:tcBorders>
            <w:noWrap/>
            <w:vAlign w:val="bottom"/>
            <w:hideMark/>
          </w:tcPr>
          <w:p w14:paraId="7E5C5E1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373,700.00</w:t>
            </w:r>
          </w:p>
        </w:tc>
        <w:tc>
          <w:tcPr>
            <w:tcW w:w="1347" w:type="dxa"/>
            <w:gridSpan w:val="2"/>
            <w:tcBorders>
              <w:top w:val="nil"/>
              <w:left w:val="nil"/>
              <w:bottom w:val="nil"/>
              <w:right w:val="single" w:sz="4" w:space="0" w:color="auto"/>
            </w:tcBorders>
            <w:noWrap/>
            <w:vAlign w:val="bottom"/>
            <w:hideMark/>
          </w:tcPr>
          <w:p w14:paraId="389228B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373,700.00</w:t>
            </w:r>
          </w:p>
        </w:tc>
        <w:tc>
          <w:tcPr>
            <w:tcW w:w="1375" w:type="dxa"/>
            <w:gridSpan w:val="3"/>
            <w:tcBorders>
              <w:top w:val="nil"/>
              <w:left w:val="nil"/>
              <w:bottom w:val="nil"/>
              <w:right w:val="single" w:sz="4" w:space="0" w:color="auto"/>
            </w:tcBorders>
            <w:noWrap/>
            <w:vAlign w:val="bottom"/>
            <w:hideMark/>
          </w:tcPr>
          <w:p w14:paraId="5A2FD8D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623,660.26</w:t>
            </w:r>
          </w:p>
        </w:tc>
        <w:tc>
          <w:tcPr>
            <w:tcW w:w="1191" w:type="dxa"/>
            <w:tcBorders>
              <w:top w:val="nil"/>
              <w:left w:val="nil"/>
              <w:bottom w:val="nil"/>
              <w:right w:val="single" w:sz="4" w:space="0" w:color="auto"/>
            </w:tcBorders>
            <w:noWrap/>
            <w:vAlign w:val="bottom"/>
            <w:hideMark/>
          </w:tcPr>
          <w:p w14:paraId="789F192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gridSpan w:val="2"/>
            <w:tcBorders>
              <w:top w:val="nil"/>
              <w:left w:val="nil"/>
              <w:bottom w:val="nil"/>
              <w:right w:val="single" w:sz="4" w:space="0" w:color="auto"/>
            </w:tcBorders>
            <w:noWrap/>
            <w:vAlign w:val="bottom"/>
            <w:hideMark/>
          </w:tcPr>
          <w:p w14:paraId="0A94037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gridSpan w:val="2"/>
            <w:tcBorders>
              <w:top w:val="nil"/>
              <w:left w:val="nil"/>
              <w:bottom w:val="nil"/>
              <w:right w:val="single" w:sz="4" w:space="0" w:color="auto"/>
            </w:tcBorders>
            <w:noWrap/>
            <w:vAlign w:val="bottom"/>
            <w:hideMark/>
          </w:tcPr>
          <w:p w14:paraId="6B54FB0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gridSpan w:val="2"/>
            <w:tcBorders>
              <w:top w:val="nil"/>
              <w:left w:val="nil"/>
              <w:bottom w:val="nil"/>
              <w:right w:val="single" w:sz="4" w:space="0" w:color="auto"/>
            </w:tcBorders>
            <w:noWrap/>
            <w:vAlign w:val="bottom"/>
            <w:hideMark/>
          </w:tcPr>
          <w:p w14:paraId="362E90A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gridSpan w:val="2"/>
            <w:tcBorders>
              <w:top w:val="nil"/>
              <w:left w:val="nil"/>
              <w:bottom w:val="nil"/>
              <w:right w:val="single" w:sz="4" w:space="0" w:color="auto"/>
            </w:tcBorders>
            <w:noWrap/>
            <w:vAlign w:val="bottom"/>
            <w:hideMark/>
          </w:tcPr>
          <w:p w14:paraId="3371675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gridSpan w:val="2"/>
            <w:tcBorders>
              <w:top w:val="nil"/>
              <w:left w:val="nil"/>
              <w:bottom w:val="nil"/>
              <w:right w:val="single" w:sz="4" w:space="0" w:color="auto"/>
            </w:tcBorders>
            <w:noWrap/>
            <w:vAlign w:val="bottom"/>
            <w:hideMark/>
          </w:tcPr>
          <w:p w14:paraId="2095247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r>
      <w:tr w:rsidR="00EA0FD7" w:rsidRPr="00EA0FD7" w14:paraId="18ACC876" w14:textId="77777777" w:rsidTr="00EA0FD7">
        <w:trPr>
          <w:gridAfter w:val="1"/>
          <w:wAfter w:w="31" w:type="dxa"/>
          <w:trHeight w:val="480"/>
        </w:trPr>
        <w:tc>
          <w:tcPr>
            <w:tcW w:w="1209" w:type="dxa"/>
            <w:gridSpan w:val="2"/>
            <w:tcBorders>
              <w:top w:val="single" w:sz="4" w:space="0" w:color="auto"/>
              <w:left w:val="single" w:sz="8" w:space="0" w:color="auto"/>
              <w:bottom w:val="nil"/>
              <w:right w:val="single" w:sz="4" w:space="0" w:color="auto"/>
            </w:tcBorders>
            <w:noWrap/>
            <w:vAlign w:val="bottom"/>
            <w:hideMark/>
          </w:tcPr>
          <w:p w14:paraId="00ED473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821000</w:t>
            </w:r>
          </w:p>
        </w:tc>
        <w:tc>
          <w:tcPr>
            <w:tcW w:w="2537" w:type="dxa"/>
            <w:gridSpan w:val="2"/>
            <w:tcBorders>
              <w:top w:val="single" w:sz="4" w:space="0" w:color="auto"/>
              <w:left w:val="nil"/>
              <w:bottom w:val="nil"/>
              <w:right w:val="single" w:sz="4" w:space="0" w:color="auto"/>
            </w:tcBorders>
            <w:vAlign w:val="bottom"/>
            <w:hideMark/>
          </w:tcPr>
          <w:p w14:paraId="29D1DD6D"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набавку сталних средстава</w:t>
            </w:r>
          </w:p>
        </w:tc>
        <w:tc>
          <w:tcPr>
            <w:tcW w:w="1450" w:type="dxa"/>
            <w:gridSpan w:val="4"/>
            <w:tcBorders>
              <w:top w:val="single" w:sz="4" w:space="0" w:color="auto"/>
              <w:left w:val="nil"/>
              <w:bottom w:val="single" w:sz="4" w:space="0" w:color="auto"/>
              <w:right w:val="single" w:sz="4" w:space="0" w:color="auto"/>
            </w:tcBorders>
            <w:noWrap/>
            <w:vAlign w:val="bottom"/>
            <w:hideMark/>
          </w:tcPr>
          <w:p w14:paraId="73286D4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7,504,437.91</w:t>
            </w:r>
          </w:p>
        </w:tc>
        <w:tc>
          <w:tcPr>
            <w:tcW w:w="1347" w:type="dxa"/>
            <w:gridSpan w:val="2"/>
            <w:tcBorders>
              <w:top w:val="single" w:sz="4" w:space="0" w:color="auto"/>
              <w:left w:val="nil"/>
              <w:bottom w:val="single" w:sz="4" w:space="0" w:color="auto"/>
              <w:right w:val="single" w:sz="4" w:space="0" w:color="auto"/>
            </w:tcBorders>
            <w:noWrap/>
            <w:vAlign w:val="bottom"/>
            <w:hideMark/>
          </w:tcPr>
          <w:p w14:paraId="70F4F12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234,741.71</w:t>
            </w:r>
          </w:p>
        </w:tc>
        <w:tc>
          <w:tcPr>
            <w:tcW w:w="1375" w:type="dxa"/>
            <w:gridSpan w:val="3"/>
            <w:tcBorders>
              <w:top w:val="single" w:sz="4" w:space="0" w:color="auto"/>
              <w:left w:val="nil"/>
              <w:bottom w:val="single" w:sz="4" w:space="0" w:color="auto"/>
              <w:right w:val="single" w:sz="4" w:space="0" w:color="auto"/>
            </w:tcBorders>
            <w:noWrap/>
            <w:vAlign w:val="bottom"/>
            <w:hideMark/>
          </w:tcPr>
          <w:p w14:paraId="7FD3675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3,765,149.75</w:t>
            </w:r>
          </w:p>
        </w:tc>
        <w:tc>
          <w:tcPr>
            <w:tcW w:w="1191" w:type="dxa"/>
            <w:tcBorders>
              <w:top w:val="single" w:sz="4" w:space="0" w:color="auto"/>
              <w:left w:val="nil"/>
              <w:bottom w:val="single" w:sz="4" w:space="0" w:color="auto"/>
              <w:right w:val="single" w:sz="4" w:space="0" w:color="auto"/>
            </w:tcBorders>
            <w:noWrap/>
            <w:vAlign w:val="bottom"/>
            <w:hideMark/>
          </w:tcPr>
          <w:p w14:paraId="6C3135A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5,875,000</w:t>
            </w:r>
          </w:p>
        </w:tc>
        <w:tc>
          <w:tcPr>
            <w:tcW w:w="1316" w:type="dxa"/>
            <w:gridSpan w:val="2"/>
            <w:tcBorders>
              <w:top w:val="single" w:sz="4" w:space="0" w:color="auto"/>
              <w:left w:val="nil"/>
              <w:bottom w:val="single" w:sz="4" w:space="0" w:color="auto"/>
              <w:right w:val="single" w:sz="4" w:space="0" w:color="auto"/>
            </w:tcBorders>
            <w:noWrap/>
            <w:vAlign w:val="bottom"/>
            <w:hideMark/>
          </w:tcPr>
          <w:p w14:paraId="36E4EE1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5,875,000</w:t>
            </w:r>
          </w:p>
        </w:tc>
        <w:tc>
          <w:tcPr>
            <w:tcW w:w="1316" w:type="dxa"/>
            <w:gridSpan w:val="2"/>
            <w:tcBorders>
              <w:top w:val="single" w:sz="4" w:space="0" w:color="auto"/>
              <w:left w:val="nil"/>
              <w:bottom w:val="single" w:sz="4" w:space="0" w:color="auto"/>
              <w:right w:val="single" w:sz="4" w:space="0" w:color="auto"/>
            </w:tcBorders>
            <w:noWrap/>
            <w:vAlign w:val="bottom"/>
            <w:hideMark/>
          </w:tcPr>
          <w:p w14:paraId="078DA8E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5,875,000</w:t>
            </w:r>
          </w:p>
        </w:tc>
        <w:tc>
          <w:tcPr>
            <w:tcW w:w="1316" w:type="dxa"/>
            <w:gridSpan w:val="2"/>
            <w:tcBorders>
              <w:top w:val="single" w:sz="4" w:space="0" w:color="auto"/>
              <w:left w:val="nil"/>
              <w:bottom w:val="single" w:sz="4" w:space="0" w:color="auto"/>
              <w:right w:val="single" w:sz="4" w:space="0" w:color="auto"/>
            </w:tcBorders>
            <w:noWrap/>
            <w:vAlign w:val="bottom"/>
            <w:hideMark/>
          </w:tcPr>
          <w:p w14:paraId="6095EF5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4,575,000</w:t>
            </w:r>
          </w:p>
        </w:tc>
        <w:tc>
          <w:tcPr>
            <w:tcW w:w="1316" w:type="dxa"/>
            <w:gridSpan w:val="2"/>
            <w:tcBorders>
              <w:top w:val="single" w:sz="4" w:space="0" w:color="auto"/>
              <w:left w:val="nil"/>
              <w:bottom w:val="single" w:sz="4" w:space="0" w:color="auto"/>
              <w:right w:val="single" w:sz="4" w:space="0" w:color="auto"/>
            </w:tcBorders>
            <w:noWrap/>
            <w:vAlign w:val="bottom"/>
            <w:hideMark/>
          </w:tcPr>
          <w:p w14:paraId="730B269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5,875,000</w:t>
            </w:r>
          </w:p>
        </w:tc>
        <w:tc>
          <w:tcPr>
            <w:tcW w:w="1316" w:type="dxa"/>
            <w:gridSpan w:val="2"/>
            <w:tcBorders>
              <w:top w:val="single" w:sz="4" w:space="0" w:color="auto"/>
              <w:left w:val="nil"/>
              <w:bottom w:val="single" w:sz="4" w:space="0" w:color="auto"/>
              <w:right w:val="single" w:sz="4" w:space="0" w:color="auto"/>
            </w:tcBorders>
            <w:noWrap/>
            <w:vAlign w:val="bottom"/>
            <w:hideMark/>
          </w:tcPr>
          <w:p w14:paraId="0DD3FD6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8,965,000</w:t>
            </w:r>
          </w:p>
        </w:tc>
      </w:tr>
      <w:tr w:rsidR="00EA0FD7" w:rsidRPr="00EA0FD7" w14:paraId="44CAEBE8" w14:textId="77777777" w:rsidTr="00EA0FD7">
        <w:trPr>
          <w:gridAfter w:val="1"/>
          <w:wAfter w:w="31" w:type="dxa"/>
          <w:trHeight w:val="330"/>
        </w:trPr>
        <w:tc>
          <w:tcPr>
            <w:tcW w:w="1209" w:type="dxa"/>
            <w:gridSpan w:val="2"/>
            <w:tcBorders>
              <w:top w:val="single" w:sz="8" w:space="0" w:color="auto"/>
              <w:left w:val="single" w:sz="8" w:space="0" w:color="auto"/>
              <w:bottom w:val="single" w:sz="8" w:space="0" w:color="auto"/>
              <w:right w:val="single" w:sz="8" w:space="0" w:color="auto"/>
            </w:tcBorders>
            <w:noWrap/>
            <w:vAlign w:val="bottom"/>
            <w:hideMark/>
          </w:tcPr>
          <w:p w14:paraId="3793164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37" w:type="dxa"/>
            <w:gridSpan w:val="2"/>
            <w:tcBorders>
              <w:top w:val="single" w:sz="8" w:space="0" w:color="auto"/>
              <w:left w:val="nil"/>
              <w:bottom w:val="single" w:sz="8" w:space="0" w:color="auto"/>
              <w:right w:val="single" w:sz="8" w:space="0" w:color="auto"/>
            </w:tcBorders>
            <w:noWrap/>
            <w:vAlign w:val="bottom"/>
            <w:hideMark/>
          </w:tcPr>
          <w:p w14:paraId="20C9AF1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450" w:type="dxa"/>
            <w:gridSpan w:val="4"/>
            <w:tcBorders>
              <w:top w:val="single" w:sz="8" w:space="0" w:color="auto"/>
              <w:left w:val="nil"/>
              <w:bottom w:val="single" w:sz="8" w:space="0" w:color="auto"/>
              <w:right w:val="single" w:sz="8" w:space="0" w:color="auto"/>
            </w:tcBorders>
            <w:noWrap/>
            <w:vAlign w:val="bottom"/>
            <w:hideMark/>
          </w:tcPr>
          <w:p w14:paraId="744E689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11,786,954.43</w:t>
            </w:r>
          </w:p>
        </w:tc>
        <w:tc>
          <w:tcPr>
            <w:tcW w:w="1347" w:type="dxa"/>
            <w:gridSpan w:val="2"/>
            <w:tcBorders>
              <w:top w:val="single" w:sz="8" w:space="0" w:color="auto"/>
              <w:left w:val="nil"/>
              <w:bottom w:val="single" w:sz="8" w:space="0" w:color="auto"/>
              <w:right w:val="single" w:sz="8" w:space="0" w:color="auto"/>
            </w:tcBorders>
            <w:noWrap/>
            <w:vAlign w:val="bottom"/>
            <w:hideMark/>
          </w:tcPr>
          <w:p w14:paraId="7F0EFF8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3,902,155.63</w:t>
            </w:r>
          </w:p>
        </w:tc>
        <w:tc>
          <w:tcPr>
            <w:tcW w:w="1375" w:type="dxa"/>
            <w:gridSpan w:val="3"/>
            <w:tcBorders>
              <w:top w:val="single" w:sz="8" w:space="0" w:color="auto"/>
              <w:left w:val="nil"/>
              <w:bottom w:val="single" w:sz="8" w:space="0" w:color="auto"/>
              <w:right w:val="single" w:sz="8" w:space="0" w:color="auto"/>
            </w:tcBorders>
            <w:noWrap/>
            <w:vAlign w:val="bottom"/>
            <w:hideMark/>
          </w:tcPr>
          <w:p w14:paraId="7D6EEC4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8,697,614.94</w:t>
            </w:r>
          </w:p>
        </w:tc>
        <w:tc>
          <w:tcPr>
            <w:tcW w:w="1191" w:type="dxa"/>
            <w:tcBorders>
              <w:top w:val="single" w:sz="8" w:space="0" w:color="auto"/>
              <w:left w:val="nil"/>
              <w:bottom w:val="single" w:sz="8" w:space="0" w:color="auto"/>
              <w:right w:val="single" w:sz="8" w:space="0" w:color="auto"/>
            </w:tcBorders>
            <w:noWrap/>
            <w:vAlign w:val="bottom"/>
            <w:hideMark/>
          </w:tcPr>
          <w:p w14:paraId="236B968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10,785,832</w:t>
            </w:r>
          </w:p>
        </w:tc>
        <w:tc>
          <w:tcPr>
            <w:tcW w:w="1316" w:type="dxa"/>
            <w:gridSpan w:val="2"/>
            <w:tcBorders>
              <w:top w:val="single" w:sz="8" w:space="0" w:color="auto"/>
              <w:left w:val="nil"/>
              <w:bottom w:val="single" w:sz="8" w:space="0" w:color="auto"/>
              <w:right w:val="single" w:sz="8" w:space="0" w:color="auto"/>
            </w:tcBorders>
            <w:noWrap/>
            <w:vAlign w:val="bottom"/>
            <w:hideMark/>
          </w:tcPr>
          <w:p w14:paraId="717B2D3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10,785,832</w:t>
            </w:r>
          </w:p>
        </w:tc>
        <w:tc>
          <w:tcPr>
            <w:tcW w:w="1316" w:type="dxa"/>
            <w:gridSpan w:val="2"/>
            <w:tcBorders>
              <w:top w:val="single" w:sz="8" w:space="0" w:color="auto"/>
              <w:left w:val="nil"/>
              <w:bottom w:val="single" w:sz="8" w:space="0" w:color="auto"/>
              <w:right w:val="single" w:sz="8" w:space="0" w:color="auto"/>
            </w:tcBorders>
            <w:noWrap/>
            <w:vAlign w:val="bottom"/>
            <w:hideMark/>
          </w:tcPr>
          <w:p w14:paraId="1D832F5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10,785,832</w:t>
            </w:r>
          </w:p>
        </w:tc>
        <w:tc>
          <w:tcPr>
            <w:tcW w:w="1316" w:type="dxa"/>
            <w:gridSpan w:val="2"/>
            <w:tcBorders>
              <w:top w:val="single" w:sz="8" w:space="0" w:color="auto"/>
              <w:left w:val="nil"/>
              <w:bottom w:val="single" w:sz="8" w:space="0" w:color="auto"/>
              <w:right w:val="single" w:sz="8" w:space="0" w:color="auto"/>
            </w:tcBorders>
            <w:noWrap/>
            <w:vAlign w:val="bottom"/>
            <w:hideMark/>
          </w:tcPr>
          <w:p w14:paraId="4CBCD13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8,985,832</w:t>
            </w:r>
          </w:p>
        </w:tc>
        <w:tc>
          <w:tcPr>
            <w:tcW w:w="1316" w:type="dxa"/>
            <w:gridSpan w:val="2"/>
            <w:tcBorders>
              <w:top w:val="single" w:sz="8" w:space="0" w:color="auto"/>
              <w:left w:val="nil"/>
              <w:bottom w:val="single" w:sz="8" w:space="0" w:color="auto"/>
              <w:right w:val="single" w:sz="8" w:space="0" w:color="auto"/>
            </w:tcBorders>
            <w:noWrap/>
            <w:vAlign w:val="bottom"/>
            <w:hideMark/>
          </w:tcPr>
          <w:p w14:paraId="02B3CB7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10,785,832</w:t>
            </w:r>
          </w:p>
        </w:tc>
        <w:tc>
          <w:tcPr>
            <w:tcW w:w="1316" w:type="dxa"/>
            <w:gridSpan w:val="2"/>
            <w:tcBorders>
              <w:top w:val="single" w:sz="8" w:space="0" w:color="auto"/>
              <w:left w:val="nil"/>
              <w:bottom w:val="single" w:sz="8" w:space="0" w:color="auto"/>
              <w:right w:val="single" w:sz="8" w:space="0" w:color="auto"/>
            </w:tcBorders>
            <w:noWrap/>
            <w:vAlign w:val="bottom"/>
            <w:hideMark/>
          </w:tcPr>
          <w:p w14:paraId="4691071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13,875,832</w:t>
            </w:r>
          </w:p>
        </w:tc>
      </w:tr>
      <w:tr w:rsidR="00EA0FD7" w:rsidRPr="00EA0FD7" w14:paraId="3A45B2F9" w14:textId="77777777" w:rsidTr="00EA0FD7">
        <w:trPr>
          <w:gridAfter w:val="1"/>
          <w:wAfter w:w="31" w:type="dxa"/>
          <w:trHeight w:val="300"/>
        </w:trPr>
        <w:tc>
          <w:tcPr>
            <w:tcW w:w="1209" w:type="dxa"/>
            <w:gridSpan w:val="2"/>
            <w:tcBorders>
              <w:top w:val="nil"/>
              <w:left w:val="single" w:sz="8" w:space="0" w:color="auto"/>
              <w:bottom w:val="single" w:sz="8" w:space="0" w:color="auto"/>
              <w:right w:val="nil"/>
            </w:tcBorders>
            <w:noWrap/>
            <w:vAlign w:val="bottom"/>
            <w:hideMark/>
          </w:tcPr>
          <w:p w14:paraId="37C9043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lastRenderedPageBreak/>
              <w:t> </w:t>
            </w:r>
          </w:p>
        </w:tc>
        <w:tc>
          <w:tcPr>
            <w:tcW w:w="2537" w:type="dxa"/>
            <w:gridSpan w:val="2"/>
            <w:tcBorders>
              <w:top w:val="nil"/>
              <w:left w:val="nil"/>
              <w:bottom w:val="single" w:sz="8" w:space="0" w:color="auto"/>
              <w:right w:val="nil"/>
            </w:tcBorders>
            <w:noWrap/>
            <w:vAlign w:val="bottom"/>
            <w:hideMark/>
          </w:tcPr>
          <w:p w14:paraId="35B473A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50" w:type="dxa"/>
            <w:gridSpan w:val="4"/>
            <w:tcBorders>
              <w:top w:val="nil"/>
              <w:left w:val="nil"/>
              <w:bottom w:val="single" w:sz="8" w:space="0" w:color="auto"/>
              <w:right w:val="nil"/>
            </w:tcBorders>
            <w:noWrap/>
            <w:vAlign w:val="bottom"/>
            <w:hideMark/>
          </w:tcPr>
          <w:p w14:paraId="66C578D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47" w:type="dxa"/>
            <w:gridSpan w:val="2"/>
            <w:tcBorders>
              <w:top w:val="nil"/>
              <w:left w:val="nil"/>
              <w:bottom w:val="single" w:sz="8" w:space="0" w:color="auto"/>
              <w:right w:val="nil"/>
            </w:tcBorders>
            <w:noWrap/>
            <w:vAlign w:val="bottom"/>
            <w:hideMark/>
          </w:tcPr>
          <w:p w14:paraId="40B9287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75" w:type="dxa"/>
            <w:gridSpan w:val="3"/>
            <w:tcBorders>
              <w:top w:val="nil"/>
              <w:left w:val="nil"/>
              <w:bottom w:val="single" w:sz="8" w:space="0" w:color="auto"/>
              <w:right w:val="nil"/>
            </w:tcBorders>
            <w:noWrap/>
            <w:vAlign w:val="bottom"/>
            <w:hideMark/>
          </w:tcPr>
          <w:p w14:paraId="1A525A1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91" w:type="dxa"/>
            <w:tcBorders>
              <w:top w:val="nil"/>
              <w:left w:val="nil"/>
              <w:bottom w:val="single" w:sz="8" w:space="0" w:color="auto"/>
              <w:right w:val="nil"/>
            </w:tcBorders>
            <w:noWrap/>
            <w:vAlign w:val="bottom"/>
            <w:hideMark/>
          </w:tcPr>
          <w:p w14:paraId="6455E2D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8" w:space="0" w:color="auto"/>
              <w:right w:val="nil"/>
            </w:tcBorders>
            <w:noWrap/>
            <w:vAlign w:val="bottom"/>
            <w:hideMark/>
          </w:tcPr>
          <w:p w14:paraId="4DEB3EF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8" w:space="0" w:color="auto"/>
              <w:right w:val="nil"/>
            </w:tcBorders>
            <w:noWrap/>
            <w:vAlign w:val="bottom"/>
            <w:hideMark/>
          </w:tcPr>
          <w:p w14:paraId="54DAADA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8" w:space="0" w:color="auto"/>
              <w:right w:val="nil"/>
            </w:tcBorders>
            <w:noWrap/>
            <w:vAlign w:val="bottom"/>
            <w:hideMark/>
          </w:tcPr>
          <w:p w14:paraId="644463B6"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gridSpan w:val="2"/>
            <w:tcBorders>
              <w:top w:val="nil"/>
              <w:left w:val="nil"/>
              <w:bottom w:val="single" w:sz="8" w:space="0" w:color="auto"/>
              <w:right w:val="nil"/>
            </w:tcBorders>
            <w:noWrap/>
            <w:vAlign w:val="bottom"/>
            <w:hideMark/>
          </w:tcPr>
          <w:p w14:paraId="2EB235FA"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gridSpan w:val="2"/>
            <w:tcBorders>
              <w:top w:val="nil"/>
              <w:left w:val="nil"/>
              <w:bottom w:val="single" w:sz="8" w:space="0" w:color="auto"/>
              <w:right w:val="single" w:sz="8" w:space="0" w:color="auto"/>
            </w:tcBorders>
            <w:noWrap/>
            <w:vAlign w:val="bottom"/>
            <w:hideMark/>
          </w:tcPr>
          <w:p w14:paraId="05CD9124"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70A93757" w14:textId="77777777" w:rsidTr="00EA0FD7">
        <w:trPr>
          <w:gridAfter w:val="1"/>
          <w:wAfter w:w="31" w:type="dxa"/>
          <w:trHeight w:val="240"/>
        </w:trPr>
        <w:tc>
          <w:tcPr>
            <w:tcW w:w="1209" w:type="dxa"/>
            <w:gridSpan w:val="2"/>
            <w:tcBorders>
              <w:top w:val="nil"/>
              <w:left w:val="single" w:sz="8" w:space="0" w:color="auto"/>
              <w:bottom w:val="single" w:sz="8" w:space="0" w:color="auto"/>
              <w:right w:val="single" w:sz="8" w:space="0" w:color="auto"/>
            </w:tcBorders>
            <w:noWrap/>
            <w:vAlign w:val="bottom"/>
            <w:hideMark/>
          </w:tcPr>
          <w:p w14:paraId="1EEFCA5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37" w:type="dxa"/>
            <w:gridSpan w:val="2"/>
            <w:tcBorders>
              <w:top w:val="nil"/>
              <w:left w:val="nil"/>
              <w:bottom w:val="single" w:sz="8" w:space="0" w:color="auto"/>
              <w:right w:val="single" w:sz="8" w:space="0" w:color="auto"/>
            </w:tcBorders>
            <w:noWrap/>
            <w:vAlign w:val="bottom"/>
            <w:hideMark/>
          </w:tcPr>
          <w:p w14:paraId="7031EA7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450" w:type="dxa"/>
            <w:gridSpan w:val="4"/>
            <w:tcBorders>
              <w:top w:val="nil"/>
              <w:left w:val="nil"/>
              <w:bottom w:val="single" w:sz="8" w:space="0" w:color="auto"/>
              <w:right w:val="single" w:sz="8" w:space="0" w:color="auto"/>
            </w:tcBorders>
            <w:noWrap/>
            <w:vAlign w:val="bottom"/>
            <w:hideMark/>
          </w:tcPr>
          <w:p w14:paraId="45FD551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21</w:t>
            </w:r>
          </w:p>
        </w:tc>
        <w:tc>
          <w:tcPr>
            <w:tcW w:w="1347" w:type="dxa"/>
            <w:gridSpan w:val="2"/>
            <w:tcBorders>
              <w:top w:val="nil"/>
              <w:left w:val="nil"/>
              <w:bottom w:val="single" w:sz="8" w:space="0" w:color="auto"/>
              <w:right w:val="single" w:sz="8" w:space="0" w:color="auto"/>
            </w:tcBorders>
            <w:noWrap/>
            <w:vAlign w:val="bottom"/>
            <w:hideMark/>
          </w:tcPr>
          <w:p w14:paraId="22B6161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19</w:t>
            </w:r>
          </w:p>
        </w:tc>
        <w:tc>
          <w:tcPr>
            <w:tcW w:w="1375" w:type="dxa"/>
            <w:gridSpan w:val="3"/>
            <w:tcBorders>
              <w:top w:val="nil"/>
              <w:left w:val="nil"/>
              <w:bottom w:val="single" w:sz="8" w:space="0" w:color="auto"/>
              <w:right w:val="single" w:sz="8" w:space="0" w:color="auto"/>
            </w:tcBorders>
            <w:noWrap/>
            <w:vAlign w:val="bottom"/>
            <w:hideMark/>
          </w:tcPr>
          <w:p w14:paraId="3E7B50A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21</w:t>
            </w:r>
          </w:p>
        </w:tc>
        <w:tc>
          <w:tcPr>
            <w:tcW w:w="1191" w:type="dxa"/>
            <w:tcBorders>
              <w:top w:val="nil"/>
              <w:left w:val="nil"/>
              <w:bottom w:val="single" w:sz="8" w:space="0" w:color="auto"/>
              <w:right w:val="single" w:sz="8" w:space="0" w:color="auto"/>
            </w:tcBorders>
            <w:noWrap/>
            <w:vAlign w:val="bottom"/>
            <w:hideMark/>
          </w:tcPr>
          <w:p w14:paraId="1BD28CC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21</w:t>
            </w:r>
          </w:p>
        </w:tc>
        <w:tc>
          <w:tcPr>
            <w:tcW w:w="1316" w:type="dxa"/>
            <w:gridSpan w:val="2"/>
            <w:tcBorders>
              <w:top w:val="nil"/>
              <w:left w:val="nil"/>
              <w:bottom w:val="single" w:sz="8" w:space="0" w:color="auto"/>
              <w:right w:val="single" w:sz="8" w:space="0" w:color="auto"/>
            </w:tcBorders>
            <w:noWrap/>
            <w:vAlign w:val="bottom"/>
            <w:hideMark/>
          </w:tcPr>
          <w:p w14:paraId="7770AF1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21</w:t>
            </w:r>
          </w:p>
        </w:tc>
        <w:tc>
          <w:tcPr>
            <w:tcW w:w="1316" w:type="dxa"/>
            <w:gridSpan w:val="2"/>
            <w:tcBorders>
              <w:top w:val="nil"/>
              <w:left w:val="nil"/>
              <w:bottom w:val="single" w:sz="8" w:space="0" w:color="auto"/>
              <w:right w:val="single" w:sz="8" w:space="0" w:color="auto"/>
            </w:tcBorders>
            <w:noWrap/>
            <w:vAlign w:val="bottom"/>
            <w:hideMark/>
          </w:tcPr>
          <w:p w14:paraId="38FB34D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21</w:t>
            </w:r>
          </w:p>
        </w:tc>
        <w:tc>
          <w:tcPr>
            <w:tcW w:w="1316" w:type="dxa"/>
            <w:gridSpan w:val="2"/>
            <w:tcBorders>
              <w:top w:val="nil"/>
              <w:left w:val="nil"/>
              <w:bottom w:val="single" w:sz="8" w:space="0" w:color="auto"/>
              <w:right w:val="single" w:sz="8" w:space="0" w:color="auto"/>
            </w:tcBorders>
            <w:noWrap/>
            <w:vAlign w:val="bottom"/>
            <w:hideMark/>
          </w:tcPr>
          <w:p w14:paraId="1828053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21</w:t>
            </w:r>
          </w:p>
        </w:tc>
        <w:tc>
          <w:tcPr>
            <w:tcW w:w="1316" w:type="dxa"/>
            <w:gridSpan w:val="2"/>
            <w:tcBorders>
              <w:top w:val="nil"/>
              <w:left w:val="nil"/>
              <w:bottom w:val="single" w:sz="8" w:space="0" w:color="auto"/>
              <w:right w:val="single" w:sz="8" w:space="0" w:color="auto"/>
            </w:tcBorders>
            <w:noWrap/>
            <w:vAlign w:val="bottom"/>
            <w:hideMark/>
          </w:tcPr>
          <w:p w14:paraId="525BC26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21</w:t>
            </w:r>
          </w:p>
        </w:tc>
        <w:tc>
          <w:tcPr>
            <w:tcW w:w="1316" w:type="dxa"/>
            <w:gridSpan w:val="2"/>
            <w:tcBorders>
              <w:top w:val="nil"/>
              <w:left w:val="nil"/>
              <w:bottom w:val="single" w:sz="8" w:space="0" w:color="auto"/>
              <w:right w:val="single" w:sz="8" w:space="0" w:color="auto"/>
            </w:tcBorders>
            <w:noWrap/>
            <w:vAlign w:val="bottom"/>
            <w:hideMark/>
          </w:tcPr>
          <w:p w14:paraId="253EAE1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21</w:t>
            </w:r>
          </w:p>
        </w:tc>
      </w:tr>
      <w:tr w:rsidR="00EA0FD7" w:rsidRPr="00EA0FD7" w14:paraId="122B5515" w14:textId="77777777" w:rsidTr="00EA0FD7">
        <w:trPr>
          <w:trHeight w:val="360"/>
        </w:trPr>
        <w:tc>
          <w:tcPr>
            <w:tcW w:w="6456" w:type="dxa"/>
            <w:gridSpan w:val="9"/>
            <w:tcBorders>
              <w:top w:val="nil"/>
              <w:left w:val="nil"/>
              <w:bottom w:val="single" w:sz="8" w:space="0" w:color="auto"/>
              <w:right w:val="nil"/>
            </w:tcBorders>
            <w:noWrap/>
            <w:vAlign w:val="bottom"/>
            <w:hideMark/>
          </w:tcPr>
          <w:p w14:paraId="26BCEB09" w14:textId="7136AC72"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24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ОДЈЕЉЕЊЕ ЗА ЈАВНЕ ПОСЛОВЕ</w:t>
            </w:r>
          </w:p>
        </w:tc>
        <w:tc>
          <w:tcPr>
            <w:tcW w:w="1368" w:type="dxa"/>
            <w:gridSpan w:val="3"/>
            <w:noWrap/>
            <w:vAlign w:val="bottom"/>
          </w:tcPr>
          <w:p w14:paraId="3891776F"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3"/>
            <w:noWrap/>
            <w:vAlign w:val="bottom"/>
          </w:tcPr>
          <w:p w14:paraId="3F9FBBE2"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6DF7AFC8"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521F6DF6"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1ACA5C33"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603FBE3B"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0871D5FF"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2331853E" w14:textId="77777777" w:rsidTr="00EA0FD7">
        <w:trPr>
          <w:trHeight w:val="300"/>
        </w:trPr>
        <w:tc>
          <w:tcPr>
            <w:tcW w:w="1195" w:type="dxa"/>
            <w:vMerge w:val="restart"/>
            <w:tcBorders>
              <w:top w:val="nil"/>
              <w:left w:val="single" w:sz="8" w:space="0" w:color="auto"/>
              <w:bottom w:val="single" w:sz="8" w:space="0" w:color="000000"/>
              <w:right w:val="single" w:sz="8" w:space="0" w:color="auto"/>
            </w:tcBorders>
            <w:shd w:val="clear" w:color="auto" w:fill="808080"/>
            <w:vAlign w:val="center"/>
            <w:hideMark/>
          </w:tcPr>
          <w:p w14:paraId="236BB80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502" w:type="dxa"/>
            <w:gridSpan w:val="2"/>
            <w:vMerge w:val="restart"/>
            <w:tcBorders>
              <w:top w:val="nil"/>
              <w:left w:val="single" w:sz="8" w:space="0" w:color="auto"/>
              <w:bottom w:val="single" w:sz="8" w:space="0" w:color="000000"/>
              <w:right w:val="single" w:sz="8" w:space="0" w:color="auto"/>
            </w:tcBorders>
            <w:shd w:val="clear" w:color="auto" w:fill="808080"/>
            <w:vAlign w:val="center"/>
            <w:hideMark/>
          </w:tcPr>
          <w:p w14:paraId="767EF31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432" w:type="dxa"/>
            <w:gridSpan w:val="4"/>
            <w:vMerge w:val="restart"/>
            <w:tcBorders>
              <w:top w:val="nil"/>
              <w:left w:val="single" w:sz="8" w:space="0" w:color="auto"/>
              <w:bottom w:val="single" w:sz="8" w:space="0" w:color="000000"/>
              <w:right w:val="single" w:sz="8" w:space="0" w:color="auto"/>
            </w:tcBorders>
            <w:shd w:val="clear" w:color="auto" w:fill="808080"/>
            <w:vAlign w:val="center"/>
            <w:hideMark/>
          </w:tcPr>
          <w:p w14:paraId="7F41062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327" w:type="dxa"/>
            <w:gridSpan w:val="2"/>
            <w:vMerge w:val="restart"/>
            <w:tcBorders>
              <w:top w:val="nil"/>
              <w:left w:val="single" w:sz="8" w:space="0" w:color="auto"/>
              <w:bottom w:val="single" w:sz="8" w:space="0" w:color="000000"/>
              <w:right w:val="single" w:sz="8" w:space="0" w:color="auto"/>
            </w:tcBorders>
            <w:shd w:val="clear" w:color="auto" w:fill="808080"/>
            <w:vAlign w:val="center"/>
            <w:hideMark/>
          </w:tcPr>
          <w:p w14:paraId="7C95308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68" w:type="dxa"/>
            <w:gridSpan w:val="3"/>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02736D5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7"/>
            <w:tcBorders>
              <w:top w:val="single" w:sz="8" w:space="0" w:color="auto"/>
              <w:left w:val="nil"/>
              <w:bottom w:val="single" w:sz="8" w:space="0" w:color="auto"/>
              <w:right w:val="single" w:sz="8" w:space="0" w:color="000000"/>
            </w:tcBorders>
            <w:shd w:val="clear" w:color="auto" w:fill="808080"/>
            <w:noWrap/>
            <w:vAlign w:val="center"/>
            <w:hideMark/>
          </w:tcPr>
          <w:p w14:paraId="21370C7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6"/>
            <w:tcBorders>
              <w:top w:val="single" w:sz="8" w:space="0" w:color="auto"/>
              <w:left w:val="nil"/>
              <w:bottom w:val="single" w:sz="8" w:space="0" w:color="auto"/>
              <w:right w:val="single" w:sz="8" w:space="0" w:color="000000"/>
            </w:tcBorders>
            <w:shd w:val="clear" w:color="auto" w:fill="808080"/>
            <w:noWrap/>
            <w:vAlign w:val="center"/>
            <w:hideMark/>
          </w:tcPr>
          <w:p w14:paraId="57E5BA8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1EC939CA"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3DD157D7"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2"/>
            <w:vMerge/>
            <w:tcBorders>
              <w:top w:val="nil"/>
              <w:left w:val="single" w:sz="8" w:space="0" w:color="auto"/>
              <w:bottom w:val="single" w:sz="8" w:space="0" w:color="000000"/>
              <w:right w:val="single" w:sz="8" w:space="0" w:color="auto"/>
            </w:tcBorders>
            <w:vAlign w:val="center"/>
            <w:hideMark/>
          </w:tcPr>
          <w:p w14:paraId="2323B56A"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4"/>
            <w:vMerge/>
            <w:tcBorders>
              <w:top w:val="nil"/>
              <w:left w:val="single" w:sz="8" w:space="0" w:color="auto"/>
              <w:bottom w:val="single" w:sz="8" w:space="0" w:color="000000"/>
              <w:right w:val="single" w:sz="8" w:space="0" w:color="auto"/>
            </w:tcBorders>
            <w:vAlign w:val="center"/>
            <w:hideMark/>
          </w:tcPr>
          <w:p w14:paraId="2BF362F9"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2"/>
            <w:vMerge/>
            <w:tcBorders>
              <w:top w:val="nil"/>
              <w:left w:val="single" w:sz="8" w:space="0" w:color="auto"/>
              <w:bottom w:val="single" w:sz="8" w:space="0" w:color="000000"/>
              <w:right w:val="single" w:sz="8" w:space="0" w:color="auto"/>
            </w:tcBorders>
            <w:vAlign w:val="center"/>
            <w:hideMark/>
          </w:tcPr>
          <w:p w14:paraId="3328BE87"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3"/>
            <w:vMerge/>
            <w:tcBorders>
              <w:top w:val="single" w:sz="8" w:space="0" w:color="auto"/>
              <w:left w:val="single" w:sz="8" w:space="0" w:color="auto"/>
              <w:bottom w:val="single" w:sz="8" w:space="0" w:color="000000"/>
              <w:right w:val="single" w:sz="8" w:space="0" w:color="auto"/>
            </w:tcBorders>
            <w:vAlign w:val="center"/>
            <w:hideMark/>
          </w:tcPr>
          <w:p w14:paraId="3D22133D"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gridSpan w:val="3"/>
            <w:tcBorders>
              <w:top w:val="nil"/>
              <w:left w:val="nil"/>
              <w:bottom w:val="single" w:sz="8" w:space="0" w:color="auto"/>
              <w:right w:val="single" w:sz="4" w:space="0" w:color="auto"/>
            </w:tcBorders>
            <w:shd w:val="clear" w:color="auto" w:fill="808080"/>
            <w:noWrap/>
            <w:vAlign w:val="center"/>
            <w:hideMark/>
          </w:tcPr>
          <w:p w14:paraId="5F48EEF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0C04517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gridSpan w:val="2"/>
            <w:tcBorders>
              <w:top w:val="nil"/>
              <w:left w:val="nil"/>
              <w:bottom w:val="single" w:sz="8" w:space="0" w:color="auto"/>
              <w:right w:val="single" w:sz="8" w:space="0" w:color="auto"/>
            </w:tcBorders>
            <w:shd w:val="clear" w:color="auto" w:fill="808080"/>
            <w:noWrap/>
            <w:vAlign w:val="center"/>
            <w:hideMark/>
          </w:tcPr>
          <w:p w14:paraId="1CB65D5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1B275F9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508A27C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gridSpan w:val="2"/>
            <w:tcBorders>
              <w:top w:val="nil"/>
              <w:left w:val="nil"/>
              <w:bottom w:val="single" w:sz="8" w:space="0" w:color="auto"/>
              <w:right w:val="single" w:sz="8" w:space="0" w:color="auto"/>
            </w:tcBorders>
            <w:shd w:val="clear" w:color="auto" w:fill="808080"/>
            <w:noWrap/>
            <w:vAlign w:val="center"/>
            <w:hideMark/>
          </w:tcPr>
          <w:p w14:paraId="5F24B88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2BE928E3" w14:textId="77777777" w:rsidTr="00EA0FD7">
        <w:trPr>
          <w:trHeight w:val="240"/>
        </w:trPr>
        <w:tc>
          <w:tcPr>
            <w:tcW w:w="1195" w:type="dxa"/>
            <w:tcBorders>
              <w:top w:val="nil"/>
              <w:left w:val="single" w:sz="8" w:space="0" w:color="auto"/>
              <w:bottom w:val="single" w:sz="4" w:space="0" w:color="auto"/>
              <w:right w:val="single" w:sz="4" w:space="0" w:color="auto"/>
            </w:tcBorders>
            <w:noWrap/>
            <w:vAlign w:val="bottom"/>
            <w:hideMark/>
          </w:tcPr>
          <w:p w14:paraId="28BACD2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02" w:type="dxa"/>
            <w:gridSpan w:val="2"/>
            <w:tcBorders>
              <w:top w:val="nil"/>
              <w:left w:val="nil"/>
              <w:bottom w:val="single" w:sz="4" w:space="0" w:color="auto"/>
              <w:right w:val="single" w:sz="4" w:space="0" w:color="auto"/>
            </w:tcBorders>
            <w:noWrap/>
            <w:vAlign w:val="bottom"/>
            <w:hideMark/>
          </w:tcPr>
          <w:p w14:paraId="215E2C8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432" w:type="dxa"/>
            <w:gridSpan w:val="4"/>
            <w:tcBorders>
              <w:top w:val="nil"/>
              <w:left w:val="nil"/>
              <w:bottom w:val="single" w:sz="4" w:space="0" w:color="auto"/>
              <w:right w:val="single" w:sz="4" w:space="0" w:color="auto"/>
            </w:tcBorders>
            <w:noWrap/>
            <w:vAlign w:val="bottom"/>
            <w:hideMark/>
          </w:tcPr>
          <w:p w14:paraId="34DF60E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27" w:type="dxa"/>
            <w:gridSpan w:val="2"/>
            <w:tcBorders>
              <w:top w:val="nil"/>
              <w:left w:val="nil"/>
              <w:bottom w:val="single" w:sz="4" w:space="0" w:color="auto"/>
              <w:right w:val="single" w:sz="4" w:space="0" w:color="auto"/>
            </w:tcBorders>
            <w:noWrap/>
            <w:vAlign w:val="bottom"/>
            <w:hideMark/>
          </w:tcPr>
          <w:p w14:paraId="789575A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68" w:type="dxa"/>
            <w:gridSpan w:val="3"/>
            <w:tcBorders>
              <w:top w:val="nil"/>
              <w:left w:val="nil"/>
              <w:bottom w:val="single" w:sz="4" w:space="0" w:color="auto"/>
              <w:right w:val="single" w:sz="4" w:space="0" w:color="auto"/>
            </w:tcBorders>
            <w:noWrap/>
            <w:vAlign w:val="bottom"/>
            <w:hideMark/>
          </w:tcPr>
          <w:p w14:paraId="18CF6B8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3"/>
            <w:tcBorders>
              <w:top w:val="nil"/>
              <w:left w:val="nil"/>
              <w:bottom w:val="single" w:sz="4" w:space="0" w:color="auto"/>
              <w:right w:val="single" w:sz="4" w:space="0" w:color="auto"/>
            </w:tcBorders>
            <w:noWrap/>
            <w:vAlign w:val="bottom"/>
            <w:hideMark/>
          </w:tcPr>
          <w:p w14:paraId="685DB8A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6E81632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74C6183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6E9B438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557B6F2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8" w:space="0" w:color="auto"/>
            </w:tcBorders>
            <w:noWrap/>
            <w:vAlign w:val="bottom"/>
            <w:hideMark/>
          </w:tcPr>
          <w:p w14:paraId="7B634F6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44299543" w14:textId="77777777" w:rsidTr="00EA0FD7">
        <w:trPr>
          <w:trHeight w:val="480"/>
        </w:trPr>
        <w:tc>
          <w:tcPr>
            <w:tcW w:w="1195" w:type="dxa"/>
            <w:tcBorders>
              <w:top w:val="nil"/>
              <w:left w:val="single" w:sz="8" w:space="0" w:color="auto"/>
              <w:bottom w:val="single" w:sz="4" w:space="0" w:color="auto"/>
              <w:right w:val="single" w:sz="4" w:space="0" w:color="auto"/>
            </w:tcBorders>
            <w:vAlign w:val="bottom"/>
            <w:hideMark/>
          </w:tcPr>
          <w:p w14:paraId="2AD24EA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502" w:type="dxa"/>
            <w:gridSpan w:val="2"/>
            <w:tcBorders>
              <w:top w:val="nil"/>
              <w:left w:val="nil"/>
              <w:bottom w:val="single" w:sz="4" w:space="0" w:color="auto"/>
              <w:right w:val="single" w:sz="4" w:space="0" w:color="auto"/>
            </w:tcBorders>
            <w:vAlign w:val="bottom"/>
            <w:hideMark/>
          </w:tcPr>
          <w:p w14:paraId="611F38E0"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432" w:type="dxa"/>
            <w:gridSpan w:val="4"/>
            <w:tcBorders>
              <w:top w:val="nil"/>
              <w:left w:val="nil"/>
              <w:bottom w:val="single" w:sz="4" w:space="0" w:color="auto"/>
              <w:right w:val="single" w:sz="4" w:space="0" w:color="auto"/>
            </w:tcBorders>
            <w:noWrap/>
            <w:vAlign w:val="bottom"/>
            <w:hideMark/>
          </w:tcPr>
          <w:p w14:paraId="05D5C0A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1,361,668.85</w:t>
            </w:r>
          </w:p>
        </w:tc>
        <w:tc>
          <w:tcPr>
            <w:tcW w:w="1327" w:type="dxa"/>
            <w:gridSpan w:val="2"/>
            <w:tcBorders>
              <w:top w:val="nil"/>
              <w:left w:val="nil"/>
              <w:bottom w:val="single" w:sz="4" w:space="0" w:color="auto"/>
              <w:right w:val="single" w:sz="4" w:space="0" w:color="auto"/>
            </w:tcBorders>
            <w:noWrap/>
            <w:vAlign w:val="bottom"/>
            <w:hideMark/>
          </w:tcPr>
          <w:p w14:paraId="744D2B0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1,343,245.70</w:t>
            </w:r>
          </w:p>
        </w:tc>
        <w:tc>
          <w:tcPr>
            <w:tcW w:w="1368" w:type="dxa"/>
            <w:gridSpan w:val="3"/>
            <w:tcBorders>
              <w:top w:val="nil"/>
              <w:left w:val="nil"/>
              <w:bottom w:val="single" w:sz="4" w:space="0" w:color="auto"/>
              <w:right w:val="single" w:sz="4" w:space="0" w:color="auto"/>
            </w:tcBorders>
            <w:noWrap/>
            <w:vAlign w:val="bottom"/>
            <w:hideMark/>
          </w:tcPr>
          <w:p w14:paraId="4F795DC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1,446,898.80</w:t>
            </w:r>
          </w:p>
        </w:tc>
        <w:tc>
          <w:tcPr>
            <w:tcW w:w="1316" w:type="dxa"/>
            <w:gridSpan w:val="3"/>
            <w:tcBorders>
              <w:top w:val="nil"/>
              <w:left w:val="nil"/>
              <w:bottom w:val="single" w:sz="4" w:space="0" w:color="auto"/>
              <w:right w:val="single" w:sz="4" w:space="0" w:color="auto"/>
            </w:tcBorders>
            <w:noWrap/>
            <w:vAlign w:val="bottom"/>
            <w:hideMark/>
          </w:tcPr>
          <w:p w14:paraId="7E0F5CD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1,508,820</w:t>
            </w:r>
          </w:p>
        </w:tc>
        <w:tc>
          <w:tcPr>
            <w:tcW w:w="1316" w:type="dxa"/>
            <w:gridSpan w:val="2"/>
            <w:tcBorders>
              <w:top w:val="nil"/>
              <w:left w:val="nil"/>
              <w:bottom w:val="single" w:sz="4" w:space="0" w:color="auto"/>
              <w:right w:val="single" w:sz="4" w:space="0" w:color="auto"/>
            </w:tcBorders>
            <w:noWrap/>
            <w:vAlign w:val="bottom"/>
            <w:hideMark/>
          </w:tcPr>
          <w:p w14:paraId="2E6A14E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1,503,407</w:t>
            </w:r>
          </w:p>
        </w:tc>
        <w:tc>
          <w:tcPr>
            <w:tcW w:w="1316" w:type="dxa"/>
            <w:gridSpan w:val="2"/>
            <w:tcBorders>
              <w:top w:val="nil"/>
              <w:left w:val="nil"/>
              <w:bottom w:val="single" w:sz="4" w:space="0" w:color="auto"/>
              <w:right w:val="single" w:sz="4" w:space="0" w:color="auto"/>
            </w:tcBorders>
            <w:noWrap/>
            <w:vAlign w:val="bottom"/>
            <w:hideMark/>
          </w:tcPr>
          <w:p w14:paraId="36B19A2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1,507,614</w:t>
            </w:r>
          </w:p>
        </w:tc>
        <w:tc>
          <w:tcPr>
            <w:tcW w:w="1316" w:type="dxa"/>
            <w:gridSpan w:val="2"/>
            <w:tcBorders>
              <w:top w:val="nil"/>
              <w:left w:val="nil"/>
              <w:bottom w:val="single" w:sz="4" w:space="0" w:color="auto"/>
              <w:right w:val="single" w:sz="4" w:space="0" w:color="auto"/>
            </w:tcBorders>
            <w:noWrap/>
            <w:vAlign w:val="bottom"/>
            <w:hideMark/>
          </w:tcPr>
          <w:p w14:paraId="5673534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1,508,820</w:t>
            </w:r>
          </w:p>
        </w:tc>
        <w:tc>
          <w:tcPr>
            <w:tcW w:w="1316" w:type="dxa"/>
            <w:gridSpan w:val="2"/>
            <w:tcBorders>
              <w:top w:val="nil"/>
              <w:left w:val="nil"/>
              <w:bottom w:val="single" w:sz="4" w:space="0" w:color="auto"/>
              <w:right w:val="single" w:sz="4" w:space="0" w:color="auto"/>
            </w:tcBorders>
            <w:noWrap/>
            <w:vAlign w:val="bottom"/>
            <w:hideMark/>
          </w:tcPr>
          <w:p w14:paraId="214FDDA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1,503,407</w:t>
            </w:r>
          </w:p>
        </w:tc>
        <w:tc>
          <w:tcPr>
            <w:tcW w:w="1316" w:type="dxa"/>
            <w:gridSpan w:val="2"/>
            <w:tcBorders>
              <w:top w:val="nil"/>
              <w:left w:val="nil"/>
              <w:bottom w:val="single" w:sz="4" w:space="0" w:color="auto"/>
              <w:right w:val="single" w:sz="4" w:space="0" w:color="auto"/>
            </w:tcBorders>
            <w:noWrap/>
            <w:vAlign w:val="bottom"/>
            <w:hideMark/>
          </w:tcPr>
          <w:p w14:paraId="0FF8503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1,507,614</w:t>
            </w:r>
          </w:p>
        </w:tc>
      </w:tr>
      <w:tr w:rsidR="00EA0FD7" w:rsidRPr="00EA0FD7" w14:paraId="123AF48F" w14:textId="77777777" w:rsidTr="00EA0FD7">
        <w:trPr>
          <w:trHeight w:val="240"/>
        </w:trPr>
        <w:tc>
          <w:tcPr>
            <w:tcW w:w="1195" w:type="dxa"/>
            <w:tcBorders>
              <w:top w:val="nil"/>
              <w:left w:val="single" w:sz="8" w:space="0" w:color="auto"/>
              <w:bottom w:val="single" w:sz="4" w:space="0" w:color="auto"/>
              <w:right w:val="single" w:sz="4" w:space="0" w:color="auto"/>
            </w:tcBorders>
            <w:noWrap/>
            <w:vAlign w:val="bottom"/>
            <w:hideMark/>
          </w:tcPr>
          <w:p w14:paraId="0A4FF1E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611200</w:t>
            </w:r>
          </w:p>
        </w:tc>
        <w:tc>
          <w:tcPr>
            <w:tcW w:w="2502" w:type="dxa"/>
            <w:gridSpan w:val="2"/>
            <w:tcBorders>
              <w:top w:val="nil"/>
              <w:left w:val="nil"/>
              <w:bottom w:val="single" w:sz="4" w:space="0" w:color="auto"/>
              <w:right w:val="single" w:sz="4" w:space="0" w:color="auto"/>
            </w:tcBorders>
            <w:vAlign w:val="bottom"/>
            <w:hideMark/>
          </w:tcPr>
          <w:p w14:paraId="3800C89F"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432" w:type="dxa"/>
            <w:gridSpan w:val="4"/>
            <w:tcBorders>
              <w:top w:val="nil"/>
              <w:left w:val="nil"/>
              <w:bottom w:val="single" w:sz="4" w:space="0" w:color="auto"/>
              <w:right w:val="single" w:sz="4" w:space="0" w:color="auto"/>
            </w:tcBorders>
            <w:noWrap/>
            <w:vAlign w:val="bottom"/>
            <w:hideMark/>
          </w:tcPr>
          <w:p w14:paraId="111D461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40,370.00</w:t>
            </w:r>
          </w:p>
        </w:tc>
        <w:tc>
          <w:tcPr>
            <w:tcW w:w="1327" w:type="dxa"/>
            <w:gridSpan w:val="2"/>
            <w:tcBorders>
              <w:top w:val="nil"/>
              <w:left w:val="nil"/>
              <w:bottom w:val="single" w:sz="4" w:space="0" w:color="auto"/>
              <w:right w:val="single" w:sz="4" w:space="0" w:color="auto"/>
            </w:tcBorders>
            <w:noWrap/>
            <w:vAlign w:val="bottom"/>
            <w:hideMark/>
          </w:tcPr>
          <w:p w14:paraId="2B16C16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26,946.83</w:t>
            </w:r>
          </w:p>
        </w:tc>
        <w:tc>
          <w:tcPr>
            <w:tcW w:w="1368" w:type="dxa"/>
            <w:gridSpan w:val="3"/>
            <w:tcBorders>
              <w:top w:val="nil"/>
              <w:left w:val="nil"/>
              <w:bottom w:val="single" w:sz="4" w:space="0" w:color="auto"/>
              <w:right w:val="single" w:sz="4" w:space="0" w:color="auto"/>
            </w:tcBorders>
            <w:noWrap/>
            <w:vAlign w:val="bottom"/>
            <w:hideMark/>
          </w:tcPr>
          <w:p w14:paraId="2305D56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128,970.00</w:t>
            </w:r>
          </w:p>
        </w:tc>
        <w:tc>
          <w:tcPr>
            <w:tcW w:w="1316" w:type="dxa"/>
            <w:gridSpan w:val="3"/>
            <w:tcBorders>
              <w:top w:val="nil"/>
              <w:left w:val="nil"/>
              <w:bottom w:val="single" w:sz="4" w:space="0" w:color="auto"/>
              <w:right w:val="single" w:sz="4" w:space="0" w:color="auto"/>
            </w:tcBorders>
            <w:noWrap/>
            <w:vAlign w:val="bottom"/>
            <w:hideMark/>
          </w:tcPr>
          <w:p w14:paraId="31D95DA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131,982</w:t>
            </w:r>
          </w:p>
        </w:tc>
        <w:tc>
          <w:tcPr>
            <w:tcW w:w="1316" w:type="dxa"/>
            <w:gridSpan w:val="2"/>
            <w:tcBorders>
              <w:top w:val="nil"/>
              <w:left w:val="nil"/>
              <w:bottom w:val="single" w:sz="4" w:space="0" w:color="auto"/>
              <w:right w:val="single" w:sz="4" w:space="0" w:color="auto"/>
            </w:tcBorders>
            <w:noWrap/>
            <w:vAlign w:val="bottom"/>
            <w:hideMark/>
          </w:tcPr>
          <w:p w14:paraId="7AEA020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124,480</w:t>
            </w:r>
          </w:p>
        </w:tc>
        <w:tc>
          <w:tcPr>
            <w:tcW w:w="1316" w:type="dxa"/>
            <w:gridSpan w:val="2"/>
            <w:tcBorders>
              <w:top w:val="nil"/>
              <w:left w:val="nil"/>
              <w:bottom w:val="single" w:sz="4" w:space="0" w:color="auto"/>
              <w:right w:val="single" w:sz="4" w:space="0" w:color="auto"/>
            </w:tcBorders>
            <w:noWrap/>
            <w:vAlign w:val="bottom"/>
            <w:hideMark/>
          </w:tcPr>
          <w:p w14:paraId="7E5D32F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124,480</w:t>
            </w:r>
          </w:p>
        </w:tc>
        <w:tc>
          <w:tcPr>
            <w:tcW w:w="1316" w:type="dxa"/>
            <w:gridSpan w:val="2"/>
            <w:tcBorders>
              <w:top w:val="nil"/>
              <w:left w:val="nil"/>
              <w:bottom w:val="single" w:sz="4" w:space="0" w:color="auto"/>
              <w:right w:val="single" w:sz="4" w:space="0" w:color="auto"/>
            </w:tcBorders>
            <w:noWrap/>
            <w:vAlign w:val="bottom"/>
            <w:hideMark/>
          </w:tcPr>
          <w:p w14:paraId="5878246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131,982</w:t>
            </w:r>
          </w:p>
        </w:tc>
        <w:tc>
          <w:tcPr>
            <w:tcW w:w="1316" w:type="dxa"/>
            <w:gridSpan w:val="2"/>
            <w:tcBorders>
              <w:top w:val="nil"/>
              <w:left w:val="nil"/>
              <w:bottom w:val="single" w:sz="4" w:space="0" w:color="auto"/>
              <w:right w:val="single" w:sz="4" w:space="0" w:color="auto"/>
            </w:tcBorders>
            <w:noWrap/>
            <w:vAlign w:val="bottom"/>
            <w:hideMark/>
          </w:tcPr>
          <w:p w14:paraId="1418C5E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124,480</w:t>
            </w:r>
          </w:p>
        </w:tc>
        <w:tc>
          <w:tcPr>
            <w:tcW w:w="1316" w:type="dxa"/>
            <w:gridSpan w:val="2"/>
            <w:tcBorders>
              <w:top w:val="nil"/>
              <w:left w:val="nil"/>
              <w:bottom w:val="single" w:sz="4" w:space="0" w:color="auto"/>
              <w:right w:val="single" w:sz="4" w:space="0" w:color="auto"/>
            </w:tcBorders>
            <w:noWrap/>
            <w:vAlign w:val="bottom"/>
            <w:hideMark/>
          </w:tcPr>
          <w:p w14:paraId="156D03E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124,480</w:t>
            </w:r>
          </w:p>
        </w:tc>
      </w:tr>
      <w:tr w:rsidR="00EA0FD7" w:rsidRPr="00EA0FD7" w14:paraId="090545AC" w14:textId="77777777" w:rsidTr="00EA0FD7">
        <w:trPr>
          <w:trHeight w:val="480"/>
        </w:trPr>
        <w:tc>
          <w:tcPr>
            <w:tcW w:w="1195" w:type="dxa"/>
            <w:tcBorders>
              <w:top w:val="nil"/>
              <w:left w:val="single" w:sz="8" w:space="0" w:color="auto"/>
              <w:bottom w:val="single" w:sz="4" w:space="0" w:color="auto"/>
              <w:right w:val="single" w:sz="4" w:space="0" w:color="auto"/>
            </w:tcBorders>
            <w:noWrap/>
            <w:vAlign w:val="bottom"/>
            <w:hideMark/>
          </w:tcPr>
          <w:p w14:paraId="7AC4C44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502" w:type="dxa"/>
            <w:gridSpan w:val="2"/>
            <w:tcBorders>
              <w:top w:val="nil"/>
              <w:left w:val="nil"/>
              <w:bottom w:val="single" w:sz="4" w:space="0" w:color="auto"/>
              <w:right w:val="single" w:sz="4" w:space="0" w:color="auto"/>
            </w:tcBorders>
            <w:vAlign w:val="bottom"/>
            <w:hideMark/>
          </w:tcPr>
          <w:p w14:paraId="69AB9A35"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432" w:type="dxa"/>
            <w:gridSpan w:val="4"/>
            <w:tcBorders>
              <w:top w:val="nil"/>
              <w:left w:val="nil"/>
              <w:bottom w:val="single" w:sz="4" w:space="0" w:color="auto"/>
              <w:right w:val="single" w:sz="4" w:space="0" w:color="auto"/>
            </w:tcBorders>
            <w:noWrap/>
            <w:vAlign w:val="bottom"/>
            <w:hideMark/>
          </w:tcPr>
          <w:p w14:paraId="7747D42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1,253,020.00</w:t>
            </w:r>
          </w:p>
        </w:tc>
        <w:tc>
          <w:tcPr>
            <w:tcW w:w="1327" w:type="dxa"/>
            <w:gridSpan w:val="2"/>
            <w:tcBorders>
              <w:top w:val="nil"/>
              <w:left w:val="nil"/>
              <w:bottom w:val="single" w:sz="4" w:space="0" w:color="auto"/>
              <w:right w:val="single" w:sz="4" w:space="0" w:color="auto"/>
            </w:tcBorders>
            <w:noWrap/>
            <w:vAlign w:val="bottom"/>
            <w:hideMark/>
          </w:tcPr>
          <w:p w14:paraId="19A36B9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1,159,947.97</w:t>
            </w:r>
          </w:p>
        </w:tc>
        <w:tc>
          <w:tcPr>
            <w:tcW w:w="1368" w:type="dxa"/>
            <w:gridSpan w:val="3"/>
            <w:tcBorders>
              <w:top w:val="nil"/>
              <w:left w:val="nil"/>
              <w:bottom w:val="single" w:sz="4" w:space="0" w:color="auto"/>
              <w:right w:val="single" w:sz="4" w:space="0" w:color="auto"/>
            </w:tcBorders>
            <w:noWrap/>
            <w:vAlign w:val="bottom"/>
            <w:hideMark/>
          </w:tcPr>
          <w:p w14:paraId="2D62233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1,289,010.00</w:t>
            </w:r>
          </w:p>
        </w:tc>
        <w:tc>
          <w:tcPr>
            <w:tcW w:w="1316" w:type="dxa"/>
            <w:gridSpan w:val="3"/>
            <w:tcBorders>
              <w:top w:val="nil"/>
              <w:left w:val="nil"/>
              <w:bottom w:val="single" w:sz="4" w:space="0" w:color="auto"/>
              <w:right w:val="single" w:sz="4" w:space="0" w:color="auto"/>
            </w:tcBorders>
            <w:noWrap/>
            <w:vAlign w:val="bottom"/>
            <w:hideMark/>
          </w:tcPr>
          <w:p w14:paraId="28ECEB4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1,263,948</w:t>
            </w:r>
          </w:p>
        </w:tc>
        <w:tc>
          <w:tcPr>
            <w:tcW w:w="1316" w:type="dxa"/>
            <w:gridSpan w:val="2"/>
            <w:tcBorders>
              <w:top w:val="nil"/>
              <w:left w:val="nil"/>
              <w:bottom w:val="single" w:sz="4" w:space="0" w:color="auto"/>
              <w:right w:val="single" w:sz="4" w:space="0" w:color="auto"/>
            </w:tcBorders>
            <w:noWrap/>
            <w:vAlign w:val="bottom"/>
            <w:hideMark/>
          </w:tcPr>
          <w:p w14:paraId="240A48B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1,263,948</w:t>
            </w:r>
          </w:p>
        </w:tc>
        <w:tc>
          <w:tcPr>
            <w:tcW w:w="1316" w:type="dxa"/>
            <w:gridSpan w:val="2"/>
            <w:tcBorders>
              <w:top w:val="nil"/>
              <w:left w:val="nil"/>
              <w:bottom w:val="single" w:sz="4" w:space="0" w:color="auto"/>
              <w:right w:val="single" w:sz="4" w:space="0" w:color="auto"/>
            </w:tcBorders>
            <w:noWrap/>
            <w:vAlign w:val="bottom"/>
            <w:hideMark/>
          </w:tcPr>
          <w:p w14:paraId="3994C3D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1,263,948</w:t>
            </w:r>
          </w:p>
        </w:tc>
        <w:tc>
          <w:tcPr>
            <w:tcW w:w="1316" w:type="dxa"/>
            <w:gridSpan w:val="2"/>
            <w:tcBorders>
              <w:top w:val="nil"/>
              <w:left w:val="nil"/>
              <w:bottom w:val="single" w:sz="4" w:space="0" w:color="auto"/>
              <w:right w:val="single" w:sz="4" w:space="0" w:color="auto"/>
            </w:tcBorders>
            <w:noWrap/>
            <w:vAlign w:val="bottom"/>
            <w:hideMark/>
          </w:tcPr>
          <w:p w14:paraId="1B28DDE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1,263,948</w:t>
            </w:r>
          </w:p>
        </w:tc>
        <w:tc>
          <w:tcPr>
            <w:tcW w:w="1316" w:type="dxa"/>
            <w:gridSpan w:val="2"/>
            <w:tcBorders>
              <w:top w:val="nil"/>
              <w:left w:val="nil"/>
              <w:bottom w:val="single" w:sz="4" w:space="0" w:color="auto"/>
              <w:right w:val="single" w:sz="4" w:space="0" w:color="auto"/>
            </w:tcBorders>
            <w:noWrap/>
            <w:vAlign w:val="bottom"/>
            <w:hideMark/>
          </w:tcPr>
          <w:p w14:paraId="09D5AA8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1,263,948</w:t>
            </w:r>
          </w:p>
        </w:tc>
        <w:tc>
          <w:tcPr>
            <w:tcW w:w="1316" w:type="dxa"/>
            <w:gridSpan w:val="2"/>
            <w:tcBorders>
              <w:top w:val="nil"/>
              <w:left w:val="nil"/>
              <w:bottom w:val="single" w:sz="4" w:space="0" w:color="auto"/>
              <w:right w:val="single" w:sz="4" w:space="0" w:color="auto"/>
            </w:tcBorders>
            <w:noWrap/>
            <w:vAlign w:val="bottom"/>
            <w:hideMark/>
          </w:tcPr>
          <w:p w14:paraId="64FAEA8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1,263,948</w:t>
            </w:r>
          </w:p>
        </w:tc>
      </w:tr>
      <w:tr w:rsidR="00EA0FD7" w:rsidRPr="00EA0FD7" w14:paraId="7091B19C" w14:textId="77777777" w:rsidTr="00EA0FD7">
        <w:trPr>
          <w:trHeight w:val="480"/>
        </w:trPr>
        <w:tc>
          <w:tcPr>
            <w:tcW w:w="1195" w:type="dxa"/>
            <w:tcBorders>
              <w:top w:val="nil"/>
              <w:left w:val="single" w:sz="8" w:space="0" w:color="auto"/>
              <w:bottom w:val="single" w:sz="4" w:space="0" w:color="auto"/>
              <w:right w:val="single" w:sz="4" w:space="0" w:color="auto"/>
            </w:tcBorders>
            <w:vAlign w:val="bottom"/>
            <w:hideMark/>
          </w:tcPr>
          <w:p w14:paraId="2A4E832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614000</w:t>
            </w:r>
          </w:p>
        </w:tc>
        <w:tc>
          <w:tcPr>
            <w:tcW w:w="2502" w:type="dxa"/>
            <w:gridSpan w:val="2"/>
            <w:tcBorders>
              <w:top w:val="nil"/>
              <w:left w:val="nil"/>
              <w:bottom w:val="single" w:sz="4" w:space="0" w:color="auto"/>
              <w:right w:val="single" w:sz="4" w:space="0" w:color="auto"/>
            </w:tcBorders>
            <w:vAlign w:val="bottom"/>
            <w:hideMark/>
          </w:tcPr>
          <w:p w14:paraId="210ADE7E"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432" w:type="dxa"/>
            <w:gridSpan w:val="4"/>
            <w:tcBorders>
              <w:top w:val="nil"/>
              <w:left w:val="nil"/>
              <w:bottom w:val="single" w:sz="4" w:space="0" w:color="auto"/>
              <w:right w:val="single" w:sz="4" w:space="0" w:color="auto"/>
            </w:tcBorders>
            <w:noWrap/>
            <w:vAlign w:val="bottom"/>
            <w:hideMark/>
          </w:tcPr>
          <w:p w14:paraId="3906416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27" w:type="dxa"/>
            <w:gridSpan w:val="2"/>
            <w:tcBorders>
              <w:top w:val="nil"/>
              <w:left w:val="nil"/>
              <w:bottom w:val="single" w:sz="4" w:space="0" w:color="auto"/>
              <w:right w:val="single" w:sz="4" w:space="0" w:color="auto"/>
            </w:tcBorders>
            <w:noWrap/>
            <w:vAlign w:val="bottom"/>
            <w:hideMark/>
          </w:tcPr>
          <w:p w14:paraId="40078D5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68" w:type="dxa"/>
            <w:gridSpan w:val="3"/>
            <w:tcBorders>
              <w:top w:val="nil"/>
              <w:left w:val="nil"/>
              <w:bottom w:val="single" w:sz="4" w:space="0" w:color="auto"/>
              <w:right w:val="single" w:sz="4" w:space="0" w:color="auto"/>
            </w:tcBorders>
            <w:noWrap/>
            <w:vAlign w:val="bottom"/>
            <w:hideMark/>
          </w:tcPr>
          <w:p w14:paraId="7CC53D2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gridSpan w:val="3"/>
            <w:tcBorders>
              <w:top w:val="nil"/>
              <w:left w:val="nil"/>
              <w:bottom w:val="single" w:sz="4" w:space="0" w:color="auto"/>
              <w:right w:val="single" w:sz="4" w:space="0" w:color="auto"/>
            </w:tcBorders>
            <w:noWrap/>
            <w:vAlign w:val="bottom"/>
            <w:hideMark/>
          </w:tcPr>
          <w:p w14:paraId="35C8147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57C66A5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71EAFD5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5F0531F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6559CDD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413A31B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3B514600" w14:textId="77777777" w:rsidTr="00EA0FD7">
        <w:trPr>
          <w:trHeight w:val="240"/>
        </w:trPr>
        <w:tc>
          <w:tcPr>
            <w:tcW w:w="1195" w:type="dxa"/>
            <w:tcBorders>
              <w:top w:val="nil"/>
              <w:left w:val="single" w:sz="8" w:space="0" w:color="auto"/>
              <w:bottom w:val="nil"/>
              <w:right w:val="single" w:sz="4" w:space="0" w:color="auto"/>
            </w:tcBorders>
            <w:vAlign w:val="bottom"/>
            <w:hideMark/>
          </w:tcPr>
          <w:p w14:paraId="2057AB1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615000</w:t>
            </w:r>
          </w:p>
        </w:tc>
        <w:tc>
          <w:tcPr>
            <w:tcW w:w="2502" w:type="dxa"/>
            <w:gridSpan w:val="2"/>
            <w:tcBorders>
              <w:top w:val="nil"/>
              <w:left w:val="nil"/>
              <w:bottom w:val="nil"/>
              <w:right w:val="single" w:sz="4" w:space="0" w:color="auto"/>
            </w:tcBorders>
            <w:vAlign w:val="bottom"/>
            <w:hideMark/>
          </w:tcPr>
          <w:p w14:paraId="5E4BE0FB"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432" w:type="dxa"/>
            <w:gridSpan w:val="4"/>
            <w:tcBorders>
              <w:top w:val="nil"/>
              <w:left w:val="nil"/>
              <w:bottom w:val="nil"/>
              <w:right w:val="single" w:sz="4" w:space="0" w:color="auto"/>
            </w:tcBorders>
            <w:noWrap/>
            <w:vAlign w:val="bottom"/>
            <w:hideMark/>
          </w:tcPr>
          <w:p w14:paraId="2002E38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27" w:type="dxa"/>
            <w:gridSpan w:val="2"/>
            <w:tcBorders>
              <w:top w:val="nil"/>
              <w:left w:val="nil"/>
              <w:bottom w:val="nil"/>
              <w:right w:val="single" w:sz="4" w:space="0" w:color="auto"/>
            </w:tcBorders>
            <w:noWrap/>
            <w:vAlign w:val="bottom"/>
            <w:hideMark/>
          </w:tcPr>
          <w:p w14:paraId="29DFDD4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68" w:type="dxa"/>
            <w:gridSpan w:val="3"/>
            <w:tcBorders>
              <w:top w:val="nil"/>
              <w:left w:val="nil"/>
              <w:bottom w:val="nil"/>
              <w:right w:val="single" w:sz="4" w:space="0" w:color="auto"/>
            </w:tcBorders>
            <w:noWrap/>
            <w:vAlign w:val="bottom"/>
            <w:hideMark/>
          </w:tcPr>
          <w:p w14:paraId="0C37E25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gridSpan w:val="3"/>
            <w:tcBorders>
              <w:top w:val="nil"/>
              <w:left w:val="nil"/>
              <w:bottom w:val="nil"/>
              <w:right w:val="single" w:sz="4" w:space="0" w:color="auto"/>
            </w:tcBorders>
            <w:noWrap/>
            <w:vAlign w:val="bottom"/>
            <w:hideMark/>
          </w:tcPr>
          <w:p w14:paraId="56F2709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nil"/>
              <w:right w:val="single" w:sz="4" w:space="0" w:color="auto"/>
            </w:tcBorders>
            <w:noWrap/>
            <w:vAlign w:val="bottom"/>
            <w:hideMark/>
          </w:tcPr>
          <w:p w14:paraId="2DD5C33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nil"/>
              <w:right w:val="single" w:sz="4" w:space="0" w:color="auto"/>
            </w:tcBorders>
            <w:noWrap/>
            <w:vAlign w:val="bottom"/>
            <w:hideMark/>
          </w:tcPr>
          <w:p w14:paraId="7CAF12E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nil"/>
              <w:right w:val="single" w:sz="4" w:space="0" w:color="auto"/>
            </w:tcBorders>
            <w:noWrap/>
            <w:vAlign w:val="bottom"/>
            <w:hideMark/>
          </w:tcPr>
          <w:p w14:paraId="637641A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nil"/>
              <w:right w:val="single" w:sz="4" w:space="0" w:color="auto"/>
            </w:tcBorders>
            <w:noWrap/>
            <w:vAlign w:val="bottom"/>
            <w:hideMark/>
          </w:tcPr>
          <w:p w14:paraId="4AC0790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nil"/>
              <w:right w:val="single" w:sz="4" w:space="0" w:color="auto"/>
            </w:tcBorders>
            <w:noWrap/>
            <w:vAlign w:val="bottom"/>
            <w:hideMark/>
          </w:tcPr>
          <w:p w14:paraId="54F0F76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52B2500E" w14:textId="77777777" w:rsidTr="00EA0FD7">
        <w:trPr>
          <w:trHeight w:val="480"/>
        </w:trPr>
        <w:tc>
          <w:tcPr>
            <w:tcW w:w="1195" w:type="dxa"/>
            <w:tcBorders>
              <w:top w:val="single" w:sz="4" w:space="0" w:color="auto"/>
              <w:left w:val="single" w:sz="8" w:space="0" w:color="auto"/>
              <w:bottom w:val="nil"/>
              <w:right w:val="single" w:sz="4" w:space="0" w:color="auto"/>
            </w:tcBorders>
            <w:noWrap/>
            <w:vAlign w:val="bottom"/>
            <w:hideMark/>
          </w:tcPr>
          <w:p w14:paraId="37F73E5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821000</w:t>
            </w:r>
          </w:p>
        </w:tc>
        <w:tc>
          <w:tcPr>
            <w:tcW w:w="2502" w:type="dxa"/>
            <w:gridSpan w:val="2"/>
            <w:tcBorders>
              <w:top w:val="single" w:sz="4" w:space="0" w:color="auto"/>
              <w:left w:val="nil"/>
              <w:bottom w:val="nil"/>
              <w:right w:val="single" w:sz="4" w:space="0" w:color="auto"/>
            </w:tcBorders>
            <w:vAlign w:val="bottom"/>
            <w:hideMark/>
          </w:tcPr>
          <w:p w14:paraId="231EC534"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432" w:type="dxa"/>
            <w:gridSpan w:val="4"/>
            <w:tcBorders>
              <w:top w:val="single" w:sz="4" w:space="0" w:color="auto"/>
              <w:left w:val="nil"/>
              <w:bottom w:val="nil"/>
              <w:right w:val="single" w:sz="4" w:space="0" w:color="auto"/>
            </w:tcBorders>
            <w:noWrap/>
            <w:vAlign w:val="bottom"/>
            <w:hideMark/>
          </w:tcPr>
          <w:p w14:paraId="6E80279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17,673,049.45</w:t>
            </w:r>
          </w:p>
        </w:tc>
        <w:tc>
          <w:tcPr>
            <w:tcW w:w="1327" w:type="dxa"/>
            <w:gridSpan w:val="2"/>
            <w:tcBorders>
              <w:top w:val="single" w:sz="4" w:space="0" w:color="auto"/>
              <w:left w:val="nil"/>
              <w:bottom w:val="nil"/>
              <w:right w:val="single" w:sz="4" w:space="0" w:color="auto"/>
            </w:tcBorders>
            <w:noWrap/>
            <w:vAlign w:val="bottom"/>
            <w:hideMark/>
          </w:tcPr>
          <w:p w14:paraId="457AD10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492,886.62</w:t>
            </w:r>
          </w:p>
        </w:tc>
        <w:tc>
          <w:tcPr>
            <w:tcW w:w="1368" w:type="dxa"/>
            <w:gridSpan w:val="3"/>
            <w:tcBorders>
              <w:top w:val="single" w:sz="4" w:space="0" w:color="auto"/>
              <w:left w:val="nil"/>
              <w:bottom w:val="nil"/>
              <w:right w:val="single" w:sz="4" w:space="0" w:color="auto"/>
            </w:tcBorders>
            <w:noWrap/>
            <w:vAlign w:val="bottom"/>
            <w:hideMark/>
          </w:tcPr>
          <w:p w14:paraId="13B29E7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8,071,000.00</w:t>
            </w:r>
          </w:p>
        </w:tc>
        <w:tc>
          <w:tcPr>
            <w:tcW w:w="1316" w:type="dxa"/>
            <w:gridSpan w:val="3"/>
            <w:tcBorders>
              <w:top w:val="single" w:sz="4" w:space="0" w:color="auto"/>
              <w:left w:val="nil"/>
              <w:bottom w:val="nil"/>
              <w:right w:val="single" w:sz="4" w:space="0" w:color="auto"/>
            </w:tcBorders>
            <w:noWrap/>
            <w:vAlign w:val="bottom"/>
            <w:hideMark/>
          </w:tcPr>
          <w:p w14:paraId="467509C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10,256,000</w:t>
            </w:r>
          </w:p>
        </w:tc>
        <w:tc>
          <w:tcPr>
            <w:tcW w:w="1316" w:type="dxa"/>
            <w:gridSpan w:val="2"/>
            <w:tcBorders>
              <w:top w:val="single" w:sz="4" w:space="0" w:color="auto"/>
              <w:left w:val="nil"/>
              <w:bottom w:val="nil"/>
              <w:right w:val="single" w:sz="4" w:space="0" w:color="auto"/>
            </w:tcBorders>
            <w:noWrap/>
            <w:vAlign w:val="bottom"/>
            <w:hideMark/>
          </w:tcPr>
          <w:p w14:paraId="1305D28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10,756,000</w:t>
            </w:r>
          </w:p>
        </w:tc>
        <w:tc>
          <w:tcPr>
            <w:tcW w:w="1316" w:type="dxa"/>
            <w:gridSpan w:val="2"/>
            <w:tcBorders>
              <w:top w:val="single" w:sz="4" w:space="0" w:color="auto"/>
              <w:left w:val="nil"/>
              <w:bottom w:val="nil"/>
              <w:right w:val="single" w:sz="4" w:space="0" w:color="auto"/>
            </w:tcBorders>
            <w:noWrap/>
            <w:vAlign w:val="bottom"/>
            <w:hideMark/>
          </w:tcPr>
          <w:p w14:paraId="6169F20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6,506,000</w:t>
            </w:r>
          </w:p>
        </w:tc>
        <w:tc>
          <w:tcPr>
            <w:tcW w:w="1316" w:type="dxa"/>
            <w:gridSpan w:val="2"/>
            <w:tcBorders>
              <w:top w:val="single" w:sz="4" w:space="0" w:color="auto"/>
              <w:left w:val="nil"/>
              <w:bottom w:val="nil"/>
              <w:right w:val="single" w:sz="4" w:space="0" w:color="auto"/>
            </w:tcBorders>
            <w:noWrap/>
            <w:vAlign w:val="bottom"/>
            <w:hideMark/>
          </w:tcPr>
          <w:p w14:paraId="387631A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7,256,000</w:t>
            </w:r>
          </w:p>
        </w:tc>
        <w:tc>
          <w:tcPr>
            <w:tcW w:w="1316" w:type="dxa"/>
            <w:gridSpan w:val="2"/>
            <w:tcBorders>
              <w:top w:val="single" w:sz="4" w:space="0" w:color="auto"/>
              <w:left w:val="nil"/>
              <w:bottom w:val="nil"/>
              <w:right w:val="single" w:sz="4" w:space="0" w:color="auto"/>
            </w:tcBorders>
            <w:noWrap/>
            <w:vAlign w:val="bottom"/>
            <w:hideMark/>
          </w:tcPr>
          <w:p w14:paraId="295CE33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10,756,000</w:t>
            </w:r>
          </w:p>
        </w:tc>
        <w:tc>
          <w:tcPr>
            <w:tcW w:w="1316" w:type="dxa"/>
            <w:gridSpan w:val="2"/>
            <w:tcBorders>
              <w:top w:val="single" w:sz="4" w:space="0" w:color="auto"/>
              <w:left w:val="nil"/>
              <w:bottom w:val="nil"/>
              <w:right w:val="single" w:sz="4" w:space="0" w:color="auto"/>
            </w:tcBorders>
            <w:noWrap/>
            <w:vAlign w:val="bottom"/>
            <w:hideMark/>
          </w:tcPr>
          <w:p w14:paraId="6B846F6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10,006,000</w:t>
            </w:r>
          </w:p>
        </w:tc>
      </w:tr>
      <w:tr w:rsidR="00EA0FD7" w:rsidRPr="00EA0FD7" w14:paraId="60115976" w14:textId="77777777" w:rsidTr="00EA0FD7">
        <w:trPr>
          <w:trHeight w:val="240"/>
        </w:trPr>
        <w:tc>
          <w:tcPr>
            <w:tcW w:w="1195" w:type="dxa"/>
            <w:tcBorders>
              <w:top w:val="single" w:sz="8" w:space="0" w:color="auto"/>
              <w:left w:val="single" w:sz="8" w:space="0" w:color="auto"/>
              <w:bottom w:val="single" w:sz="8" w:space="0" w:color="auto"/>
              <w:right w:val="single" w:sz="8" w:space="0" w:color="auto"/>
            </w:tcBorders>
            <w:noWrap/>
            <w:vAlign w:val="bottom"/>
            <w:hideMark/>
          </w:tcPr>
          <w:p w14:paraId="1DB6055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02" w:type="dxa"/>
            <w:gridSpan w:val="2"/>
            <w:tcBorders>
              <w:top w:val="single" w:sz="8" w:space="0" w:color="auto"/>
              <w:left w:val="nil"/>
              <w:bottom w:val="single" w:sz="8" w:space="0" w:color="auto"/>
              <w:right w:val="single" w:sz="8" w:space="0" w:color="auto"/>
            </w:tcBorders>
            <w:noWrap/>
            <w:vAlign w:val="bottom"/>
            <w:hideMark/>
          </w:tcPr>
          <w:p w14:paraId="6AF70BA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432" w:type="dxa"/>
            <w:gridSpan w:val="4"/>
            <w:tcBorders>
              <w:top w:val="single" w:sz="8" w:space="0" w:color="auto"/>
              <w:left w:val="nil"/>
              <w:bottom w:val="single" w:sz="8" w:space="0" w:color="auto"/>
              <w:right w:val="single" w:sz="8" w:space="0" w:color="auto"/>
            </w:tcBorders>
            <w:noWrap/>
            <w:vAlign w:val="bottom"/>
            <w:hideMark/>
          </w:tcPr>
          <w:p w14:paraId="22860E7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20,328,108.30</w:t>
            </w:r>
          </w:p>
        </w:tc>
        <w:tc>
          <w:tcPr>
            <w:tcW w:w="1327" w:type="dxa"/>
            <w:gridSpan w:val="2"/>
            <w:tcBorders>
              <w:top w:val="single" w:sz="8" w:space="0" w:color="auto"/>
              <w:left w:val="nil"/>
              <w:bottom w:val="single" w:sz="8" w:space="0" w:color="auto"/>
              <w:right w:val="single" w:sz="8" w:space="0" w:color="auto"/>
            </w:tcBorders>
            <w:noWrap/>
            <w:vAlign w:val="bottom"/>
            <w:hideMark/>
          </w:tcPr>
          <w:p w14:paraId="0BE578C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3,023,027.12</w:t>
            </w:r>
          </w:p>
        </w:tc>
        <w:tc>
          <w:tcPr>
            <w:tcW w:w="1368" w:type="dxa"/>
            <w:gridSpan w:val="3"/>
            <w:tcBorders>
              <w:top w:val="single" w:sz="8" w:space="0" w:color="auto"/>
              <w:left w:val="nil"/>
              <w:bottom w:val="single" w:sz="8" w:space="0" w:color="auto"/>
              <w:right w:val="single" w:sz="8" w:space="0" w:color="auto"/>
            </w:tcBorders>
            <w:noWrap/>
            <w:vAlign w:val="bottom"/>
            <w:hideMark/>
          </w:tcPr>
          <w:p w14:paraId="7D57D8D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10,935,878.80</w:t>
            </w:r>
          </w:p>
        </w:tc>
        <w:tc>
          <w:tcPr>
            <w:tcW w:w="1316" w:type="dxa"/>
            <w:gridSpan w:val="3"/>
            <w:tcBorders>
              <w:top w:val="single" w:sz="8" w:space="0" w:color="auto"/>
              <w:left w:val="nil"/>
              <w:bottom w:val="single" w:sz="8" w:space="0" w:color="auto"/>
              <w:right w:val="single" w:sz="8" w:space="0" w:color="auto"/>
            </w:tcBorders>
            <w:noWrap/>
            <w:vAlign w:val="bottom"/>
            <w:hideMark/>
          </w:tcPr>
          <w:p w14:paraId="2E277D5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13,160,750</w:t>
            </w:r>
          </w:p>
        </w:tc>
        <w:tc>
          <w:tcPr>
            <w:tcW w:w="1316" w:type="dxa"/>
            <w:gridSpan w:val="2"/>
            <w:tcBorders>
              <w:top w:val="single" w:sz="8" w:space="0" w:color="auto"/>
              <w:left w:val="nil"/>
              <w:bottom w:val="single" w:sz="8" w:space="0" w:color="auto"/>
              <w:right w:val="single" w:sz="8" w:space="0" w:color="auto"/>
            </w:tcBorders>
            <w:noWrap/>
            <w:vAlign w:val="bottom"/>
            <w:hideMark/>
          </w:tcPr>
          <w:p w14:paraId="3BFF369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13,647,835</w:t>
            </w:r>
          </w:p>
        </w:tc>
        <w:tc>
          <w:tcPr>
            <w:tcW w:w="1316" w:type="dxa"/>
            <w:gridSpan w:val="2"/>
            <w:tcBorders>
              <w:top w:val="single" w:sz="8" w:space="0" w:color="auto"/>
              <w:left w:val="nil"/>
              <w:bottom w:val="single" w:sz="8" w:space="0" w:color="auto"/>
              <w:right w:val="single" w:sz="8" w:space="0" w:color="auto"/>
            </w:tcBorders>
            <w:noWrap/>
            <w:vAlign w:val="bottom"/>
            <w:hideMark/>
          </w:tcPr>
          <w:p w14:paraId="48DEE2A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9,402,042</w:t>
            </w:r>
          </w:p>
        </w:tc>
        <w:tc>
          <w:tcPr>
            <w:tcW w:w="1316" w:type="dxa"/>
            <w:gridSpan w:val="2"/>
            <w:tcBorders>
              <w:top w:val="single" w:sz="8" w:space="0" w:color="auto"/>
              <w:left w:val="nil"/>
              <w:bottom w:val="single" w:sz="8" w:space="0" w:color="auto"/>
              <w:right w:val="single" w:sz="8" w:space="0" w:color="auto"/>
            </w:tcBorders>
            <w:noWrap/>
            <w:vAlign w:val="bottom"/>
            <w:hideMark/>
          </w:tcPr>
          <w:p w14:paraId="29A8F9C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10,160,750</w:t>
            </w:r>
          </w:p>
        </w:tc>
        <w:tc>
          <w:tcPr>
            <w:tcW w:w="1316" w:type="dxa"/>
            <w:gridSpan w:val="2"/>
            <w:tcBorders>
              <w:top w:val="single" w:sz="8" w:space="0" w:color="auto"/>
              <w:left w:val="nil"/>
              <w:bottom w:val="single" w:sz="8" w:space="0" w:color="auto"/>
              <w:right w:val="single" w:sz="8" w:space="0" w:color="auto"/>
            </w:tcBorders>
            <w:noWrap/>
            <w:vAlign w:val="bottom"/>
            <w:hideMark/>
          </w:tcPr>
          <w:p w14:paraId="528419F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13,647,835</w:t>
            </w:r>
          </w:p>
        </w:tc>
        <w:tc>
          <w:tcPr>
            <w:tcW w:w="1316" w:type="dxa"/>
            <w:gridSpan w:val="2"/>
            <w:tcBorders>
              <w:top w:val="single" w:sz="8" w:space="0" w:color="auto"/>
              <w:left w:val="nil"/>
              <w:bottom w:val="single" w:sz="8" w:space="0" w:color="auto"/>
              <w:right w:val="single" w:sz="8" w:space="0" w:color="auto"/>
            </w:tcBorders>
            <w:noWrap/>
            <w:vAlign w:val="bottom"/>
            <w:hideMark/>
          </w:tcPr>
          <w:p w14:paraId="30E5198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12,902,042</w:t>
            </w:r>
          </w:p>
        </w:tc>
      </w:tr>
      <w:tr w:rsidR="00EA0FD7" w:rsidRPr="00EA0FD7" w14:paraId="2D91CE4C" w14:textId="77777777" w:rsidTr="00EA0FD7">
        <w:trPr>
          <w:trHeight w:val="210"/>
        </w:trPr>
        <w:tc>
          <w:tcPr>
            <w:tcW w:w="1195" w:type="dxa"/>
            <w:tcBorders>
              <w:top w:val="nil"/>
              <w:left w:val="single" w:sz="8" w:space="0" w:color="auto"/>
              <w:bottom w:val="single" w:sz="8" w:space="0" w:color="auto"/>
              <w:right w:val="nil"/>
            </w:tcBorders>
            <w:noWrap/>
            <w:vAlign w:val="bottom"/>
            <w:hideMark/>
          </w:tcPr>
          <w:p w14:paraId="14A1E2A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02" w:type="dxa"/>
            <w:gridSpan w:val="2"/>
            <w:tcBorders>
              <w:top w:val="nil"/>
              <w:left w:val="nil"/>
              <w:bottom w:val="single" w:sz="8" w:space="0" w:color="auto"/>
              <w:right w:val="nil"/>
            </w:tcBorders>
            <w:noWrap/>
            <w:vAlign w:val="bottom"/>
            <w:hideMark/>
          </w:tcPr>
          <w:p w14:paraId="2180F1E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32" w:type="dxa"/>
            <w:gridSpan w:val="4"/>
            <w:tcBorders>
              <w:top w:val="nil"/>
              <w:left w:val="nil"/>
              <w:bottom w:val="single" w:sz="8" w:space="0" w:color="auto"/>
              <w:right w:val="nil"/>
            </w:tcBorders>
            <w:noWrap/>
            <w:vAlign w:val="bottom"/>
            <w:hideMark/>
          </w:tcPr>
          <w:p w14:paraId="6ACC8DC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27" w:type="dxa"/>
            <w:gridSpan w:val="2"/>
            <w:tcBorders>
              <w:top w:val="nil"/>
              <w:left w:val="nil"/>
              <w:bottom w:val="single" w:sz="8" w:space="0" w:color="auto"/>
              <w:right w:val="nil"/>
            </w:tcBorders>
            <w:noWrap/>
            <w:vAlign w:val="bottom"/>
            <w:hideMark/>
          </w:tcPr>
          <w:p w14:paraId="4467A58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68" w:type="dxa"/>
            <w:gridSpan w:val="3"/>
            <w:tcBorders>
              <w:top w:val="nil"/>
              <w:left w:val="nil"/>
              <w:bottom w:val="single" w:sz="8" w:space="0" w:color="auto"/>
              <w:right w:val="nil"/>
            </w:tcBorders>
            <w:noWrap/>
            <w:vAlign w:val="bottom"/>
            <w:hideMark/>
          </w:tcPr>
          <w:p w14:paraId="5745A8F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3"/>
            <w:tcBorders>
              <w:top w:val="nil"/>
              <w:left w:val="nil"/>
              <w:bottom w:val="single" w:sz="8" w:space="0" w:color="auto"/>
              <w:right w:val="nil"/>
            </w:tcBorders>
            <w:noWrap/>
            <w:vAlign w:val="bottom"/>
            <w:hideMark/>
          </w:tcPr>
          <w:p w14:paraId="2670212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8" w:space="0" w:color="auto"/>
              <w:right w:val="nil"/>
            </w:tcBorders>
            <w:noWrap/>
            <w:vAlign w:val="bottom"/>
            <w:hideMark/>
          </w:tcPr>
          <w:p w14:paraId="36B41CE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8" w:space="0" w:color="auto"/>
              <w:right w:val="nil"/>
            </w:tcBorders>
            <w:noWrap/>
            <w:vAlign w:val="bottom"/>
            <w:hideMark/>
          </w:tcPr>
          <w:p w14:paraId="36C56D9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8" w:space="0" w:color="auto"/>
              <w:right w:val="nil"/>
            </w:tcBorders>
            <w:noWrap/>
            <w:vAlign w:val="bottom"/>
            <w:hideMark/>
          </w:tcPr>
          <w:p w14:paraId="4F09D8A7"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gridSpan w:val="2"/>
            <w:tcBorders>
              <w:top w:val="nil"/>
              <w:left w:val="nil"/>
              <w:bottom w:val="single" w:sz="8" w:space="0" w:color="auto"/>
              <w:right w:val="nil"/>
            </w:tcBorders>
            <w:noWrap/>
            <w:vAlign w:val="bottom"/>
            <w:hideMark/>
          </w:tcPr>
          <w:p w14:paraId="47C94B3F"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gridSpan w:val="2"/>
            <w:tcBorders>
              <w:top w:val="nil"/>
              <w:left w:val="nil"/>
              <w:bottom w:val="single" w:sz="8" w:space="0" w:color="auto"/>
              <w:right w:val="single" w:sz="8" w:space="0" w:color="auto"/>
            </w:tcBorders>
            <w:noWrap/>
            <w:vAlign w:val="bottom"/>
            <w:hideMark/>
          </w:tcPr>
          <w:p w14:paraId="10587BCB"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2E88E6E6" w14:textId="77777777" w:rsidTr="00EA0FD7">
        <w:trPr>
          <w:trHeight w:val="240"/>
        </w:trPr>
        <w:tc>
          <w:tcPr>
            <w:tcW w:w="1195" w:type="dxa"/>
            <w:tcBorders>
              <w:top w:val="nil"/>
              <w:left w:val="single" w:sz="8" w:space="0" w:color="auto"/>
              <w:bottom w:val="single" w:sz="8" w:space="0" w:color="auto"/>
              <w:right w:val="single" w:sz="8" w:space="0" w:color="auto"/>
            </w:tcBorders>
            <w:noWrap/>
            <w:vAlign w:val="bottom"/>
            <w:hideMark/>
          </w:tcPr>
          <w:p w14:paraId="4DA4124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02" w:type="dxa"/>
            <w:gridSpan w:val="2"/>
            <w:tcBorders>
              <w:top w:val="nil"/>
              <w:left w:val="nil"/>
              <w:bottom w:val="single" w:sz="8" w:space="0" w:color="auto"/>
              <w:right w:val="single" w:sz="8" w:space="0" w:color="auto"/>
            </w:tcBorders>
            <w:noWrap/>
            <w:vAlign w:val="bottom"/>
            <w:hideMark/>
          </w:tcPr>
          <w:p w14:paraId="2A5CF68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432" w:type="dxa"/>
            <w:gridSpan w:val="4"/>
            <w:tcBorders>
              <w:top w:val="nil"/>
              <w:left w:val="nil"/>
              <w:bottom w:val="single" w:sz="8" w:space="0" w:color="auto"/>
              <w:right w:val="single" w:sz="8" w:space="0" w:color="auto"/>
            </w:tcBorders>
            <w:noWrap/>
            <w:vAlign w:val="bottom"/>
            <w:hideMark/>
          </w:tcPr>
          <w:p w14:paraId="4B6A1AE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45</w:t>
            </w:r>
          </w:p>
        </w:tc>
        <w:tc>
          <w:tcPr>
            <w:tcW w:w="1327" w:type="dxa"/>
            <w:gridSpan w:val="2"/>
            <w:tcBorders>
              <w:top w:val="nil"/>
              <w:left w:val="nil"/>
              <w:bottom w:val="single" w:sz="8" w:space="0" w:color="auto"/>
              <w:right w:val="single" w:sz="8" w:space="0" w:color="auto"/>
            </w:tcBorders>
            <w:noWrap/>
            <w:vAlign w:val="bottom"/>
            <w:hideMark/>
          </w:tcPr>
          <w:p w14:paraId="4097719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44</w:t>
            </w:r>
          </w:p>
        </w:tc>
        <w:tc>
          <w:tcPr>
            <w:tcW w:w="1368" w:type="dxa"/>
            <w:gridSpan w:val="3"/>
            <w:tcBorders>
              <w:top w:val="nil"/>
              <w:left w:val="nil"/>
              <w:bottom w:val="single" w:sz="8" w:space="0" w:color="auto"/>
              <w:right w:val="single" w:sz="8" w:space="0" w:color="auto"/>
            </w:tcBorders>
            <w:noWrap/>
            <w:vAlign w:val="bottom"/>
            <w:hideMark/>
          </w:tcPr>
          <w:p w14:paraId="0CEDFEA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48</w:t>
            </w:r>
          </w:p>
        </w:tc>
        <w:tc>
          <w:tcPr>
            <w:tcW w:w="1316" w:type="dxa"/>
            <w:gridSpan w:val="3"/>
            <w:tcBorders>
              <w:top w:val="nil"/>
              <w:left w:val="nil"/>
              <w:bottom w:val="single" w:sz="8" w:space="0" w:color="auto"/>
              <w:right w:val="single" w:sz="8" w:space="0" w:color="auto"/>
            </w:tcBorders>
            <w:noWrap/>
            <w:vAlign w:val="bottom"/>
            <w:hideMark/>
          </w:tcPr>
          <w:p w14:paraId="21503BF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48</w:t>
            </w:r>
          </w:p>
        </w:tc>
        <w:tc>
          <w:tcPr>
            <w:tcW w:w="1316" w:type="dxa"/>
            <w:gridSpan w:val="2"/>
            <w:tcBorders>
              <w:top w:val="nil"/>
              <w:left w:val="nil"/>
              <w:bottom w:val="single" w:sz="8" w:space="0" w:color="auto"/>
              <w:right w:val="single" w:sz="8" w:space="0" w:color="auto"/>
            </w:tcBorders>
            <w:noWrap/>
            <w:vAlign w:val="bottom"/>
            <w:hideMark/>
          </w:tcPr>
          <w:p w14:paraId="1E195C0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48</w:t>
            </w:r>
          </w:p>
        </w:tc>
        <w:tc>
          <w:tcPr>
            <w:tcW w:w="1316" w:type="dxa"/>
            <w:gridSpan w:val="2"/>
            <w:tcBorders>
              <w:top w:val="nil"/>
              <w:left w:val="nil"/>
              <w:bottom w:val="single" w:sz="8" w:space="0" w:color="auto"/>
              <w:right w:val="single" w:sz="8" w:space="0" w:color="auto"/>
            </w:tcBorders>
            <w:noWrap/>
            <w:vAlign w:val="bottom"/>
            <w:hideMark/>
          </w:tcPr>
          <w:p w14:paraId="4DEB741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48</w:t>
            </w:r>
          </w:p>
        </w:tc>
        <w:tc>
          <w:tcPr>
            <w:tcW w:w="1316" w:type="dxa"/>
            <w:gridSpan w:val="2"/>
            <w:tcBorders>
              <w:top w:val="nil"/>
              <w:left w:val="nil"/>
              <w:bottom w:val="single" w:sz="8" w:space="0" w:color="auto"/>
              <w:right w:val="single" w:sz="8" w:space="0" w:color="auto"/>
            </w:tcBorders>
            <w:noWrap/>
            <w:vAlign w:val="bottom"/>
            <w:hideMark/>
          </w:tcPr>
          <w:p w14:paraId="5CD0AAF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48</w:t>
            </w:r>
          </w:p>
        </w:tc>
        <w:tc>
          <w:tcPr>
            <w:tcW w:w="1316" w:type="dxa"/>
            <w:gridSpan w:val="2"/>
            <w:tcBorders>
              <w:top w:val="nil"/>
              <w:left w:val="nil"/>
              <w:bottom w:val="single" w:sz="8" w:space="0" w:color="auto"/>
              <w:right w:val="single" w:sz="8" w:space="0" w:color="auto"/>
            </w:tcBorders>
            <w:noWrap/>
            <w:vAlign w:val="bottom"/>
            <w:hideMark/>
          </w:tcPr>
          <w:p w14:paraId="4C3C543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48</w:t>
            </w:r>
          </w:p>
        </w:tc>
        <w:tc>
          <w:tcPr>
            <w:tcW w:w="1316" w:type="dxa"/>
            <w:gridSpan w:val="2"/>
            <w:tcBorders>
              <w:top w:val="nil"/>
              <w:left w:val="nil"/>
              <w:bottom w:val="single" w:sz="8" w:space="0" w:color="auto"/>
              <w:right w:val="single" w:sz="8" w:space="0" w:color="auto"/>
            </w:tcBorders>
            <w:noWrap/>
            <w:vAlign w:val="bottom"/>
            <w:hideMark/>
          </w:tcPr>
          <w:p w14:paraId="4177DDE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48</w:t>
            </w:r>
          </w:p>
        </w:tc>
      </w:tr>
      <w:tr w:rsidR="00EA0FD7" w:rsidRPr="00EA0FD7" w14:paraId="44C0ACE0" w14:textId="77777777" w:rsidTr="00EA0FD7">
        <w:trPr>
          <w:trHeight w:val="240"/>
        </w:trPr>
        <w:tc>
          <w:tcPr>
            <w:tcW w:w="1195" w:type="dxa"/>
            <w:noWrap/>
            <w:vAlign w:val="bottom"/>
          </w:tcPr>
          <w:p w14:paraId="550EC252"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2502" w:type="dxa"/>
            <w:gridSpan w:val="2"/>
            <w:noWrap/>
            <w:vAlign w:val="bottom"/>
          </w:tcPr>
          <w:p w14:paraId="3241A98B"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432" w:type="dxa"/>
            <w:gridSpan w:val="4"/>
            <w:noWrap/>
            <w:vAlign w:val="bottom"/>
          </w:tcPr>
          <w:p w14:paraId="1C12069A"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27" w:type="dxa"/>
            <w:gridSpan w:val="2"/>
            <w:noWrap/>
            <w:vAlign w:val="bottom"/>
          </w:tcPr>
          <w:p w14:paraId="7A93F1E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p>
        </w:tc>
        <w:tc>
          <w:tcPr>
            <w:tcW w:w="1368" w:type="dxa"/>
            <w:gridSpan w:val="3"/>
            <w:noWrap/>
            <w:vAlign w:val="bottom"/>
          </w:tcPr>
          <w:p w14:paraId="18B3E7FD"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3"/>
            <w:noWrap/>
            <w:vAlign w:val="bottom"/>
          </w:tcPr>
          <w:p w14:paraId="48D789E2"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0FD18D0E"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751CFF6A"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747F8196"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5A9B4FE7"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135526DD" w14:textId="77777777" w:rsidR="00EA0FD7" w:rsidRPr="00EA0FD7" w:rsidRDefault="00EA0FD7" w:rsidP="00EA0FD7">
            <w:pPr>
              <w:spacing w:after="0" w:line="240" w:lineRule="auto"/>
              <w:rPr>
                <w:rFonts w:ascii="Arial" w:eastAsia="Times New Roman" w:hAnsi="Arial" w:cs="Arial"/>
                <w:b/>
                <w:bCs/>
                <w:sz w:val="18"/>
                <w:szCs w:val="18"/>
                <w:lang w:val="sr-Cyrl-RS"/>
              </w:rPr>
            </w:pPr>
          </w:p>
        </w:tc>
      </w:tr>
      <w:tr w:rsidR="00EA0FD7" w:rsidRPr="00EA0FD7" w14:paraId="4036364A" w14:textId="77777777" w:rsidTr="00EA0FD7">
        <w:trPr>
          <w:trHeight w:val="390"/>
        </w:trPr>
        <w:tc>
          <w:tcPr>
            <w:tcW w:w="6456" w:type="dxa"/>
            <w:gridSpan w:val="9"/>
            <w:tcBorders>
              <w:top w:val="nil"/>
              <w:left w:val="nil"/>
              <w:bottom w:val="single" w:sz="8" w:space="0" w:color="auto"/>
              <w:right w:val="nil"/>
            </w:tcBorders>
            <w:noWrap/>
            <w:vAlign w:val="bottom"/>
            <w:hideMark/>
          </w:tcPr>
          <w:p w14:paraId="2EB4D6E2" w14:textId="2D16B6D8"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25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ОДЈЕЉЕЊЕ ЗА ЈАВНИ РЕГИСТАР</w:t>
            </w:r>
          </w:p>
        </w:tc>
        <w:tc>
          <w:tcPr>
            <w:tcW w:w="1368" w:type="dxa"/>
            <w:gridSpan w:val="3"/>
            <w:noWrap/>
            <w:vAlign w:val="bottom"/>
          </w:tcPr>
          <w:p w14:paraId="6AA456D8"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3"/>
            <w:noWrap/>
            <w:vAlign w:val="bottom"/>
          </w:tcPr>
          <w:p w14:paraId="3DA485E5"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6BB16B78"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1074CD2A"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6BEF6D64"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5B448AD0"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6F8E4692"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27B1DF67" w14:textId="77777777" w:rsidTr="00EA0FD7">
        <w:trPr>
          <w:trHeight w:val="300"/>
        </w:trPr>
        <w:tc>
          <w:tcPr>
            <w:tcW w:w="1195" w:type="dxa"/>
            <w:vMerge w:val="restart"/>
            <w:tcBorders>
              <w:top w:val="nil"/>
              <w:left w:val="single" w:sz="8" w:space="0" w:color="auto"/>
              <w:bottom w:val="single" w:sz="8" w:space="0" w:color="000000"/>
              <w:right w:val="single" w:sz="8" w:space="0" w:color="auto"/>
            </w:tcBorders>
            <w:shd w:val="clear" w:color="auto" w:fill="808080"/>
            <w:vAlign w:val="center"/>
            <w:hideMark/>
          </w:tcPr>
          <w:p w14:paraId="7ACD9A68"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502" w:type="dxa"/>
            <w:gridSpan w:val="2"/>
            <w:vMerge w:val="restart"/>
            <w:tcBorders>
              <w:top w:val="nil"/>
              <w:left w:val="single" w:sz="8" w:space="0" w:color="auto"/>
              <w:bottom w:val="single" w:sz="8" w:space="0" w:color="000000"/>
              <w:right w:val="single" w:sz="8" w:space="0" w:color="auto"/>
            </w:tcBorders>
            <w:shd w:val="clear" w:color="auto" w:fill="808080"/>
            <w:vAlign w:val="center"/>
            <w:hideMark/>
          </w:tcPr>
          <w:p w14:paraId="3CA98CB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432" w:type="dxa"/>
            <w:gridSpan w:val="4"/>
            <w:vMerge w:val="restart"/>
            <w:tcBorders>
              <w:top w:val="nil"/>
              <w:left w:val="single" w:sz="8" w:space="0" w:color="auto"/>
              <w:bottom w:val="single" w:sz="8" w:space="0" w:color="000000"/>
              <w:right w:val="single" w:sz="8" w:space="0" w:color="auto"/>
            </w:tcBorders>
            <w:shd w:val="clear" w:color="auto" w:fill="808080"/>
            <w:vAlign w:val="center"/>
            <w:hideMark/>
          </w:tcPr>
          <w:p w14:paraId="4F87B838"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327" w:type="dxa"/>
            <w:gridSpan w:val="2"/>
            <w:vMerge w:val="restart"/>
            <w:tcBorders>
              <w:top w:val="nil"/>
              <w:left w:val="single" w:sz="8" w:space="0" w:color="auto"/>
              <w:bottom w:val="single" w:sz="8" w:space="0" w:color="000000"/>
              <w:right w:val="single" w:sz="8" w:space="0" w:color="auto"/>
            </w:tcBorders>
            <w:shd w:val="clear" w:color="auto" w:fill="808080"/>
            <w:vAlign w:val="center"/>
            <w:hideMark/>
          </w:tcPr>
          <w:p w14:paraId="24B32C9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68" w:type="dxa"/>
            <w:gridSpan w:val="3"/>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08C2541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7"/>
            <w:tcBorders>
              <w:top w:val="single" w:sz="8" w:space="0" w:color="auto"/>
              <w:left w:val="nil"/>
              <w:bottom w:val="single" w:sz="8" w:space="0" w:color="auto"/>
              <w:right w:val="single" w:sz="8" w:space="0" w:color="000000"/>
            </w:tcBorders>
            <w:shd w:val="clear" w:color="auto" w:fill="808080"/>
            <w:noWrap/>
            <w:vAlign w:val="center"/>
            <w:hideMark/>
          </w:tcPr>
          <w:p w14:paraId="2220581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6"/>
            <w:tcBorders>
              <w:top w:val="single" w:sz="8" w:space="0" w:color="auto"/>
              <w:left w:val="nil"/>
              <w:bottom w:val="single" w:sz="8" w:space="0" w:color="auto"/>
              <w:right w:val="single" w:sz="8" w:space="0" w:color="000000"/>
            </w:tcBorders>
            <w:shd w:val="clear" w:color="auto" w:fill="808080"/>
            <w:noWrap/>
            <w:vAlign w:val="center"/>
            <w:hideMark/>
          </w:tcPr>
          <w:p w14:paraId="4DE00F2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7C60DFAE"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6DD4278A"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2"/>
            <w:vMerge/>
            <w:tcBorders>
              <w:top w:val="nil"/>
              <w:left w:val="single" w:sz="8" w:space="0" w:color="auto"/>
              <w:bottom w:val="single" w:sz="8" w:space="0" w:color="000000"/>
              <w:right w:val="single" w:sz="8" w:space="0" w:color="auto"/>
            </w:tcBorders>
            <w:vAlign w:val="center"/>
            <w:hideMark/>
          </w:tcPr>
          <w:p w14:paraId="7EFDD104"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4"/>
            <w:vMerge/>
            <w:tcBorders>
              <w:top w:val="nil"/>
              <w:left w:val="single" w:sz="8" w:space="0" w:color="auto"/>
              <w:bottom w:val="single" w:sz="8" w:space="0" w:color="000000"/>
              <w:right w:val="single" w:sz="8" w:space="0" w:color="auto"/>
            </w:tcBorders>
            <w:vAlign w:val="center"/>
            <w:hideMark/>
          </w:tcPr>
          <w:p w14:paraId="6A487844"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2"/>
            <w:vMerge/>
            <w:tcBorders>
              <w:top w:val="nil"/>
              <w:left w:val="single" w:sz="8" w:space="0" w:color="auto"/>
              <w:bottom w:val="single" w:sz="8" w:space="0" w:color="000000"/>
              <w:right w:val="single" w:sz="8" w:space="0" w:color="auto"/>
            </w:tcBorders>
            <w:vAlign w:val="center"/>
            <w:hideMark/>
          </w:tcPr>
          <w:p w14:paraId="793AC59B"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3"/>
            <w:vMerge/>
            <w:tcBorders>
              <w:top w:val="single" w:sz="8" w:space="0" w:color="auto"/>
              <w:left w:val="single" w:sz="8" w:space="0" w:color="auto"/>
              <w:bottom w:val="single" w:sz="8" w:space="0" w:color="000000"/>
              <w:right w:val="single" w:sz="8" w:space="0" w:color="auto"/>
            </w:tcBorders>
            <w:vAlign w:val="center"/>
            <w:hideMark/>
          </w:tcPr>
          <w:p w14:paraId="5EBBC3A4"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gridSpan w:val="3"/>
            <w:tcBorders>
              <w:top w:val="nil"/>
              <w:left w:val="nil"/>
              <w:bottom w:val="single" w:sz="8" w:space="0" w:color="auto"/>
              <w:right w:val="single" w:sz="4" w:space="0" w:color="auto"/>
            </w:tcBorders>
            <w:shd w:val="clear" w:color="auto" w:fill="808080"/>
            <w:noWrap/>
            <w:vAlign w:val="center"/>
            <w:hideMark/>
          </w:tcPr>
          <w:p w14:paraId="644D5FF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07685EF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gridSpan w:val="2"/>
            <w:tcBorders>
              <w:top w:val="nil"/>
              <w:left w:val="nil"/>
              <w:bottom w:val="single" w:sz="8" w:space="0" w:color="auto"/>
              <w:right w:val="single" w:sz="8" w:space="0" w:color="auto"/>
            </w:tcBorders>
            <w:shd w:val="clear" w:color="auto" w:fill="808080"/>
            <w:noWrap/>
            <w:vAlign w:val="center"/>
            <w:hideMark/>
          </w:tcPr>
          <w:p w14:paraId="4A0F7BA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4F07744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6C05CED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gridSpan w:val="2"/>
            <w:tcBorders>
              <w:top w:val="nil"/>
              <w:left w:val="nil"/>
              <w:bottom w:val="single" w:sz="8" w:space="0" w:color="auto"/>
              <w:right w:val="single" w:sz="8" w:space="0" w:color="auto"/>
            </w:tcBorders>
            <w:shd w:val="clear" w:color="auto" w:fill="808080"/>
            <w:noWrap/>
            <w:vAlign w:val="center"/>
            <w:hideMark/>
          </w:tcPr>
          <w:p w14:paraId="35DD0DA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5E698766" w14:textId="77777777" w:rsidTr="00EA0FD7">
        <w:trPr>
          <w:trHeight w:val="240"/>
        </w:trPr>
        <w:tc>
          <w:tcPr>
            <w:tcW w:w="1195" w:type="dxa"/>
            <w:tcBorders>
              <w:top w:val="nil"/>
              <w:left w:val="single" w:sz="8" w:space="0" w:color="auto"/>
              <w:bottom w:val="single" w:sz="4" w:space="0" w:color="auto"/>
              <w:right w:val="single" w:sz="4" w:space="0" w:color="auto"/>
            </w:tcBorders>
            <w:noWrap/>
            <w:vAlign w:val="bottom"/>
            <w:hideMark/>
          </w:tcPr>
          <w:p w14:paraId="2B7222A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02" w:type="dxa"/>
            <w:gridSpan w:val="2"/>
            <w:tcBorders>
              <w:top w:val="nil"/>
              <w:left w:val="nil"/>
              <w:bottom w:val="single" w:sz="4" w:space="0" w:color="auto"/>
              <w:right w:val="single" w:sz="4" w:space="0" w:color="auto"/>
            </w:tcBorders>
            <w:noWrap/>
            <w:vAlign w:val="bottom"/>
            <w:hideMark/>
          </w:tcPr>
          <w:p w14:paraId="54A73D4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432" w:type="dxa"/>
            <w:gridSpan w:val="4"/>
            <w:tcBorders>
              <w:top w:val="nil"/>
              <w:left w:val="nil"/>
              <w:bottom w:val="single" w:sz="4" w:space="0" w:color="auto"/>
              <w:right w:val="single" w:sz="4" w:space="0" w:color="auto"/>
            </w:tcBorders>
            <w:noWrap/>
            <w:vAlign w:val="bottom"/>
            <w:hideMark/>
          </w:tcPr>
          <w:p w14:paraId="2EE5940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27" w:type="dxa"/>
            <w:gridSpan w:val="2"/>
            <w:tcBorders>
              <w:top w:val="nil"/>
              <w:left w:val="nil"/>
              <w:bottom w:val="single" w:sz="4" w:space="0" w:color="auto"/>
              <w:right w:val="single" w:sz="4" w:space="0" w:color="auto"/>
            </w:tcBorders>
            <w:noWrap/>
            <w:vAlign w:val="bottom"/>
            <w:hideMark/>
          </w:tcPr>
          <w:p w14:paraId="386C608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68" w:type="dxa"/>
            <w:gridSpan w:val="3"/>
            <w:tcBorders>
              <w:top w:val="nil"/>
              <w:left w:val="nil"/>
              <w:bottom w:val="single" w:sz="4" w:space="0" w:color="auto"/>
              <w:right w:val="single" w:sz="4" w:space="0" w:color="auto"/>
            </w:tcBorders>
            <w:noWrap/>
            <w:vAlign w:val="bottom"/>
            <w:hideMark/>
          </w:tcPr>
          <w:p w14:paraId="30BF02C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3"/>
            <w:tcBorders>
              <w:top w:val="nil"/>
              <w:left w:val="nil"/>
              <w:bottom w:val="single" w:sz="4" w:space="0" w:color="auto"/>
              <w:right w:val="single" w:sz="4" w:space="0" w:color="auto"/>
            </w:tcBorders>
            <w:noWrap/>
            <w:vAlign w:val="bottom"/>
            <w:hideMark/>
          </w:tcPr>
          <w:p w14:paraId="2ADAD5A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2842379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0F5B54E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3DD3F7F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07DD338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8" w:space="0" w:color="auto"/>
            </w:tcBorders>
            <w:noWrap/>
            <w:vAlign w:val="bottom"/>
            <w:hideMark/>
          </w:tcPr>
          <w:p w14:paraId="4C0E5F4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2E96EC00" w14:textId="77777777" w:rsidTr="00EA0FD7">
        <w:trPr>
          <w:trHeight w:val="480"/>
        </w:trPr>
        <w:tc>
          <w:tcPr>
            <w:tcW w:w="1195" w:type="dxa"/>
            <w:tcBorders>
              <w:top w:val="nil"/>
              <w:left w:val="single" w:sz="8" w:space="0" w:color="auto"/>
              <w:bottom w:val="single" w:sz="4" w:space="0" w:color="auto"/>
              <w:right w:val="single" w:sz="4" w:space="0" w:color="auto"/>
            </w:tcBorders>
            <w:vAlign w:val="bottom"/>
            <w:hideMark/>
          </w:tcPr>
          <w:p w14:paraId="117C29C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502" w:type="dxa"/>
            <w:gridSpan w:val="2"/>
            <w:tcBorders>
              <w:top w:val="nil"/>
              <w:left w:val="nil"/>
              <w:bottom w:val="single" w:sz="4" w:space="0" w:color="auto"/>
              <w:right w:val="single" w:sz="4" w:space="0" w:color="auto"/>
            </w:tcBorders>
            <w:vAlign w:val="bottom"/>
            <w:hideMark/>
          </w:tcPr>
          <w:p w14:paraId="635B62F9"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432" w:type="dxa"/>
            <w:gridSpan w:val="4"/>
            <w:tcBorders>
              <w:top w:val="nil"/>
              <w:left w:val="nil"/>
              <w:bottom w:val="single" w:sz="4" w:space="0" w:color="auto"/>
              <w:right w:val="single" w:sz="4" w:space="0" w:color="auto"/>
            </w:tcBorders>
            <w:noWrap/>
            <w:vAlign w:val="bottom"/>
            <w:hideMark/>
          </w:tcPr>
          <w:p w14:paraId="43F0E6B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3,700,525.90</w:t>
            </w:r>
          </w:p>
        </w:tc>
        <w:tc>
          <w:tcPr>
            <w:tcW w:w="1327" w:type="dxa"/>
            <w:gridSpan w:val="2"/>
            <w:tcBorders>
              <w:top w:val="nil"/>
              <w:left w:val="nil"/>
              <w:bottom w:val="single" w:sz="4" w:space="0" w:color="auto"/>
              <w:right w:val="single" w:sz="4" w:space="0" w:color="auto"/>
            </w:tcBorders>
            <w:noWrap/>
            <w:vAlign w:val="bottom"/>
            <w:hideMark/>
          </w:tcPr>
          <w:p w14:paraId="0BCECDE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3,617,322.30</w:t>
            </w:r>
          </w:p>
        </w:tc>
        <w:tc>
          <w:tcPr>
            <w:tcW w:w="1368" w:type="dxa"/>
            <w:gridSpan w:val="3"/>
            <w:tcBorders>
              <w:top w:val="nil"/>
              <w:left w:val="nil"/>
              <w:bottom w:val="single" w:sz="4" w:space="0" w:color="auto"/>
              <w:right w:val="single" w:sz="4" w:space="0" w:color="auto"/>
            </w:tcBorders>
            <w:noWrap/>
            <w:vAlign w:val="bottom"/>
            <w:hideMark/>
          </w:tcPr>
          <w:p w14:paraId="17BEA45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3,936,804.80</w:t>
            </w:r>
          </w:p>
        </w:tc>
        <w:tc>
          <w:tcPr>
            <w:tcW w:w="1316" w:type="dxa"/>
            <w:gridSpan w:val="3"/>
            <w:tcBorders>
              <w:top w:val="nil"/>
              <w:left w:val="nil"/>
              <w:bottom w:val="single" w:sz="4" w:space="0" w:color="auto"/>
              <w:right w:val="single" w:sz="4" w:space="0" w:color="auto"/>
            </w:tcBorders>
            <w:noWrap/>
            <w:vAlign w:val="bottom"/>
            <w:hideMark/>
          </w:tcPr>
          <w:p w14:paraId="07B43E2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4,004,654</w:t>
            </w:r>
          </w:p>
        </w:tc>
        <w:tc>
          <w:tcPr>
            <w:tcW w:w="1316" w:type="dxa"/>
            <w:gridSpan w:val="2"/>
            <w:tcBorders>
              <w:top w:val="nil"/>
              <w:left w:val="nil"/>
              <w:bottom w:val="single" w:sz="4" w:space="0" w:color="auto"/>
              <w:right w:val="single" w:sz="4" w:space="0" w:color="auto"/>
            </w:tcBorders>
            <w:noWrap/>
            <w:vAlign w:val="bottom"/>
            <w:hideMark/>
          </w:tcPr>
          <w:p w14:paraId="28C14B1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4,004,654</w:t>
            </w:r>
          </w:p>
        </w:tc>
        <w:tc>
          <w:tcPr>
            <w:tcW w:w="1316" w:type="dxa"/>
            <w:gridSpan w:val="2"/>
            <w:tcBorders>
              <w:top w:val="nil"/>
              <w:left w:val="nil"/>
              <w:bottom w:val="single" w:sz="4" w:space="0" w:color="auto"/>
              <w:right w:val="single" w:sz="4" w:space="0" w:color="auto"/>
            </w:tcBorders>
            <w:noWrap/>
            <w:vAlign w:val="bottom"/>
            <w:hideMark/>
          </w:tcPr>
          <w:p w14:paraId="1A6B756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3,987,705</w:t>
            </w:r>
          </w:p>
        </w:tc>
        <w:tc>
          <w:tcPr>
            <w:tcW w:w="1316" w:type="dxa"/>
            <w:gridSpan w:val="2"/>
            <w:tcBorders>
              <w:top w:val="nil"/>
              <w:left w:val="nil"/>
              <w:bottom w:val="single" w:sz="4" w:space="0" w:color="auto"/>
              <w:right w:val="single" w:sz="4" w:space="0" w:color="auto"/>
            </w:tcBorders>
            <w:noWrap/>
            <w:vAlign w:val="bottom"/>
            <w:hideMark/>
          </w:tcPr>
          <w:p w14:paraId="27847A9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4,004,654</w:t>
            </w:r>
          </w:p>
        </w:tc>
        <w:tc>
          <w:tcPr>
            <w:tcW w:w="1316" w:type="dxa"/>
            <w:gridSpan w:val="2"/>
            <w:tcBorders>
              <w:top w:val="nil"/>
              <w:left w:val="nil"/>
              <w:bottom w:val="single" w:sz="4" w:space="0" w:color="auto"/>
              <w:right w:val="single" w:sz="4" w:space="0" w:color="auto"/>
            </w:tcBorders>
            <w:noWrap/>
            <w:vAlign w:val="bottom"/>
            <w:hideMark/>
          </w:tcPr>
          <w:p w14:paraId="205EC75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4,004,654</w:t>
            </w:r>
          </w:p>
        </w:tc>
        <w:tc>
          <w:tcPr>
            <w:tcW w:w="1316" w:type="dxa"/>
            <w:gridSpan w:val="2"/>
            <w:tcBorders>
              <w:top w:val="nil"/>
              <w:left w:val="nil"/>
              <w:bottom w:val="single" w:sz="4" w:space="0" w:color="auto"/>
              <w:right w:val="single" w:sz="4" w:space="0" w:color="auto"/>
            </w:tcBorders>
            <w:noWrap/>
            <w:vAlign w:val="bottom"/>
            <w:hideMark/>
          </w:tcPr>
          <w:p w14:paraId="6F125D6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3,987,705</w:t>
            </w:r>
          </w:p>
        </w:tc>
      </w:tr>
      <w:tr w:rsidR="00EA0FD7" w:rsidRPr="00EA0FD7" w14:paraId="70EC8911" w14:textId="77777777" w:rsidTr="00EA0FD7">
        <w:trPr>
          <w:trHeight w:val="255"/>
        </w:trPr>
        <w:tc>
          <w:tcPr>
            <w:tcW w:w="1195" w:type="dxa"/>
            <w:tcBorders>
              <w:top w:val="nil"/>
              <w:left w:val="single" w:sz="8" w:space="0" w:color="auto"/>
              <w:bottom w:val="single" w:sz="4" w:space="0" w:color="auto"/>
              <w:right w:val="single" w:sz="4" w:space="0" w:color="auto"/>
            </w:tcBorders>
            <w:noWrap/>
            <w:vAlign w:val="bottom"/>
            <w:hideMark/>
          </w:tcPr>
          <w:p w14:paraId="6EE887E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611200</w:t>
            </w:r>
          </w:p>
        </w:tc>
        <w:tc>
          <w:tcPr>
            <w:tcW w:w="2502" w:type="dxa"/>
            <w:gridSpan w:val="2"/>
            <w:tcBorders>
              <w:top w:val="nil"/>
              <w:left w:val="nil"/>
              <w:bottom w:val="single" w:sz="4" w:space="0" w:color="auto"/>
              <w:right w:val="single" w:sz="4" w:space="0" w:color="auto"/>
            </w:tcBorders>
            <w:vAlign w:val="bottom"/>
            <w:hideMark/>
          </w:tcPr>
          <w:p w14:paraId="69B282D4"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432" w:type="dxa"/>
            <w:gridSpan w:val="4"/>
            <w:tcBorders>
              <w:top w:val="nil"/>
              <w:left w:val="nil"/>
              <w:bottom w:val="single" w:sz="4" w:space="0" w:color="auto"/>
              <w:right w:val="single" w:sz="4" w:space="0" w:color="auto"/>
            </w:tcBorders>
            <w:noWrap/>
            <w:vAlign w:val="bottom"/>
            <w:hideMark/>
          </w:tcPr>
          <w:p w14:paraId="0051FE0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140,709.00</w:t>
            </w:r>
          </w:p>
        </w:tc>
        <w:tc>
          <w:tcPr>
            <w:tcW w:w="1327" w:type="dxa"/>
            <w:gridSpan w:val="2"/>
            <w:tcBorders>
              <w:top w:val="nil"/>
              <w:left w:val="nil"/>
              <w:bottom w:val="single" w:sz="4" w:space="0" w:color="auto"/>
              <w:right w:val="single" w:sz="4" w:space="0" w:color="auto"/>
            </w:tcBorders>
            <w:noWrap/>
            <w:vAlign w:val="bottom"/>
            <w:hideMark/>
          </w:tcPr>
          <w:p w14:paraId="648ADB1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86,552.02</w:t>
            </w:r>
          </w:p>
        </w:tc>
        <w:tc>
          <w:tcPr>
            <w:tcW w:w="1368" w:type="dxa"/>
            <w:gridSpan w:val="3"/>
            <w:tcBorders>
              <w:top w:val="nil"/>
              <w:left w:val="nil"/>
              <w:bottom w:val="single" w:sz="4" w:space="0" w:color="auto"/>
              <w:right w:val="single" w:sz="4" w:space="0" w:color="auto"/>
            </w:tcBorders>
            <w:noWrap/>
            <w:vAlign w:val="bottom"/>
            <w:hideMark/>
          </w:tcPr>
          <w:p w14:paraId="3E03A99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288,002.00</w:t>
            </w:r>
          </w:p>
        </w:tc>
        <w:tc>
          <w:tcPr>
            <w:tcW w:w="1316" w:type="dxa"/>
            <w:gridSpan w:val="3"/>
            <w:tcBorders>
              <w:top w:val="nil"/>
              <w:left w:val="nil"/>
              <w:bottom w:val="single" w:sz="4" w:space="0" w:color="auto"/>
              <w:right w:val="single" w:sz="4" w:space="0" w:color="auto"/>
            </w:tcBorders>
            <w:noWrap/>
            <w:vAlign w:val="bottom"/>
            <w:hideMark/>
          </w:tcPr>
          <w:p w14:paraId="2D8E02D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288,000</w:t>
            </w:r>
          </w:p>
        </w:tc>
        <w:tc>
          <w:tcPr>
            <w:tcW w:w="1316" w:type="dxa"/>
            <w:gridSpan w:val="2"/>
            <w:tcBorders>
              <w:top w:val="nil"/>
              <w:left w:val="nil"/>
              <w:bottom w:val="single" w:sz="4" w:space="0" w:color="auto"/>
              <w:right w:val="single" w:sz="4" w:space="0" w:color="auto"/>
            </w:tcBorders>
            <w:noWrap/>
            <w:vAlign w:val="bottom"/>
            <w:hideMark/>
          </w:tcPr>
          <w:p w14:paraId="3C0FA4A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288,000</w:t>
            </w:r>
          </w:p>
        </w:tc>
        <w:tc>
          <w:tcPr>
            <w:tcW w:w="1316" w:type="dxa"/>
            <w:gridSpan w:val="2"/>
            <w:tcBorders>
              <w:top w:val="nil"/>
              <w:left w:val="nil"/>
              <w:bottom w:val="single" w:sz="4" w:space="0" w:color="auto"/>
              <w:right w:val="single" w:sz="4" w:space="0" w:color="auto"/>
            </w:tcBorders>
            <w:noWrap/>
            <w:vAlign w:val="bottom"/>
            <w:hideMark/>
          </w:tcPr>
          <w:p w14:paraId="3F2D985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288,000</w:t>
            </w:r>
          </w:p>
        </w:tc>
        <w:tc>
          <w:tcPr>
            <w:tcW w:w="1316" w:type="dxa"/>
            <w:gridSpan w:val="2"/>
            <w:tcBorders>
              <w:top w:val="nil"/>
              <w:left w:val="nil"/>
              <w:bottom w:val="single" w:sz="4" w:space="0" w:color="auto"/>
              <w:right w:val="single" w:sz="4" w:space="0" w:color="auto"/>
            </w:tcBorders>
            <w:noWrap/>
            <w:vAlign w:val="bottom"/>
            <w:hideMark/>
          </w:tcPr>
          <w:p w14:paraId="533A992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288,000</w:t>
            </w:r>
          </w:p>
        </w:tc>
        <w:tc>
          <w:tcPr>
            <w:tcW w:w="1316" w:type="dxa"/>
            <w:gridSpan w:val="2"/>
            <w:tcBorders>
              <w:top w:val="nil"/>
              <w:left w:val="nil"/>
              <w:bottom w:val="single" w:sz="4" w:space="0" w:color="auto"/>
              <w:right w:val="single" w:sz="4" w:space="0" w:color="auto"/>
            </w:tcBorders>
            <w:noWrap/>
            <w:vAlign w:val="bottom"/>
            <w:hideMark/>
          </w:tcPr>
          <w:p w14:paraId="0A131D1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288,000</w:t>
            </w:r>
          </w:p>
        </w:tc>
        <w:tc>
          <w:tcPr>
            <w:tcW w:w="1316" w:type="dxa"/>
            <w:gridSpan w:val="2"/>
            <w:tcBorders>
              <w:top w:val="nil"/>
              <w:left w:val="nil"/>
              <w:bottom w:val="single" w:sz="4" w:space="0" w:color="auto"/>
              <w:right w:val="single" w:sz="4" w:space="0" w:color="auto"/>
            </w:tcBorders>
            <w:noWrap/>
            <w:vAlign w:val="bottom"/>
            <w:hideMark/>
          </w:tcPr>
          <w:p w14:paraId="1A4F57E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288,000</w:t>
            </w:r>
          </w:p>
        </w:tc>
      </w:tr>
      <w:tr w:rsidR="00EA0FD7" w:rsidRPr="00EA0FD7" w14:paraId="7ED42304" w14:textId="77777777" w:rsidTr="00EA0FD7">
        <w:trPr>
          <w:trHeight w:val="480"/>
        </w:trPr>
        <w:tc>
          <w:tcPr>
            <w:tcW w:w="1195" w:type="dxa"/>
            <w:tcBorders>
              <w:top w:val="nil"/>
              <w:left w:val="single" w:sz="8" w:space="0" w:color="auto"/>
              <w:bottom w:val="single" w:sz="4" w:space="0" w:color="auto"/>
              <w:right w:val="single" w:sz="4" w:space="0" w:color="auto"/>
            </w:tcBorders>
            <w:noWrap/>
            <w:vAlign w:val="bottom"/>
            <w:hideMark/>
          </w:tcPr>
          <w:p w14:paraId="3D5341F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502" w:type="dxa"/>
            <w:gridSpan w:val="2"/>
            <w:tcBorders>
              <w:top w:val="nil"/>
              <w:left w:val="nil"/>
              <w:bottom w:val="single" w:sz="4" w:space="0" w:color="auto"/>
              <w:right w:val="single" w:sz="4" w:space="0" w:color="auto"/>
            </w:tcBorders>
            <w:vAlign w:val="bottom"/>
            <w:hideMark/>
          </w:tcPr>
          <w:p w14:paraId="3E15A2A0"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432" w:type="dxa"/>
            <w:gridSpan w:val="4"/>
            <w:tcBorders>
              <w:top w:val="nil"/>
              <w:left w:val="nil"/>
              <w:bottom w:val="single" w:sz="4" w:space="0" w:color="auto"/>
              <w:right w:val="single" w:sz="4" w:space="0" w:color="auto"/>
            </w:tcBorders>
            <w:noWrap/>
            <w:vAlign w:val="bottom"/>
            <w:hideMark/>
          </w:tcPr>
          <w:p w14:paraId="5F0CB96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842,716.00</w:t>
            </w:r>
          </w:p>
        </w:tc>
        <w:tc>
          <w:tcPr>
            <w:tcW w:w="1327" w:type="dxa"/>
            <w:gridSpan w:val="2"/>
            <w:tcBorders>
              <w:top w:val="nil"/>
              <w:left w:val="nil"/>
              <w:bottom w:val="single" w:sz="4" w:space="0" w:color="auto"/>
              <w:right w:val="single" w:sz="4" w:space="0" w:color="auto"/>
            </w:tcBorders>
            <w:noWrap/>
            <w:vAlign w:val="bottom"/>
            <w:hideMark/>
          </w:tcPr>
          <w:p w14:paraId="06327A9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721,354.57</w:t>
            </w:r>
          </w:p>
        </w:tc>
        <w:tc>
          <w:tcPr>
            <w:tcW w:w="1368" w:type="dxa"/>
            <w:gridSpan w:val="3"/>
            <w:tcBorders>
              <w:top w:val="nil"/>
              <w:left w:val="nil"/>
              <w:bottom w:val="single" w:sz="4" w:space="0" w:color="auto"/>
              <w:right w:val="single" w:sz="4" w:space="0" w:color="auto"/>
            </w:tcBorders>
            <w:noWrap/>
            <w:vAlign w:val="bottom"/>
            <w:hideMark/>
          </w:tcPr>
          <w:p w14:paraId="5996C81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812,272.00</w:t>
            </w:r>
          </w:p>
        </w:tc>
        <w:tc>
          <w:tcPr>
            <w:tcW w:w="1316" w:type="dxa"/>
            <w:gridSpan w:val="3"/>
            <w:tcBorders>
              <w:top w:val="nil"/>
              <w:left w:val="nil"/>
              <w:bottom w:val="single" w:sz="4" w:space="0" w:color="auto"/>
              <w:right w:val="single" w:sz="4" w:space="0" w:color="auto"/>
            </w:tcBorders>
            <w:noWrap/>
            <w:vAlign w:val="bottom"/>
            <w:hideMark/>
          </w:tcPr>
          <w:p w14:paraId="0886887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901,355</w:t>
            </w:r>
          </w:p>
        </w:tc>
        <w:tc>
          <w:tcPr>
            <w:tcW w:w="1316" w:type="dxa"/>
            <w:gridSpan w:val="2"/>
            <w:tcBorders>
              <w:top w:val="nil"/>
              <w:left w:val="nil"/>
              <w:bottom w:val="single" w:sz="4" w:space="0" w:color="auto"/>
              <w:right w:val="single" w:sz="4" w:space="0" w:color="auto"/>
            </w:tcBorders>
            <w:noWrap/>
            <w:vAlign w:val="bottom"/>
            <w:hideMark/>
          </w:tcPr>
          <w:p w14:paraId="2C2D6DC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807,910</w:t>
            </w:r>
          </w:p>
        </w:tc>
        <w:tc>
          <w:tcPr>
            <w:tcW w:w="1316" w:type="dxa"/>
            <w:gridSpan w:val="2"/>
            <w:tcBorders>
              <w:top w:val="nil"/>
              <w:left w:val="nil"/>
              <w:bottom w:val="single" w:sz="4" w:space="0" w:color="auto"/>
              <w:right w:val="single" w:sz="4" w:space="0" w:color="auto"/>
            </w:tcBorders>
            <w:noWrap/>
            <w:vAlign w:val="bottom"/>
            <w:hideMark/>
          </w:tcPr>
          <w:p w14:paraId="65DA635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746,355</w:t>
            </w:r>
          </w:p>
        </w:tc>
        <w:tc>
          <w:tcPr>
            <w:tcW w:w="1316" w:type="dxa"/>
            <w:gridSpan w:val="2"/>
            <w:tcBorders>
              <w:top w:val="nil"/>
              <w:left w:val="nil"/>
              <w:bottom w:val="single" w:sz="4" w:space="0" w:color="auto"/>
              <w:right w:val="single" w:sz="4" w:space="0" w:color="auto"/>
            </w:tcBorders>
            <w:noWrap/>
            <w:vAlign w:val="bottom"/>
            <w:hideMark/>
          </w:tcPr>
          <w:p w14:paraId="06228D0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901,355</w:t>
            </w:r>
          </w:p>
        </w:tc>
        <w:tc>
          <w:tcPr>
            <w:tcW w:w="1316" w:type="dxa"/>
            <w:gridSpan w:val="2"/>
            <w:tcBorders>
              <w:top w:val="nil"/>
              <w:left w:val="nil"/>
              <w:bottom w:val="single" w:sz="4" w:space="0" w:color="auto"/>
              <w:right w:val="single" w:sz="4" w:space="0" w:color="auto"/>
            </w:tcBorders>
            <w:noWrap/>
            <w:vAlign w:val="bottom"/>
            <w:hideMark/>
          </w:tcPr>
          <w:p w14:paraId="768804E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807,910</w:t>
            </w:r>
          </w:p>
        </w:tc>
        <w:tc>
          <w:tcPr>
            <w:tcW w:w="1316" w:type="dxa"/>
            <w:gridSpan w:val="2"/>
            <w:tcBorders>
              <w:top w:val="nil"/>
              <w:left w:val="nil"/>
              <w:bottom w:val="single" w:sz="4" w:space="0" w:color="auto"/>
              <w:right w:val="single" w:sz="4" w:space="0" w:color="auto"/>
            </w:tcBorders>
            <w:noWrap/>
            <w:vAlign w:val="bottom"/>
            <w:hideMark/>
          </w:tcPr>
          <w:p w14:paraId="5B30EBD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746,355</w:t>
            </w:r>
          </w:p>
        </w:tc>
      </w:tr>
      <w:tr w:rsidR="00EA0FD7" w:rsidRPr="00EA0FD7" w14:paraId="6573854A" w14:textId="77777777" w:rsidTr="00EA0FD7">
        <w:trPr>
          <w:trHeight w:val="480"/>
        </w:trPr>
        <w:tc>
          <w:tcPr>
            <w:tcW w:w="1195" w:type="dxa"/>
            <w:tcBorders>
              <w:top w:val="nil"/>
              <w:left w:val="single" w:sz="8" w:space="0" w:color="auto"/>
              <w:bottom w:val="single" w:sz="4" w:space="0" w:color="auto"/>
              <w:right w:val="single" w:sz="4" w:space="0" w:color="auto"/>
            </w:tcBorders>
            <w:vAlign w:val="bottom"/>
            <w:hideMark/>
          </w:tcPr>
          <w:p w14:paraId="2B504C1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614000</w:t>
            </w:r>
          </w:p>
        </w:tc>
        <w:tc>
          <w:tcPr>
            <w:tcW w:w="2502" w:type="dxa"/>
            <w:gridSpan w:val="2"/>
            <w:tcBorders>
              <w:top w:val="nil"/>
              <w:left w:val="nil"/>
              <w:bottom w:val="single" w:sz="4" w:space="0" w:color="auto"/>
              <w:right w:val="single" w:sz="4" w:space="0" w:color="auto"/>
            </w:tcBorders>
            <w:vAlign w:val="bottom"/>
            <w:hideMark/>
          </w:tcPr>
          <w:p w14:paraId="4283B6BE"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432" w:type="dxa"/>
            <w:gridSpan w:val="4"/>
            <w:tcBorders>
              <w:top w:val="nil"/>
              <w:left w:val="nil"/>
              <w:bottom w:val="single" w:sz="4" w:space="0" w:color="auto"/>
              <w:right w:val="single" w:sz="4" w:space="0" w:color="auto"/>
            </w:tcBorders>
            <w:noWrap/>
            <w:vAlign w:val="bottom"/>
            <w:hideMark/>
          </w:tcPr>
          <w:p w14:paraId="52066D3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27" w:type="dxa"/>
            <w:gridSpan w:val="2"/>
            <w:tcBorders>
              <w:top w:val="nil"/>
              <w:left w:val="nil"/>
              <w:bottom w:val="single" w:sz="4" w:space="0" w:color="auto"/>
              <w:right w:val="single" w:sz="4" w:space="0" w:color="auto"/>
            </w:tcBorders>
            <w:noWrap/>
            <w:vAlign w:val="bottom"/>
            <w:hideMark/>
          </w:tcPr>
          <w:p w14:paraId="5B97C64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68" w:type="dxa"/>
            <w:gridSpan w:val="3"/>
            <w:tcBorders>
              <w:top w:val="nil"/>
              <w:left w:val="nil"/>
              <w:bottom w:val="single" w:sz="4" w:space="0" w:color="auto"/>
              <w:right w:val="single" w:sz="4" w:space="0" w:color="auto"/>
            </w:tcBorders>
            <w:noWrap/>
            <w:vAlign w:val="bottom"/>
            <w:hideMark/>
          </w:tcPr>
          <w:p w14:paraId="689F0EC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gridSpan w:val="3"/>
            <w:tcBorders>
              <w:top w:val="nil"/>
              <w:left w:val="nil"/>
              <w:bottom w:val="single" w:sz="4" w:space="0" w:color="auto"/>
              <w:right w:val="single" w:sz="4" w:space="0" w:color="auto"/>
            </w:tcBorders>
            <w:noWrap/>
            <w:vAlign w:val="bottom"/>
            <w:hideMark/>
          </w:tcPr>
          <w:p w14:paraId="3905BDF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2C56250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7FD7EF2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19FFD64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06CB894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495F3B5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5A35C103" w14:textId="77777777" w:rsidTr="00EA0FD7">
        <w:trPr>
          <w:trHeight w:val="240"/>
        </w:trPr>
        <w:tc>
          <w:tcPr>
            <w:tcW w:w="1195" w:type="dxa"/>
            <w:tcBorders>
              <w:top w:val="nil"/>
              <w:left w:val="single" w:sz="8" w:space="0" w:color="auto"/>
              <w:bottom w:val="nil"/>
              <w:right w:val="single" w:sz="4" w:space="0" w:color="auto"/>
            </w:tcBorders>
            <w:vAlign w:val="bottom"/>
            <w:hideMark/>
          </w:tcPr>
          <w:p w14:paraId="1BCD532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615000</w:t>
            </w:r>
          </w:p>
        </w:tc>
        <w:tc>
          <w:tcPr>
            <w:tcW w:w="2502" w:type="dxa"/>
            <w:gridSpan w:val="2"/>
            <w:tcBorders>
              <w:top w:val="nil"/>
              <w:left w:val="nil"/>
              <w:bottom w:val="nil"/>
              <w:right w:val="single" w:sz="4" w:space="0" w:color="auto"/>
            </w:tcBorders>
            <w:vAlign w:val="bottom"/>
            <w:hideMark/>
          </w:tcPr>
          <w:p w14:paraId="2EFCE9BF"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432" w:type="dxa"/>
            <w:gridSpan w:val="4"/>
            <w:tcBorders>
              <w:top w:val="nil"/>
              <w:left w:val="nil"/>
              <w:bottom w:val="nil"/>
              <w:right w:val="single" w:sz="4" w:space="0" w:color="auto"/>
            </w:tcBorders>
            <w:noWrap/>
            <w:vAlign w:val="bottom"/>
            <w:hideMark/>
          </w:tcPr>
          <w:p w14:paraId="37A01CA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27" w:type="dxa"/>
            <w:gridSpan w:val="2"/>
            <w:tcBorders>
              <w:top w:val="nil"/>
              <w:left w:val="nil"/>
              <w:bottom w:val="nil"/>
              <w:right w:val="single" w:sz="4" w:space="0" w:color="auto"/>
            </w:tcBorders>
            <w:noWrap/>
            <w:vAlign w:val="bottom"/>
            <w:hideMark/>
          </w:tcPr>
          <w:p w14:paraId="14780B7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68" w:type="dxa"/>
            <w:gridSpan w:val="3"/>
            <w:tcBorders>
              <w:top w:val="nil"/>
              <w:left w:val="nil"/>
              <w:bottom w:val="nil"/>
              <w:right w:val="single" w:sz="4" w:space="0" w:color="auto"/>
            </w:tcBorders>
            <w:noWrap/>
            <w:vAlign w:val="bottom"/>
            <w:hideMark/>
          </w:tcPr>
          <w:p w14:paraId="5C5C6AB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gridSpan w:val="3"/>
            <w:tcBorders>
              <w:top w:val="nil"/>
              <w:left w:val="nil"/>
              <w:bottom w:val="nil"/>
              <w:right w:val="single" w:sz="4" w:space="0" w:color="auto"/>
            </w:tcBorders>
            <w:noWrap/>
            <w:vAlign w:val="bottom"/>
            <w:hideMark/>
          </w:tcPr>
          <w:p w14:paraId="60768E7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nil"/>
              <w:right w:val="single" w:sz="4" w:space="0" w:color="auto"/>
            </w:tcBorders>
            <w:noWrap/>
            <w:vAlign w:val="bottom"/>
            <w:hideMark/>
          </w:tcPr>
          <w:p w14:paraId="3F44A74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nil"/>
              <w:right w:val="single" w:sz="4" w:space="0" w:color="auto"/>
            </w:tcBorders>
            <w:noWrap/>
            <w:vAlign w:val="bottom"/>
            <w:hideMark/>
          </w:tcPr>
          <w:p w14:paraId="47D30BA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nil"/>
              <w:right w:val="single" w:sz="4" w:space="0" w:color="auto"/>
            </w:tcBorders>
            <w:noWrap/>
            <w:vAlign w:val="bottom"/>
            <w:hideMark/>
          </w:tcPr>
          <w:p w14:paraId="067358A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nil"/>
              <w:right w:val="single" w:sz="4" w:space="0" w:color="auto"/>
            </w:tcBorders>
            <w:noWrap/>
            <w:vAlign w:val="bottom"/>
            <w:hideMark/>
          </w:tcPr>
          <w:p w14:paraId="121D5EC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nil"/>
              <w:right w:val="single" w:sz="4" w:space="0" w:color="auto"/>
            </w:tcBorders>
            <w:noWrap/>
            <w:vAlign w:val="bottom"/>
            <w:hideMark/>
          </w:tcPr>
          <w:p w14:paraId="0BC9DD2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2DCA0D65" w14:textId="77777777" w:rsidTr="00EA0FD7">
        <w:trPr>
          <w:trHeight w:val="585"/>
        </w:trPr>
        <w:tc>
          <w:tcPr>
            <w:tcW w:w="1195" w:type="dxa"/>
            <w:tcBorders>
              <w:top w:val="single" w:sz="4" w:space="0" w:color="auto"/>
              <w:left w:val="single" w:sz="8" w:space="0" w:color="auto"/>
              <w:bottom w:val="nil"/>
              <w:right w:val="single" w:sz="4" w:space="0" w:color="auto"/>
            </w:tcBorders>
            <w:noWrap/>
            <w:vAlign w:val="bottom"/>
            <w:hideMark/>
          </w:tcPr>
          <w:p w14:paraId="5B3A717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lastRenderedPageBreak/>
              <w:t>821000</w:t>
            </w:r>
          </w:p>
        </w:tc>
        <w:tc>
          <w:tcPr>
            <w:tcW w:w="2502" w:type="dxa"/>
            <w:gridSpan w:val="2"/>
            <w:tcBorders>
              <w:top w:val="single" w:sz="4" w:space="0" w:color="auto"/>
              <w:left w:val="nil"/>
              <w:bottom w:val="nil"/>
              <w:right w:val="single" w:sz="4" w:space="0" w:color="auto"/>
            </w:tcBorders>
            <w:vAlign w:val="bottom"/>
            <w:hideMark/>
          </w:tcPr>
          <w:p w14:paraId="6C20F412"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432" w:type="dxa"/>
            <w:gridSpan w:val="4"/>
            <w:tcBorders>
              <w:top w:val="single" w:sz="4" w:space="0" w:color="auto"/>
              <w:left w:val="nil"/>
              <w:bottom w:val="nil"/>
              <w:right w:val="single" w:sz="4" w:space="0" w:color="auto"/>
            </w:tcBorders>
            <w:noWrap/>
            <w:vAlign w:val="bottom"/>
            <w:hideMark/>
          </w:tcPr>
          <w:p w14:paraId="474035B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273,000.00</w:t>
            </w:r>
          </w:p>
        </w:tc>
        <w:tc>
          <w:tcPr>
            <w:tcW w:w="1327" w:type="dxa"/>
            <w:gridSpan w:val="2"/>
            <w:tcBorders>
              <w:top w:val="single" w:sz="4" w:space="0" w:color="auto"/>
              <w:left w:val="nil"/>
              <w:bottom w:val="nil"/>
              <w:right w:val="single" w:sz="4" w:space="0" w:color="auto"/>
            </w:tcBorders>
            <w:noWrap/>
            <w:vAlign w:val="bottom"/>
            <w:hideMark/>
          </w:tcPr>
          <w:p w14:paraId="0558E1E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68" w:type="dxa"/>
            <w:gridSpan w:val="3"/>
            <w:tcBorders>
              <w:top w:val="single" w:sz="4" w:space="0" w:color="auto"/>
              <w:left w:val="nil"/>
              <w:bottom w:val="nil"/>
              <w:right w:val="single" w:sz="4" w:space="0" w:color="auto"/>
            </w:tcBorders>
            <w:noWrap/>
            <w:vAlign w:val="bottom"/>
            <w:hideMark/>
          </w:tcPr>
          <w:p w14:paraId="3DDE440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293,000.00</w:t>
            </w:r>
          </w:p>
        </w:tc>
        <w:tc>
          <w:tcPr>
            <w:tcW w:w="1316" w:type="dxa"/>
            <w:gridSpan w:val="3"/>
            <w:tcBorders>
              <w:top w:val="single" w:sz="4" w:space="0" w:color="auto"/>
              <w:left w:val="nil"/>
              <w:bottom w:val="nil"/>
              <w:right w:val="single" w:sz="4" w:space="0" w:color="auto"/>
            </w:tcBorders>
            <w:noWrap/>
            <w:vAlign w:val="bottom"/>
            <w:hideMark/>
          </w:tcPr>
          <w:p w14:paraId="12E407A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400,000</w:t>
            </w:r>
          </w:p>
        </w:tc>
        <w:tc>
          <w:tcPr>
            <w:tcW w:w="1316" w:type="dxa"/>
            <w:gridSpan w:val="2"/>
            <w:tcBorders>
              <w:top w:val="single" w:sz="4" w:space="0" w:color="auto"/>
              <w:left w:val="nil"/>
              <w:bottom w:val="nil"/>
              <w:right w:val="single" w:sz="4" w:space="0" w:color="auto"/>
            </w:tcBorders>
            <w:noWrap/>
            <w:vAlign w:val="bottom"/>
            <w:hideMark/>
          </w:tcPr>
          <w:p w14:paraId="5107307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600,000</w:t>
            </w:r>
          </w:p>
        </w:tc>
        <w:tc>
          <w:tcPr>
            <w:tcW w:w="1316" w:type="dxa"/>
            <w:gridSpan w:val="2"/>
            <w:tcBorders>
              <w:top w:val="single" w:sz="4" w:space="0" w:color="auto"/>
              <w:left w:val="nil"/>
              <w:bottom w:val="nil"/>
              <w:right w:val="single" w:sz="4" w:space="0" w:color="auto"/>
            </w:tcBorders>
            <w:noWrap/>
            <w:vAlign w:val="bottom"/>
            <w:hideMark/>
          </w:tcPr>
          <w:p w14:paraId="1BDC37E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200,000</w:t>
            </w:r>
          </w:p>
        </w:tc>
        <w:tc>
          <w:tcPr>
            <w:tcW w:w="1316" w:type="dxa"/>
            <w:gridSpan w:val="2"/>
            <w:tcBorders>
              <w:top w:val="single" w:sz="4" w:space="0" w:color="auto"/>
              <w:left w:val="nil"/>
              <w:bottom w:val="nil"/>
              <w:right w:val="single" w:sz="4" w:space="0" w:color="auto"/>
            </w:tcBorders>
            <w:noWrap/>
            <w:vAlign w:val="bottom"/>
            <w:hideMark/>
          </w:tcPr>
          <w:p w14:paraId="6A59627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500,000</w:t>
            </w:r>
          </w:p>
        </w:tc>
        <w:tc>
          <w:tcPr>
            <w:tcW w:w="1316" w:type="dxa"/>
            <w:gridSpan w:val="2"/>
            <w:tcBorders>
              <w:top w:val="single" w:sz="4" w:space="0" w:color="auto"/>
              <w:left w:val="nil"/>
              <w:bottom w:val="nil"/>
              <w:right w:val="single" w:sz="4" w:space="0" w:color="auto"/>
            </w:tcBorders>
            <w:noWrap/>
            <w:vAlign w:val="bottom"/>
            <w:hideMark/>
          </w:tcPr>
          <w:p w14:paraId="02248A3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600,000</w:t>
            </w:r>
          </w:p>
        </w:tc>
        <w:tc>
          <w:tcPr>
            <w:tcW w:w="1316" w:type="dxa"/>
            <w:gridSpan w:val="2"/>
            <w:tcBorders>
              <w:top w:val="single" w:sz="4" w:space="0" w:color="auto"/>
              <w:left w:val="nil"/>
              <w:bottom w:val="nil"/>
              <w:right w:val="single" w:sz="4" w:space="0" w:color="auto"/>
            </w:tcBorders>
            <w:noWrap/>
            <w:vAlign w:val="bottom"/>
            <w:hideMark/>
          </w:tcPr>
          <w:p w14:paraId="4ED71EE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200,000</w:t>
            </w:r>
          </w:p>
        </w:tc>
      </w:tr>
      <w:tr w:rsidR="00EA0FD7" w:rsidRPr="00EA0FD7" w14:paraId="25504F60" w14:textId="77777777" w:rsidTr="00EA0FD7">
        <w:trPr>
          <w:trHeight w:val="255"/>
        </w:trPr>
        <w:tc>
          <w:tcPr>
            <w:tcW w:w="1195" w:type="dxa"/>
            <w:tcBorders>
              <w:top w:val="single" w:sz="8" w:space="0" w:color="auto"/>
              <w:left w:val="single" w:sz="8" w:space="0" w:color="auto"/>
              <w:bottom w:val="single" w:sz="8" w:space="0" w:color="auto"/>
              <w:right w:val="single" w:sz="8" w:space="0" w:color="auto"/>
            </w:tcBorders>
            <w:noWrap/>
            <w:vAlign w:val="bottom"/>
            <w:hideMark/>
          </w:tcPr>
          <w:p w14:paraId="3B70950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02" w:type="dxa"/>
            <w:gridSpan w:val="2"/>
            <w:tcBorders>
              <w:top w:val="single" w:sz="8" w:space="0" w:color="auto"/>
              <w:left w:val="nil"/>
              <w:bottom w:val="single" w:sz="8" w:space="0" w:color="auto"/>
              <w:right w:val="single" w:sz="8" w:space="0" w:color="auto"/>
            </w:tcBorders>
            <w:noWrap/>
            <w:vAlign w:val="bottom"/>
            <w:hideMark/>
          </w:tcPr>
          <w:p w14:paraId="69116C3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432" w:type="dxa"/>
            <w:gridSpan w:val="4"/>
            <w:tcBorders>
              <w:top w:val="single" w:sz="8" w:space="0" w:color="auto"/>
              <w:left w:val="nil"/>
              <w:bottom w:val="single" w:sz="8" w:space="0" w:color="auto"/>
              <w:right w:val="single" w:sz="8" w:space="0" w:color="auto"/>
            </w:tcBorders>
            <w:noWrap/>
            <w:vAlign w:val="bottom"/>
            <w:hideMark/>
          </w:tcPr>
          <w:p w14:paraId="5C70F81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4,956,950.90</w:t>
            </w:r>
          </w:p>
        </w:tc>
        <w:tc>
          <w:tcPr>
            <w:tcW w:w="1327" w:type="dxa"/>
            <w:gridSpan w:val="2"/>
            <w:tcBorders>
              <w:top w:val="single" w:sz="8" w:space="0" w:color="auto"/>
              <w:left w:val="nil"/>
              <w:bottom w:val="single" w:sz="8" w:space="0" w:color="auto"/>
              <w:right w:val="single" w:sz="8" w:space="0" w:color="auto"/>
            </w:tcBorders>
            <w:noWrap/>
            <w:vAlign w:val="bottom"/>
            <w:hideMark/>
          </w:tcPr>
          <w:p w14:paraId="74EB0F4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4,425,228.89</w:t>
            </w:r>
          </w:p>
        </w:tc>
        <w:tc>
          <w:tcPr>
            <w:tcW w:w="1368" w:type="dxa"/>
            <w:gridSpan w:val="3"/>
            <w:tcBorders>
              <w:top w:val="single" w:sz="8" w:space="0" w:color="auto"/>
              <w:left w:val="nil"/>
              <w:bottom w:val="single" w:sz="8" w:space="0" w:color="auto"/>
              <w:right w:val="single" w:sz="8" w:space="0" w:color="auto"/>
            </w:tcBorders>
            <w:noWrap/>
            <w:vAlign w:val="bottom"/>
            <w:hideMark/>
          </w:tcPr>
          <w:p w14:paraId="78B51C9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5,330,078.80</w:t>
            </w:r>
          </w:p>
        </w:tc>
        <w:tc>
          <w:tcPr>
            <w:tcW w:w="1316" w:type="dxa"/>
            <w:gridSpan w:val="3"/>
            <w:tcBorders>
              <w:top w:val="single" w:sz="8" w:space="0" w:color="auto"/>
              <w:left w:val="nil"/>
              <w:bottom w:val="single" w:sz="8" w:space="0" w:color="auto"/>
              <w:right w:val="single" w:sz="8" w:space="0" w:color="auto"/>
            </w:tcBorders>
            <w:noWrap/>
            <w:vAlign w:val="bottom"/>
            <w:hideMark/>
          </w:tcPr>
          <w:p w14:paraId="5716769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5,594,009</w:t>
            </w:r>
          </w:p>
        </w:tc>
        <w:tc>
          <w:tcPr>
            <w:tcW w:w="1316" w:type="dxa"/>
            <w:gridSpan w:val="2"/>
            <w:tcBorders>
              <w:top w:val="single" w:sz="8" w:space="0" w:color="auto"/>
              <w:left w:val="nil"/>
              <w:bottom w:val="single" w:sz="8" w:space="0" w:color="auto"/>
              <w:right w:val="single" w:sz="8" w:space="0" w:color="auto"/>
            </w:tcBorders>
            <w:noWrap/>
            <w:vAlign w:val="bottom"/>
            <w:hideMark/>
          </w:tcPr>
          <w:p w14:paraId="13D05F7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5,700,564</w:t>
            </w:r>
          </w:p>
        </w:tc>
        <w:tc>
          <w:tcPr>
            <w:tcW w:w="1316" w:type="dxa"/>
            <w:gridSpan w:val="2"/>
            <w:tcBorders>
              <w:top w:val="single" w:sz="8" w:space="0" w:color="auto"/>
              <w:left w:val="nil"/>
              <w:bottom w:val="single" w:sz="8" w:space="0" w:color="auto"/>
              <w:right w:val="single" w:sz="8" w:space="0" w:color="auto"/>
            </w:tcBorders>
            <w:noWrap/>
            <w:vAlign w:val="bottom"/>
            <w:hideMark/>
          </w:tcPr>
          <w:p w14:paraId="3BEA2AB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5,222,060</w:t>
            </w:r>
          </w:p>
        </w:tc>
        <w:tc>
          <w:tcPr>
            <w:tcW w:w="1316" w:type="dxa"/>
            <w:gridSpan w:val="2"/>
            <w:tcBorders>
              <w:top w:val="single" w:sz="8" w:space="0" w:color="auto"/>
              <w:left w:val="nil"/>
              <w:bottom w:val="single" w:sz="8" w:space="0" w:color="auto"/>
              <w:right w:val="single" w:sz="8" w:space="0" w:color="auto"/>
            </w:tcBorders>
            <w:noWrap/>
            <w:vAlign w:val="bottom"/>
            <w:hideMark/>
          </w:tcPr>
          <w:p w14:paraId="2174D4C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5,694,009</w:t>
            </w:r>
          </w:p>
        </w:tc>
        <w:tc>
          <w:tcPr>
            <w:tcW w:w="1316" w:type="dxa"/>
            <w:gridSpan w:val="2"/>
            <w:tcBorders>
              <w:top w:val="single" w:sz="8" w:space="0" w:color="auto"/>
              <w:left w:val="nil"/>
              <w:bottom w:val="single" w:sz="8" w:space="0" w:color="auto"/>
              <w:right w:val="single" w:sz="8" w:space="0" w:color="auto"/>
            </w:tcBorders>
            <w:noWrap/>
            <w:vAlign w:val="bottom"/>
            <w:hideMark/>
          </w:tcPr>
          <w:p w14:paraId="1A14395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5,700,564</w:t>
            </w:r>
          </w:p>
        </w:tc>
        <w:tc>
          <w:tcPr>
            <w:tcW w:w="1316" w:type="dxa"/>
            <w:gridSpan w:val="2"/>
            <w:tcBorders>
              <w:top w:val="single" w:sz="8" w:space="0" w:color="auto"/>
              <w:left w:val="nil"/>
              <w:bottom w:val="single" w:sz="8" w:space="0" w:color="auto"/>
              <w:right w:val="single" w:sz="8" w:space="0" w:color="auto"/>
            </w:tcBorders>
            <w:noWrap/>
            <w:vAlign w:val="bottom"/>
            <w:hideMark/>
          </w:tcPr>
          <w:p w14:paraId="14E80D3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5,222,060</w:t>
            </w:r>
          </w:p>
        </w:tc>
      </w:tr>
      <w:tr w:rsidR="00EA0FD7" w:rsidRPr="00EA0FD7" w14:paraId="5D62C33B" w14:textId="77777777" w:rsidTr="00EA0FD7">
        <w:trPr>
          <w:trHeight w:val="240"/>
        </w:trPr>
        <w:tc>
          <w:tcPr>
            <w:tcW w:w="1195" w:type="dxa"/>
            <w:tcBorders>
              <w:top w:val="nil"/>
              <w:left w:val="single" w:sz="8" w:space="0" w:color="auto"/>
              <w:bottom w:val="nil"/>
              <w:right w:val="nil"/>
            </w:tcBorders>
            <w:noWrap/>
            <w:vAlign w:val="bottom"/>
            <w:hideMark/>
          </w:tcPr>
          <w:p w14:paraId="1501DF8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02" w:type="dxa"/>
            <w:gridSpan w:val="2"/>
            <w:noWrap/>
            <w:vAlign w:val="bottom"/>
          </w:tcPr>
          <w:p w14:paraId="03E92D17"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432" w:type="dxa"/>
            <w:gridSpan w:val="4"/>
            <w:noWrap/>
            <w:vAlign w:val="bottom"/>
          </w:tcPr>
          <w:p w14:paraId="2373862D"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27" w:type="dxa"/>
            <w:gridSpan w:val="2"/>
            <w:noWrap/>
            <w:vAlign w:val="bottom"/>
          </w:tcPr>
          <w:p w14:paraId="21EF3661"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68" w:type="dxa"/>
            <w:gridSpan w:val="3"/>
            <w:noWrap/>
            <w:vAlign w:val="bottom"/>
          </w:tcPr>
          <w:p w14:paraId="7105EC65"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3"/>
            <w:noWrap/>
            <w:vAlign w:val="bottom"/>
          </w:tcPr>
          <w:p w14:paraId="0B4AD1A3"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5058FFE7"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015E28C6"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144EDDF8"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30A622C0"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tcBorders>
              <w:top w:val="nil"/>
              <w:left w:val="nil"/>
              <w:bottom w:val="nil"/>
              <w:right w:val="single" w:sz="8" w:space="0" w:color="auto"/>
            </w:tcBorders>
            <w:noWrap/>
            <w:vAlign w:val="bottom"/>
            <w:hideMark/>
          </w:tcPr>
          <w:p w14:paraId="708FF2CE"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17E9660A" w14:textId="77777777" w:rsidTr="00EA0FD7">
        <w:trPr>
          <w:trHeight w:val="240"/>
        </w:trPr>
        <w:tc>
          <w:tcPr>
            <w:tcW w:w="1195" w:type="dxa"/>
            <w:tcBorders>
              <w:top w:val="single" w:sz="8" w:space="0" w:color="auto"/>
              <w:left w:val="single" w:sz="8" w:space="0" w:color="auto"/>
              <w:bottom w:val="single" w:sz="8" w:space="0" w:color="auto"/>
              <w:right w:val="single" w:sz="8" w:space="0" w:color="auto"/>
            </w:tcBorders>
            <w:noWrap/>
            <w:vAlign w:val="bottom"/>
            <w:hideMark/>
          </w:tcPr>
          <w:p w14:paraId="30E8905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02" w:type="dxa"/>
            <w:gridSpan w:val="2"/>
            <w:tcBorders>
              <w:top w:val="single" w:sz="8" w:space="0" w:color="auto"/>
              <w:left w:val="nil"/>
              <w:bottom w:val="single" w:sz="8" w:space="0" w:color="auto"/>
              <w:right w:val="single" w:sz="8" w:space="0" w:color="auto"/>
            </w:tcBorders>
            <w:noWrap/>
            <w:vAlign w:val="bottom"/>
            <w:hideMark/>
          </w:tcPr>
          <w:p w14:paraId="64F7292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432" w:type="dxa"/>
            <w:gridSpan w:val="4"/>
            <w:tcBorders>
              <w:top w:val="single" w:sz="8" w:space="0" w:color="auto"/>
              <w:left w:val="nil"/>
              <w:bottom w:val="single" w:sz="8" w:space="0" w:color="auto"/>
              <w:right w:val="single" w:sz="8" w:space="0" w:color="auto"/>
            </w:tcBorders>
            <w:noWrap/>
            <w:vAlign w:val="bottom"/>
            <w:hideMark/>
          </w:tcPr>
          <w:p w14:paraId="78F1E60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179</w:t>
            </w:r>
          </w:p>
        </w:tc>
        <w:tc>
          <w:tcPr>
            <w:tcW w:w="1327" w:type="dxa"/>
            <w:gridSpan w:val="2"/>
            <w:tcBorders>
              <w:top w:val="single" w:sz="8" w:space="0" w:color="auto"/>
              <w:left w:val="nil"/>
              <w:bottom w:val="single" w:sz="8" w:space="0" w:color="auto"/>
              <w:right w:val="single" w:sz="8" w:space="0" w:color="auto"/>
            </w:tcBorders>
            <w:noWrap/>
            <w:vAlign w:val="bottom"/>
            <w:hideMark/>
          </w:tcPr>
          <w:p w14:paraId="73126AD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176</w:t>
            </w:r>
          </w:p>
        </w:tc>
        <w:tc>
          <w:tcPr>
            <w:tcW w:w="1368" w:type="dxa"/>
            <w:gridSpan w:val="3"/>
            <w:tcBorders>
              <w:top w:val="single" w:sz="8" w:space="0" w:color="auto"/>
              <w:left w:val="nil"/>
              <w:bottom w:val="single" w:sz="8" w:space="0" w:color="auto"/>
              <w:right w:val="single" w:sz="8" w:space="0" w:color="auto"/>
            </w:tcBorders>
            <w:noWrap/>
            <w:vAlign w:val="bottom"/>
            <w:hideMark/>
          </w:tcPr>
          <w:p w14:paraId="249A95B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179</w:t>
            </w:r>
          </w:p>
        </w:tc>
        <w:tc>
          <w:tcPr>
            <w:tcW w:w="1316" w:type="dxa"/>
            <w:gridSpan w:val="3"/>
            <w:tcBorders>
              <w:top w:val="single" w:sz="8" w:space="0" w:color="auto"/>
              <w:left w:val="nil"/>
              <w:bottom w:val="single" w:sz="8" w:space="0" w:color="auto"/>
              <w:right w:val="single" w:sz="8" w:space="0" w:color="auto"/>
            </w:tcBorders>
            <w:noWrap/>
            <w:vAlign w:val="bottom"/>
            <w:hideMark/>
          </w:tcPr>
          <w:p w14:paraId="596DBFC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179</w:t>
            </w:r>
          </w:p>
        </w:tc>
        <w:tc>
          <w:tcPr>
            <w:tcW w:w="1316" w:type="dxa"/>
            <w:gridSpan w:val="2"/>
            <w:tcBorders>
              <w:top w:val="single" w:sz="8" w:space="0" w:color="auto"/>
              <w:left w:val="nil"/>
              <w:bottom w:val="single" w:sz="8" w:space="0" w:color="auto"/>
              <w:right w:val="single" w:sz="8" w:space="0" w:color="auto"/>
            </w:tcBorders>
            <w:noWrap/>
            <w:vAlign w:val="bottom"/>
            <w:hideMark/>
          </w:tcPr>
          <w:p w14:paraId="626327A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179</w:t>
            </w:r>
          </w:p>
        </w:tc>
        <w:tc>
          <w:tcPr>
            <w:tcW w:w="1316" w:type="dxa"/>
            <w:gridSpan w:val="2"/>
            <w:tcBorders>
              <w:top w:val="single" w:sz="8" w:space="0" w:color="auto"/>
              <w:left w:val="nil"/>
              <w:bottom w:val="single" w:sz="8" w:space="0" w:color="auto"/>
              <w:right w:val="single" w:sz="8" w:space="0" w:color="auto"/>
            </w:tcBorders>
            <w:noWrap/>
            <w:vAlign w:val="bottom"/>
            <w:hideMark/>
          </w:tcPr>
          <w:p w14:paraId="10F452B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179</w:t>
            </w:r>
          </w:p>
        </w:tc>
        <w:tc>
          <w:tcPr>
            <w:tcW w:w="1316" w:type="dxa"/>
            <w:gridSpan w:val="2"/>
            <w:tcBorders>
              <w:top w:val="single" w:sz="8" w:space="0" w:color="auto"/>
              <w:left w:val="nil"/>
              <w:bottom w:val="single" w:sz="8" w:space="0" w:color="auto"/>
              <w:right w:val="single" w:sz="8" w:space="0" w:color="auto"/>
            </w:tcBorders>
            <w:noWrap/>
            <w:vAlign w:val="bottom"/>
            <w:hideMark/>
          </w:tcPr>
          <w:p w14:paraId="0816CAD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179</w:t>
            </w:r>
          </w:p>
        </w:tc>
        <w:tc>
          <w:tcPr>
            <w:tcW w:w="1316" w:type="dxa"/>
            <w:gridSpan w:val="2"/>
            <w:tcBorders>
              <w:top w:val="single" w:sz="8" w:space="0" w:color="auto"/>
              <w:left w:val="nil"/>
              <w:bottom w:val="single" w:sz="8" w:space="0" w:color="auto"/>
              <w:right w:val="single" w:sz="8" w:space="0" w:color="auto"/>
            </w:tcBorders>
            <w:noWrap/>
            <w:vAlign w:val="bottom"/>
            <w:hideMark/>
          </w:tcPr>
          <w:p w14:paraId="6D6F899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179</w:t>
            </w:r>
          </w:p>
        </w:tc>
        <w:tc>
          <w:tcPr>
            <w:tcW w:w="1316" w:type="dxa"/>
            <w:gridSpan w:val="2"/>
            <w:tcBorders>
              <w:top w:val="single" w:sz="8" w:space="0" w:color="auto"/>
              <w:left w:val="nil"/>
              <w:bottom w:val="single" w:sz="8" w:space="0" w:color="auto"/>
              <w:right w:val="single" w:sz="8" w:space="0" w:color="auto"/>
            </w:tcBorders>
            <w:noWrap/>
            <w:vAlign w:val="bottom"/>
            <w:hideMark/>
          </w:tcPr>
          <w:p w14:paraId="6AFD711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179</w:t>
            </w:r>
          </w:p>
        </w:tc>
      </w:tr>
      <w:tr w:rsidR="00EA0FD7" w:rsidRPr="00EA0FD7" w14:paraId="529E222C" w14:textId="77777777" w:rsidTr="00EA0FD7">
        <w:trPr>
          <w:gridAfter w:val="1"/>
          <w:wAfter w:w="32" w:type="dxa"/>
          <w:trHeight w:val="345"/>
        </w:trPr>
        <w:tc>
          <w:tcPr>
            <w:tcW w:w="6456" w:type="dxa"/>
            <w:gridSpan w:val="9"/>
            <w:tcBorders>
              <w:top w:val="nil"/>
              <w:left w:val="nil"/>
              <w:bottom w:val="single" w:sz="8" w:space="0" w:color="auto"/>
              <w:right w:val="nil"/>
            </w:tcBorders>
            <w:noWrap/>
            <w:vAlign w:val="bottom"/>
            <w:hideMark/>
          </w:tcPr>
          <w:p w14:paraId="6FFC54E3" w14:textId="0F51F974"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26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КОМИСИЈА ЗА </w:t>
            </w:r>
            <w:r w:rsidR="00752F04">
              <w:rPr>
                <w:rFonts w:ascii="Arial" w:eastAsia="Times New Roman" w:hAnsi="Arial" w:cs="Arial"/>
                <w:b/>
                <w:bCs/>
                <w:sz w:val="20"/>
                <w:szCs w:val="20"/>
                <w:lang w:val="sr-Cyrl-RS"/>
              </w:rPr>
              <w:t>ХАРТИЈЕ</w:t>
            </w:r>
            <w:r w:rsidRPr="00EA0FD7">
              <w:rPr>
                <w:rFonts w:ascii="Arial" w:eastAsia="Times New Roman" w:hAnsi="Arial" w:cs="Arial"/>
                <w:b/>
                <w:bCs/>
                <w:sz w:val="20"/>
                <w:szCs w:val="20"/>
                <w:lang w:val="sr-Cyrl-RS"/>
              </w:rPr>
              <w:t xml:space="preserve"> ОД ВРИЈЕДНОСТИ</w:t>
            </w:r>
          </w:p>
        </w:tc>
        <w:tc>
          <w:tcPr>
            <w:tcW w:w="1336" w:type="dxa"/>
            <w:gridSpan w:val="2"/>
            <w:noWrap/>
            <w:vAlign w:val="bottom"/>
          </w:tcPr>
          <w:p w14:paraId="3E517EB4"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3"/>
            <w:noWrap/>
            <w:vAlign w:val="bottom"/>
          </w:tcPr>
          <w:p w14:paraId="57768B24"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79C4D66A"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0F62A7C2"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56CA6BB5"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2E92DB5E"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52F66C1B"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356B902B" w14:textId="77777777" w:rsidTr="00EA0FD7">
        <w:trPr>
          <w:gridAfter w:val="1"/>
          <w:wAfter w:w="32" w:type="dxa"/>
          <w:trHeight w:val="300"/>
        </w:trPr>
        <w:tc>
          <w:tcPr>
            <w:tcW w:w="1212" w:type="dxa"/>
            <w:gridSpan w:val="2"/>
            <w:vMerge w:val="restart"/>
            <w:tcBorders>
              <w:top w:val="nil"/>
              <w:left w:val="single" w:sz="8" w:space="0" w:color="auto"/>
              <w:bottom w:val="single" w:sz="8" w:space="0" w:color="000000"/>
              <w:right w:val="single" w:sz="8" w:space="0" w:color="auto"/>
            </w:tcBorders>
            <w:shd w:val="clear" w:color="auto" w:fill="808080"/>
            <w:vAlign w:val="center"/>
            <w:hideMark/>
          </w:tcPr>
          <w:p w14:paraId="1791CE1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544" w:type="dxa"/>
            <w:gridSpan w:val="3"/>
            <w:vMerge w:val="restart"/>
            <w:tcBorders>
              <w:top w:val="nil"/>
              <w:left w:val="single" w:sz="8" w:space="0" w:color="auto"/>
              <w:bottom w:val="single" w:sz="8" w:space="0" w:color="000000"/>
              <w:right w:val="single" w:sz="8" w:space="0" w:color="auto"/>
            </w:tcBorders>
            <w:shd w:val="clear" w:color="auto" w:fill="808080"/>
            <w:vAlign w:val="center"/>
            <w:hideMark/>
          </w:tcPr>
          <w:p w14:paraId="4F9B6B7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352" w:type="dxa"/>
            <w:vMerge w:val="restart"/>
            <w:tcBorders>
              <w:top w:val="nil"/>
              <w:left w:val="single" w:sz="8" w:space="0" w:color="auto"/>
              <w:bottom w:val="single" w:sz="8" w:space="0" w:color="000000"/>
              <w:right w:val="single" w:sz="8" w:space="0" w:color="auto"/>
            </w:tcBorders>
            <w:shd w:val="clear" w:color="auto" w:fill="808080"/>
            <w:vAlign w:val="center"/>
            <w:hideMark/>
          </w:tcPr>
          <w:p w14:paraId="1875C54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348" w:type="dxa"/>
            <w:gridSpan w:val="3"/>
            <w:vMerge w:val="restart"/>
            <w:tcBorders>
              <w:top w:val="nil"/>
              <w:left w:val="single" w:sz="8" w:space="0" w:color="auto"/>
              <w:bottom w:val="single" w:sz="8" w:space="0" w:color="000000"/>
              <w:right w:val="single" w:sz="8" w:space="0" w:color="auto"/>
            </w:tcBorders>
            <w:shd w:val="clear" w:color="auto" w:fill="808080"/>
            <w:vAlign w:val="center"/>
            <w:hideMark/>
          </w:tcPr>
          <w:p w14:paraId="791D74C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36" w:type="dxa"/>
            <w:gridSpan w:val="2"/>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7A16D80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7"/>
            <w:tcBorders>
              <w:top w:val="single" w:sz="8" w:space="0" w:color="auto"/>
              <w:left w:val="nil"/>
              <w:bottom w:val="single" w:sz="8" w:space="0" w:color="auto"/>
              <w:right w:val="single" w:sz="8" w:space="0" w:color="000000"/>
            </w:tcBorders>
            <w:shd w:val="clear" w:color="auto" w:fill="808080"/>
            <w:noWrap/>
            <w:vAlign w:val="center"/>
            <w:hideMark/>
          </w:tcPr>
          <w:p w14:paraId="596A729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6"/>
            <w:tcBorders>
              <w:top w:val="single" w:sz="8" w:space="0" w:color="auto"/>
              <w:left w:val="nil"/>
              <w:bottom w:val="single" w:sz="8" w:space="0" w:color="auto"/>
              <w:right w:val="single" w:sz="8" w:space="0" w:color="000000"/>
            </w:tcBorders>
            <w:shd w:val="clear" w:color="auto" w:fill="808080"/>
            <w:noWrap/>
            <w:vAlign w:val="center"/>
            <w:hideMark/>
          </w:tcPr>
          <w:p w14:paraId="63BBC46E"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40EB1F29" w14:textId="77777777" w:rsidTr="00EA0FD7">
        <w:trPr>
          <w:gridAfter w:val="1"/>
          <w:wAfter w:w="32" w:type="dxa"/>
          <w:trHeight w:val="300"/>
        </w:trPr>
        <w:tc>
          <w:tcPr>
            <w:tcW w:w="0" w:type="auto"/>
            <w:gridSpan w:val="2"/>
            <w:vMerge/>
            <w:tcBorders>
              <w:top w:val="nil"/>
              <w:left w:val="single" w:sz="8" w:space="0" w:color="auto"/>
              <w:bottom w:val="single" w:sz="8" w:space="0" w:color="000000"/>
              <w:right w:val="single" w:sz="8" w:space="0" w:color="auto"/>
            </w:tcBorders>
            <w:vAlign w:val="center"/>
            <w:hideMark/>
          </w:tcPr>
          <w:p w14:paraId="7A86A426"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3"/>
            <w:vMerge/>
            <w:tcBorders>
              <w:top w:val="nil"/>
              <w:left w:val="single" w:sz="8" w:space="0" w:color="auto"/>
              <w:bottom w:val="single" w:sz="8" w:space="0" w:color="000000"/>
              <w:right w:val="single" w:sz="8" w:space="0" w:color="auto"/>
            </w:tcBorders>
            <w:vAlign w:val="center"/>
            <w:hideMark/>
          </w:tcPr>
          <w:p w14:paraId="1A54408A"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2D3CB5FE"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3"/>
            <w:vMerge/>
            <w:tcBorders>
              <w:top w:val="nil"/>
              <w:left w:val="single" w:sz="8" w:space="0" w:color="auto"/>
              <w:bottom w:val="single" w:sz="8" w:space="0" w:color="000000"/>
              <w:right w:val="single" w:sz="8" w:space="0" w:color="auto"/>
            </w:tcBorders>
            <w:vAlign w:val="center"/>
            <w:hideMark/>
          </w:tcPr>
          <w:p w14:paraId="0D1E8C2C"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14:paraId="67F41E9E"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gridSpan w:val="3"/>
            <w:tcBorders>
              <w:top w:val="nil"/>
              <w:left w:val="nil"/>
              <w:bottom w:val="single" w:sz="8" w:space="0" w:color="auto"/>
              <w:right w:val="single" w:sz="4" w:space="0" w:color="auto"/>
            </w:tcBorders>
            <w:shd w:val="clear" w:color="auto" w:fill="808080"/>
            <w:noWrap/>
            <w:vAlign w:val="center"/>
            <w:hideMark/>
          </w:tcPr>
          <w:p w14:paraId="1B477AC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203ED76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gridSpan w:val="2"/>
            <w:tcBorders>
              <w:top w:val="nil"/>
              <w:left w:val="nil"/>
              <w:bottom w:val="single" w:sz="8" w:space="0" w:color="auto"/>
              <w:right w:val="single" w:sz="8" w:space="0" w:color="auto"/>
            </w:tcBorders>
            <w:shd w:val="clear" w:color="auto" w:fill="808080"/>
            <w:noWrap/>
            <w:vAlign w:val="center"/>
            <w:hideMark/>
          </w:tcPr>
          <w:p w14:paraId="25DB38F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6625BA7E"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50704E4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gridSpan w:val="2"/>
            <w:tcBorders>
              <w:top w:val="nil"/>
              <w:left w:val="nil"/>
              <w:bottom w:val="single" w:sz="8" w:space="0" w:color="auto"/>
              <w:right w:val="single" w:sz="8" w:space="0" w:color="auto"/>
            </w:tcBorders>
            <w:shd w:val="clear" w:color="auto" w:fill="808080"/>
            <w:noWrap/>
            <w:vAlign w:val="center"/>
            <w:hideMark/>
          </w:tcPr>
          <w:p w14:paraId="7F78308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23381F0F" w14:textId="77777777" w:rsidTr="00EA0FD7">
        <w:trPr>
          <w:gridAfter w:val="1"/>
          <w:wAfter w:w="32" w:type="dxa"/>
          <w:trHeight w:val="240"/>
        </w:trPr>
        <w:tc>
          <w:tcPr>
            <w:tcW w:w="1212" w:type="dxa"/>
            <w:gridSpan w:val="2"/>
            <w:tcBorders>
              <w:top w:val="nil"/>
              <w:left w:val="single" w:sz="8" w:space="0" w:color="auto"/>
              <w:bottom w:val="single" w:sz="4" w:space="0" w:color="auto"/>
              <w:right w:val="single" w:sz="4" w:space="0" w:color="auto"/>
            </w:tcBorders>
            <w:noWrap/>
            <w:vAlign w:val="bottom"/>
            <w:hideMark/>
          </w:tcPr>
          <w:p w14:paraId="171739A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44" w:type="dxa"/>
            <w:gridSpan w:val="3"/>
            <w:tcBorders>
              <w:top w:val="nil"/>
              <w:left w:val="nil"/>
              <w:bottom w:val="single" w:sz="4" w:space="0" w:color="auto"/>
              <w:right w:val="single" w:sz="4" w:space="0" w:color="auto"/>
            </w:tcBorders>
            <w:noWrap/>
            <w:vAlign w:val="bottom"/>
            <w:hideMark/>
          </w:tcPr>
          <w:p w14:paraId="710B28E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352" w:type="dxa"/>
            <w:tcBorders>
              <w:top w:val="nil"/>
              <w:left w:val="nil"/>
              <w:bottom w:val="single" w:sz="4" w:space="0" w:color="auto"/>
              <w:right w:val="single" w:sz="4" w:space="0" w:color="auto"/>
            </w:tcBorders>
            <w:noWrap/>
            <w:vAlign w:val="bottom"/>
            <w:hideMark/>
          </w:tcPr>
          <w:p w14:paraId="542E494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48" w:type="dxa"/>
            <w:gridSpan w:val="3"/>
            <w:tcBorders>
              <w:top w:val="nil"/>
              <w:left w:val="nil"/>
              <w:bottom w:val="single" w:sz="4" w:space="0" w:color="auto"/>
              <w:right w:val="single" w:sz="4" w:space="0" w:color="auto"/>
            </w:tcBorders>
            <w:noWrap/>
            <w:vAlign w:val="bottom"/>
            <w:hideMark/>
          </w:tcPr>
          <w:p w14:paraId="0EBE8E7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gridSpan w:val="2"/>
            <w:tcBorders>
              <w:top w:val="nil"/>
              <w:left w:val="nil"/>
              <w:bottom w:val="single" w:sz="4" w:space="0" w:color="auto"/>
              <w:right w:val="single" w:sz="4" w:space="0" w:color="auto"/>
            </w:tcBorders>
            <w:noWrap/>
            <w:vAlign w:val="bottom"/>
            <w:hideMark/>
          </w:tcPr>
          <w:p w14:paraId="3F6BA13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3"/>
            <w:tcBorders>
              <w:top w:val="nil"/>
              <w:left w:val="nil"/>
              <w:bottom w:val="single" w:sz="4" w:space="0" w:color="auto"/>
              <w:right w:val="single" w:sz="4" w:space="0" w:color="auto"/>
            </w:tcBorders>
            <w:noWrap/>
            <w:vAlign w:val="bottom"/>
            <w:hideMark/>
          </w:tcPr>
          <w:p w14:paraId="1F14100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5FB8732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4225798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32B30C6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19EF8A4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8" w:space="0" w:color="auto"/>
            </w:tcBorders>
            <w:noWrap/>
            <w:vAlign w:val="bottom"/>
            <w:hideMark/>
          </w:tcPr>
          <w:p w14:paraId="1598D53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59748050" w14:textId="77777777" w:rsidTr="00EA0FD7">
        <w:trPr>
          <w:gridAfter w:val="1"/>
          <w:wAfter w:w="32" w:type="dxa"/>
          <w:trHeight w:val="480"/>
        </w:trPr>
        <w:tc>
          <w:tcPr>
            <w:tcW w:w="1212" w:type="dxa"/>
            <w:gridSpan w:val="2"/>
            <w:tcBorders>
              <w:top w:val="nil"/>
              <w:left w:val="single" w:sz="8" w:space="0" w:color="auto"/>
              <w:bottom w:val="single" w:sz="4" w:space="0" w:color="auto"/>
              <w:right w:val="single" w:sz="4" w:space="0" w:color="auto"/>
            </w:tcBorders>
            <w:vAlign w:val="bottom"/>
            <w:hideMark/>
          </w:tcPr>
          <w:p w14:paraId="3B0C3CE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544" w:type="dxa"/>
            <w:gridSpan w:val="3"/>
            <w:tcBorders>
              <w:top w:val="nil"/>
              <w:left w:val="nil"/>
              <w:bottom w:val="single" w:sz="4" w:space="0" w:color="auto"/>
              <w:right w:val="single" w:sz="4" w:space="0" w:color="auto"/>
            </w:tcBorders>
            <w:vAlign w:val="bottom"/>
            <w:hideMark/>
          </w:tcPr>
          <w:p w14:paraId="5F88EABE"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352" w:type="dxa"/>
            <w:tcBorders>
              <w:top w:val="nil"/>
              <w:left w:val="nil"/>
              <w:bottom w:val="single" w:sz="4" w:space="0" w:color="auto"/>
              <w:right w:val="single" w:sz="4" w:space="0" w:color="auto"/>
            </w:tcBorders>
            <w:noWrap/>
            <w:vAlign w:val="bottom"/>
            <w:hideMark/>
          </w:tcPr>
          <w:p w14:paraId="22A254C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267,270.32</w:t>
            </w:r>
          </w:p>
        </w:tc>
        <w:tc>
          <w:tcPr>
            <w:tcW w:w="1348" w:type="dxa"/>
            <w:gridSpan w:val="3"/>
            <w:tcBorders>
              <w:top w:val="nil"/>
              <w:left w:val="nil"/>
              <w:bottom w:val="single" w:sz="4" w:space="0" w:color="auto"/>
              <w:right w:val="single" w:sz="4" w:space="0" w:color="auto"/>
            </w:tcBorders>
            <w:noWrap/>
            <w:vAlign w:val="bottom"/>
            <w:hideMark/>
          </w:tcPr>
          <w:p w14:paraId="489B941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250,334.68</w:t>
            </w:r>
          </w:p>
        </w:tc>
        <w:tc>
          <w:tcPr>
            <w:tcW w:w="1336" w:type="dxa"/>
            <w:gridSpan w:val="2"/>
            <w:tcBorders>
              <w:top w:val="nil"/>
              <w:left w:val="nil"/>
              <w:bottom w:val="single" w:sz="4" w:space="0" w:color="auto"/>
              <w:right w:val="single" w:sz="4" w:space="0" w:color="auto"/>
            </w:tcBorders>
            <w:noWrap/>
            <w:vAlign w:val="bottom"/>
            <w:hideMark/>
          </w:tcPr>
          <w:p w14:paraId="138CED8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281,422.52</w:t>
            </w:r>
          </w:p>
        </w:tc>
        <w:tc>
          <w:tcPr>
            <w:tcW w:w="1316" w:type="dxa"/>
            <w:gridSpan w:val="3"/>
            <w:tcBorders>
              <w:top w:val="nil"/>
              <w:left w:val="nil"/>
              <w:bottom w:val="single" w:sz="4" w:space="0" w:color="auto"/>
              <w:right w:val="single" w:sz="4" w:space="0" w:color="auto"/>
            </w:tcBorders>
            <w:noWrap/>
            <w:vAlign w:val="bottom"/>
            <w:hideMark/>
          </w:tcPr>
          <w:p w14:paraId="20803BB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290,788</w:t>
            </w:r>
          </w:p>
        </w:tc>
        <w:tc>
          <w:tcPr>
            <w:tcW w:w="1316" w:type="dxa"/>
            <w:gridSpan w:val="2"/>
            <w:tcBorders>
              <w:top w:val="nil"/>
              <w:left w:val="nil"/>
              <w:bottom w:val="single" w:sz="4" w:space="0" w:color="auto"/>
              <w:right w:val="single" w:sz="4" w:space="0" w:color="auto"/>
            </w:tcBorders>
            <w:noWrap/>
            <w:vAlign w:val="bottom"/>
            <w:hideMark/>
          </w:tcPr>
          <w:p w14:paraId="727FAAC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295,788</w:t>
            </w:r>
          </w:p>
        </w:tc>
        <w:tc>
          <w:tcPr>
            <w:tcW w:w="1316" w:type="dxa"/>
            <w:gridSpan w:val="2"/>
            <w:tcBorders>
              <w:top w:val="nil"/>
              <w:left w:val="nil"/>
              <w:bottom w:val="single" w:sz="4" w:space="0" w:color="auto"/>
              <w:right w:val="single" w:sz="4" w:space="0" w:color="auto"/>
            </w:tcBorders>
            <w:noWrap/>
            <w:vAlign w:val="bottom"/>
            <w:hideMark/>
          </w:tcPr>
          <w:p w14:paraId="26C68EB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299,880</w:t>
            </w:r>
          </w:p>
        </w:tc>
        <w:tc>
          <w:tcPr>
            <w:tcW w:w="1316" w:type="dxa"/>
            <w:gridSpan w:val="2"/>
            <w:tcBorders>
              <w:top w:val="nil"/>
              <w:left w:val="nil"/>
              <w:bottom w:val="single" w:sz="4" w:space="0" w:color="auto"/>
              <w:right w:val="single" w:sz="4" w:space="0" w:color="auto"/>
            </w:tcBorders>
            <w:noWrap/>
            <w:vAlign w:val="bottom"/>
            <w:hideMark/>
          </w:tcPr>
          <w:p w14:paraId="2A5D21C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290,788</w:t>
            </w:r>
          </w:p>
        </w:tc>
        <w:tc>
          <w:tcPr>
            <w:tcW w:w="1316" w:type="dxa"/>
            <w:gridSpan w:val="2"/>
            <w:tcBorders>
              <w:top w:val="nil"/>
              <w:left w:val="nil"/>
              <w:bottom w:val="single" w:sz="4" w:space="0" w:color="auto"/>
              <w:right w:val="single" w:sz="4" w:space="0" w:color="auto"/>
            </w:tcBorders>
            <w:noWrap/>
            <w:vAlign w:val="bottom"/>
            <w:hideMark/>
          </w:tcPr>
          <w:p w14:paraId="51E4897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295,788</w:t>
            </w:r>
          </w:p>
        </w:tc>
        <w:tc>
          <w:tcPr>
            <w:tcW w:w="1316" w:type="dxa"/>
            <w:gridSpan w:val="2"/>
            <w:tcBorders>
              <w:top w:val="nil"/>
              <w:left w:val="nil"/>
              <w:bottom w:val="single" w:sz="4" w:space="0" w:color="auto"/>
              <w:right w:val="single" w:sz="4" w:space="0" w:color="auto"/>
            </w:tcBorders>
            <w:noWrap/>
            <w:vAlign w:val="bottom"/>
            <w:hideMark/>
          </w:tcPr>
          <w:p w14:paraId="477B1F8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299,880</w:t>
            </w:r>
          </w:p>
        </w:tc>
      </w:tr>
      <w:tr w:rsidR="00EA0FD7" w:rsidRPr="00EA0FD7" w14:paraId="52C053B9" w14:textId="77777777" w:rsidTr="00EA0FD7">
        <w:trPr>
          <w:gridAfter w:val="1"/>
          <w:wAfter w:w="32" w:type="dxa"/>
          <w:trHeight w:val="240"/>
        </w:trPr>
        <w:tc>
          <w:tcPr>
            <w:tcW w:w="1212" w:type="dxa"/>
            <w:gridSpan w:val="2"/>
            <w:tcBorders>
              <w:top w:val="nil"/>
              <w:left w:val="single" w:sz="8" w:space="0" w:color="auto"/>
              <w:bottom w:val="single" w:sz="4" w:space="0" w:color="auto"/>
              <w:right w:val="single" w:sz="4" w:space="0" w:color="auto"/>
            </w:tcBorders>
            <w:noWrap/>
            <w:vAlign w:val="bottom"/>
            <w:hideMark/>
          </w:tcPr>
          <w:p w14:paraId="656B5ED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611200</w:t>
            </w:r>
          </w:p>
        </w:tc>
        <w:tc>
          <w:tcPr>
            <w:tcW w:w="2544" w:type="dxa"/>
            <w:gridSpan w:val="3"/>
            <w:tcBorders>
              <w:top w:val="nil"/>
              <w:left w:val="nil"/>
              <w:bottom w:val="single" w:sz="4" w:space="0" w:color="auto"/>
              <w:right w:val="single" w:sz="4" w:space="0" w:color="auto"/>
            </w:tcBorders>
            <w:vAlign w:val="bottom"/>
            <w:hideMark/>
          </w:tcPr>
          <w:p w14:paraId="63225FE1"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352" w:type="dxa"/>
            <w:tcBorders>
              <w:top w:val="nil"/>
              <w:left w:val="nil"/>
              <w:bottom w:val="single" w:sz="4" w:space="0" w:color="auto"/>
              <w:right w:val="single" w:sz="4" w:space="0" w:color="auto"/>
            </w:tcBorders>
            <w:noWrap/>
            <w:vAlign w:val="bottom"/>
            <w:hideMark/>
          </w:tcPr>
          <w:p w14:paraId="38C52BA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7,600.00</w:t>
            </w:r>
          </w:p>
        </w:tc>
        <w:tc>
          <w:tcPr>
            <w:tcW w:w="1348" w:type="dxa"/>
            <w:gridSpan w:val="3"/>
            <w:tcBorders>
              <w:top w:val="nil"/>
              <w:left w:val="nil"/>
              <w:bottom w:val="single" w:sz="4" w:space="0" w:color="auto"/>
              <w:right w:val="single" w:sz="4" w:space="0" w:color="auto"/>
            </w:tcBorders>
            <w:noWrap/>
            <w:vAlign w:val="bottom"/>
            <w:hideMark/>
          </w:tcPr>
          <w:p w14:paraId="7F289B9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2,898.40</w:t>
            </w:r>
          </w:p>
        </w:tc>
        <w:tc>
          <w:tcPr>
            <w:tcW w:w="1336" w:type="dxa"/>
            <w:gridSpan w:val="2"/>
            <w:tcBorders>
              <w:top w:val="nil"/>
              <w:left w:val="nil"/>
              <w:bottom w:val="single" w:sz="4" w:space="0" w:color="auto"/>
              <w:right w:val="single" w:sz="4" w:space="0" w:color="auto"/>
            </w:tcBorders>
            <w:noWrap/>
            <w:vAlign w:val="bottom"/>
            <w:hideMark/>
          </w:tcPr>
          <w:p w14:paraId="53E65F6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17,850.00</w:t>
            </w:r>
          </w:p>
        </w:tc>
        <w:tc>
          <w:tcPr>
            <w:tcW w:w="1316" w:type="dxa"/>
            <w:gridSpan w:val="3"/>
            <w:tcBorders>
              <w:top w:val="nil"/>
              <w:left w:val="nil"/>
              <w:bottom w:val="single" w:sz="4" w:space="0" w:color="auto"/>
              <w:right w:val="single" w:sz="4" w:space="0" w:color="auto"/>
            </w:tcBorders>
            <w:noWrap/>
            <w:vAlign w:val="bottom"/>
            <w:hideMark/>
          </w:tcPr>
          <w:p w14:paraId="47E6C10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33,450</w:t>
            </w:r>
          </w:p>
        </w:tc>
        <w:tc>
          <w:tcPr>
            <w:tcW w:w="1316" w:type="dxa"/>
            <w:gridSpan w:val="2"/>
            <w:tcBorders>
              <w:top w:val="nil"/>
              <w:left w:val="nil"/>
              <w:bottom w:val="single" w:sz="4" w:space="0" w:color="auto"/>
              <w:right w:val="single" w:sz="4" w:space="0" w:color="auto"/>
            </w:tcBorders>
            <w:noWrap/>
            <w:vAlign w:val="bottom"/>
            <w:hideMark/>
          </w:tcPr>
          <w:p w14:paraId="7A87A50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19,880</w:t>
            </w:r>
          </w:p>
        </w:tc>
        <w:tc>
          <w:tcPr>
            <w:tcW w:w="1316" w:type="dxa"/>
            <w:gridSpan w:val="2"/>
            <w:tcBorders>
              <w:top w:val="nil"/>
              <w:left w:val="nil"/>
              <w:bottom w:val="single" w:sz="4" w:space="0" w:color="auto"/>
              <w:right w:val="single" w:sz="4" w:space="0" w:color="auto"/>
            </w:tcBorders>
            <w:noWrap/>
            <w:vAlign w:val="bottom"/>
            <w:hideMark/>
          </w:tcPr>
          <w:p w14:paraId="40D39B1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22,450</w:t>
            </w:r>
          </w:p>
        </w:tc>
        <w:tc>
          <w:tcPr>
            <w:tcW w:w="1316" w:type="dxa"/>
            <w:gridSpan w:val="2"/>
            <w:tcBorders>
              <w:top w:val="nil"/>
              <w:left w:val="nil"/>
              <w:bottom w:val="single" w:sz="4" w:space="0" w:color="auto"/>
              <w:right w:val="single" w:sz="4" w:space="0" w:color="auto"/>
            </w:tcBorders>
            <w:noWrap/>
            <w:vAlign w:val="bottom"/>
            <w:hideMark/>
          </w:tcPr>
          <w:p w14:paraId="10F1CA8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33,450</w:t>
            </w:r>
          </w:p>
        </w:tc>
        <w:tc>
          <w:tcPr>
            <w:tcW w:w="1316" w:type="dxa"/>
            <w:gridSpan w:val="2"/>
            <w:tcBorders>
              <w:top w:val="nil"/>
              <w:left w:val="nil"/>
              <w:bottom w:val="single" w:sz="4" w:space="0" w:color="auto"/>
              <w:right w:val="single" w:sz="4" w:space="0" w:color="auto"/>
            </w:tcBorders>
            <w:noWrap/>
            <w:vAlign w:val="bottom"/>
            <w:hideMark/>
          </w:tcPr>
          <w:p w14:paraId="26F44D1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19,880</w:t>
            </w:r>
          </w:p>
        </w:tc>
        <w:tc>
          <w:tcPr>
            <w:tcW w:w="1316" w:type="dxa"/>
            <w:gridSpan w:val="2"/>
            <w:tcBorders>
              <w:top w:val="nil"/>
              <w:left w:val="nil"/>
              <w:bottom w:val="single" w:sz="4" w:space="0" w:color="auto"/>
              <w:right w:val="single" w:sz="4" w:space="0" w:color="auto"/>
            </w:tcBorders>
            <w:noWrap/>
            <w:vAlign w:val="bottom"/>
            <w:hideMark/>
          </w:tcPr>
          <w:p w14:paraId="053EBC0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22,450</w:t>
            </w:r>
          </w:p>
        </w:tc>
      </w:tr>
      <w:tr w:rsidR="00EA0FD7" w:rsidRPr="00EA0FD7" w14:paraId="4F533B57" w14:textId="77777777" w:rsidTr="00EA0FD7">
        <w:trPr>
          <w:gridAfter w:val="1"/>
          <w:wAfter w:w="32" w:type="dxa"/>
          <w:trHeight w:val="480"/>
        </w:trPr>
        <w:tc>
          <w:tcPr>
            <w:tcW w:w="1212" w:type="dxa"/>
            <w:gridSpan w:val="2"/>
            <w:tcBorders>
              <w:top w:val="nil"/>
              <w:left w:val="single" w:sz="8" w:space="0" w:color="auto"/>
              <w:bottom w:val="single" w:sz="4" w:space="0" w:color="auto"/>
              <w:right w:val="single" w:sz="4" w:space="0" w:color="auto"/>
            </w:tcBorders>
            <w:noWrap/>
            <w:vAlign w:val="bottom"/>
            <w:hideMark/>
          </w:tcPr>
          <w:p w14:paraId="3758D1B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544" w:type="dxa"/>
            <w:gridSpan w:val="3"/>
            <w:tcBorders>
              <w:top w:val="nil"/>
              <w:left w:val="nil"/>
              <w:bottom w:val="single" w:sz="4" w:space="0" w:color="auto"/>
              <w:right w:val="single" w:sz="4" w:space="0" w:color="auto"/>
            </w:tcBorders>
            <w:vAlign w:val="bottom"/>
            <w:hideMark/>
          </w:tcPr>
          <w:p w14:paraId="6572872A"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352" w:type="dxa"/>
            <w:tcBorders>
              <w:top w:val="nil"/>
              <w:left w:val="nil"/>
              <w:bottom w:val="single" w:sz="4" w:space="0" w:color="auto"/>
              <w:right w:val="single" w:sz="4" w:space="0" w:color="auto"/>
            </w:tcBorders>
            <w:noWrap/>
            <w:vAlign w:val="bottom"/>
            <w:hideMark/>
          </w:tcPr>
          <w:p w14:paraId="75B831B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55,405.00</w:t>
            </w:r>
          </w:p>
        </w:tc>
        <w:tc>
          <w:tcPr>
            <w:tcW w:w="1348" w:type="dxa"/>
            <w:gridSpan w:val="3"/>
            <w:tcBorders>
              <w:top w:val="nil"/>
              <w:left w:val="nil"/>
              <w:bottom w:val="single" w:sz="4" w:space="0" w:color="auto"/>
              <w:right w:val="single" w:sz="4" w:space="0" w:color="auto"/>
            </w:tcBorders>
            <w:noWrap/>
            <w:vAlign w:val="bottom"/>
            <w:hideMark/>
          </w:tcPr>
          <w:p w14:paraId="36593DE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43,460.22</w:t>
            </w:r>
          </w:p>
        </w:tc>
        <w:tc>
          <w:tcPr>
            <w:tcW w:w="1336" w:type="dxa"/>
            <w:gridSpan w:val="2"/>
            <w:tcBorders>
              <w:top w:val="nil"/>
              <w:left w:val="nil"/>
              <w:bottom w:val="single" w:sz="4" w:space="0" w:color="auto"/>
              <w:right w:val="single" w:sz="4" w:space="0" w:color="auto"/>
            </w:tcBorders>
            <w:noWrap/>
            <w:vAlign w:val="bottom"/>
            <w:hideMark/>
          </w:tcPr>
          <w:p w14:paraId="18A8DF1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55,069.00</w:t>
            </w:r>
          </w:p>
        </w:tc>
        <w:tc>
          <w:tcPr>
            <w:tcW w:w="1316" w:type="dxa"/>
            <w:gridSpan w:val="3"/>
            <w:tcBorders>
              <w:top w:val="nil"/>
              <w:left w:val="nil"/>
              <w:bottom w:val="single" w:sz="4" w:space="0" w:color="auto"/>
              <w:right w:val="single" w:sz="4" w:space="0" w:color="auto"/>
            </w:tcBorders>
            <w:noWrap/>
            <w:vAlign w:val="bottom"/>
            <w:hideMark/>
          </w:tcPr>
          <w:p w14:paraId="2183988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74,586</w:t>
            </w:r>
          </w:p>
        </w:tc>
        <w:tc>
          <w:tcPr>
            <w:tcW w:w="1316" w:type="dxa"/>
            <w:gridSpan w:val="2"/>
            <w:tcBorders>
              <w:top w:val="nil"/>
              <w:left w:val="nil"/>
              <w:bottom w:val="single" w:sz="4" w:space="0" w:color="auto"/>
              <w:right w:val="single" w:sz="4" w:space="0" w:color="auto"/>
            </w:tcBorders>
            <w:noWrap/>
            <w:vAlign w:val="bottom"/>
            <w:hideMark/>
          </w:tcPr>
          <w:p w14:paraId="5080243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69,586</w:t>
            </w:r>
          </w:p>
        </w:tc>
        <w:tc>
          <w:tcPr>
            <w:tcW w:w="1316" w:type="dxa"/>
            <w:gridSpan w:val="2"/>
            <w:tcBorders>
              <w:top w:val="nil"/>
              <w:left w:val="nil"/>
              <w:bottom w:val="single" w:sz="4" w:space="0" w:color="auto"/>
              <w:right w:val="single" w:sz="4" w:space="0" w:color="auto"/>
            </w:tcBorders>
            <w:noWrap/>
            <w:vAlign w:val="bottom"/>
            <w:hideMark/>
          </w:tcPr>
          <w:p w14:paraId="5EFA981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73,390</w:t>
            </w:r>
          </w:p>
        </w:tc>
        <w:tc>
          <w:tcPr>
            <w:tcW w:w="1316" w:type="dxa"/>
            <w:gridSpan w:val="2"/>
            <w:tcBorders>
              <w:top w:val="nil"/>
              <w:left w:val="nil"/>
              <w:bottom w:val="single" w:sz="4" w:space="0" w:color="auto"/>
              <w:right w:val="single" w:sz="4" w:space="0" w:color="auto"/>
            </w:tcBorders>
            <w:noWrap/>
            <w:vAlign w:val="bottom"/>
            <w:hideMark/>
          </w:tcPr>
          <w:p w14:paraId="4EA98E1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74,586</w:t>
            </w:r>
          </w:p>
        </w:tc>
        <w:tc>
          <w:tcPr>
            <w:tcW w:w="1316" w:type="dxa"/>
            <w:gridSpan w:val="2"/>
            <w:tcBorders>
              <w:top w:val="nil"/>
              <w:left w:val="nil"/>
              <w:bottom w:val="single" w:sz="4" w:space="0" w:color="auto"/>
              <w:right w:val="single" w:sz="4" w:space="0" w:color="auto"/>
            </w:tcBorders>
            <w:noWrap/>
            <w:vAlign w:val="bottom"/>
            <w:hideMark/>
          </w:tcPr>
          <w:p w14:paraId="59BCB2C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69,586</w:t>
            </w:r>
          </w:p>
        </w:tc>
        <w:tc>
          <w:tcPr>
            <w:tcW w:w="1316" w:type="dxa"/>
            <w:gridSpan w:val="2"/>
            <w:tcBorders>
              <w:top w:val="nil"/>
              <w:left w:val="nil"/>
              <w:bottom w:val="single" w:sz="4" w:space="0" w:color="auto"/>
              <w:right w:val="single" w:sz="4" w:space="0" w:color="auto"/>
            </w:tcBorders>
            <w:noWrap/>
            <w:vAlign w:val="bottom"/>
            <w:hideMark/>
          </w:tcPr>
          <w:p w14:paraId="3722DBB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73,390</w:t>
            </w:r>
          </w:p>
        </w:tc>
      </w:tr>
      <w:tr w:rsidR="00EA0FD7" w:rsidRPr="00EA0FD7" w14:paraId="4FA2C37B" w14:textId="77777777" w:rsidTr="00EA0FD7">
        <w:trPr>
          <w:gridAfter w:val="1"/>
          <w:wAfter w:w="32" w:type="dxa"/>
          <w:trHeight w:val="480"/>
        </w:trPr>
        <w:tc>
          <w:tcPr>
            <w:tcW w:w="1212" w:type="dxa"/>
            <w:gridSpan w:val="2"/>
            <w:tcBorders>
              <w:top w:val="nil"/>
              <w:left w:val="single" w:sz="8" w:space="0" w:color="auto"/>
              <w:bottom w:val="single" w:sz="4" w:space="0" w:color="auto"/>
              <w:right w:val="single" w:sz="4" w:space="0" w:color="auto"/>
            </w:tcBorders>
            <w:vAlign w:val="bottom"/>
            <w:hideMark/>
          </w:tcPr>
          <w:p w14:paraId="4718663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614000</w:t>
            </w:r>
          </w:p>
        </w:tc>
        <w:tc>
          <w:tcPr>
            <w:tcW w:w="2544" w:type="dxa"/>
            <w:gridSpan w:val="3"/>
            <w:tcBorders>
              <w:top w:val="nil"/>
              <w:left w:val="nil"/>
              <w:bottom w:val="single" w:sz="4" w:space="0" w:color="auto"/>
              <w:right w:val="single" w:sz="4" w:space="0" w:color="auto"/>
            </w:tcBorders>
            <w:vAlign w:val="bottom"/>
            <w:hideMark/>
          </w:tcPr>
          <w:p w14:paraId="0E168EF2"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352" w:type="dxa"/>
            <w:tcBorders>
              <w:top w:val="nil"/>
              <w:left w:val="nil"/>
              <w:bottom w:val="single" w:sz="4" w:space="0" w:color="auto"/>
              <w:right w:val="single" w:sz="4" w:space="0" w:color="auto"/>
            </w:tcBorders>
            <w:noWrap/>
            <w:vAlign w:val="bottom"/>
            <w:hideMark/>
          </w:tcPr>
          <w:p w14:paraId="1276A58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48" w:type="dxa"/>
            <w:gridSpan w:val="3"/>
            <w:tcBorders>
              <w:top w:val="nil"/>
              <w:left w:val="nil"/>
              <w:bottom w:val="single" w:sz="4" w:space="0" w:color="auto"/>
              <w:right w:val="single" w:sz="4" w:space="0" w:color="auto"/>
            </w:tcBorders>
            <w:noWrap/>
            <w:vAlign w:val="bottom"/>
            <w:hideMark/>
          </w:tcPr>
          <w:p w14:paraId="6CB89D5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36" w:type="dxa"/>
            <w:gridSpan w:val="2"/>
            <w:tcBorders>
              <w:top w:val="nil"/>
              <w:left w:val="nil"/>
              <w:bottom w:val="single" w:sz="4" w:space="0" w:color="auto"/>
              <w:right w:val="single" w:sz="4" w:space="0" w:color="auto"/>
            </w:tcBorders>
            <w:noWrap/>
            <w:vAlign w:val="bottom"/>
            <w:hideMark/>
          </w:tcPr>
          <w:p w14:paraId="0179953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gridSpan w:val="3"/>
            <w:tcBorders>
              <w:top w:val="nil"/>
              <w:left w:val="nil"/>
              <w:bottom w:val="single" w:sz="4" w:space="0" w:color="auto"/>
              <w:right w:val="single" w:sz="4" w:space="0" w:color="auto"/>
            </w:tcBorders>
            <w:noWrap/>
            <w:vAlign w:val="bottom"/>
            <w:hideMark/>
          </w:tcPr>
          <w:p w14:paraId="305CFFE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7AD2BE0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01D0E7D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465B553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38E0C93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22952B1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479F60CB" w14:textId="77777777" w:rsidTr="00EA0FD7">
        <w:trPr>
          <w:gridAfter w:val="1"/>
          <w:wAfter w:w="32" w:type="dxa"/>
          <w:trHeight w:val="240"/>
        </w:trPr>
        <w:tc>
          <w:tcPr>
            <w:tcW w:w="1212" w:type="dxa"/>
            <w:gridSpan w:val="2"/>
            <w:tcBorders>
              <w:top w:val="nil"/>
              <w:left w:val="single" w:sz="8" w:space="0" w:color="auto"/>
              <w:bottom w:val="nil"/>
              <w:right w:val="single" w:sz="4" w:space="0" w:color="auto"/>
            </w:tcBorders>
            <w:vAlign w:val="bottom"/>
            <w:hideMark/>
          </w:tcPr>
          <w:p w14:paraId="3232336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615000</w:t>
            </w:r>
          </w:p>
        </w:tc>
        <w:tc>
          <w:tcPr>
            <w:tcW w:w="2544" w:type="dxa"/>
            <w:gridSpan w:val="3"/>
            <w:tcBorders>
              <w:top w:val="nil"/>
              <w:left w:val="nil"/>
              <w:bottom w:val="nil"/>
              <w:right w:val="single" w:sz="4" w:space="0" w:color="auto"/>
            </w:tcBorders>
            <w:vAlign w:val="bottom"/>
            <w:hideMark/>
          </w:tcPr>
          <w:p w14:paraId="4AE9E714"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352" w:type="dxa"/>
            <w:tcBorders>
              <w:top w:val="nil"/>
              <w:left w:val="nil"/>
              <w:bottom w:val="nil"/>
              <w:right w:val="single" w:sz="4" w:space="0" w:color="auto"/>
            </w:tcBorders>
            <w:noWrap/>
            <w:vAlign w:val="bottom"/>
            <w:hideMark/>
          </w:tcPr>
          <w:p w14:paraId="0A52D81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48" w:type="dxa"/>
            <w:gridSpan w:val="3"/>
            <w:tcBorders>
              <w:top w:val="nil"/>
              <w:left w:val="nil"/>
              <w:bottom w:val="nil"/>
              <w:right w:val="single" w:sz="4" w:space="0" w:color="auto"/>
            </w:tcBorders>
            <w:noWrap/>
            <w:vAlign w:val="bottom"/>
            <w:hideMark/>
          </w:tcPr>
          <w:p w14:paraId="27398EF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36" w:type="dxa"/>
            <w:gridSpan w:val="2"/>
            <w:tcBorders>
              <w:top w:val="nil"/>
              <w:left w:val="nil"/>
              <w:bottom w:val="nil"/>
              <w:right w:val="single" w:sz="4" w:space="0" w:color="auto"/>
            </w:tcBorders>
            <w:noWrap/>
            <w:vAlign w:val="bottom"/>
            <w:hideMark/>
          </w:tcPr>
          <w:p w14:paraId="662DE5E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gridSpan w:val="3"/>
            <w:tcBorders>
              <w:top w:val="nil"/>
              <w:left w:val="nil"/>
              <w:bottom w:val="single" w:sz="4" w:space="0" w:color="auto"/>
              <w:right w:val="single" w:sz="4" w:space="0" w:color="auto"/>
            </w:tcBorders>
            <w:noWrap/>
            <w:vAlign w:val="bottom"/>
            <w:hideMark/>
          </w:tcPr>
          <w:p w14:paraId="09D8CE4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5D6DE54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5C011E0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31E9882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6717F31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single" w:sz="4" w:space="0" w:color="auto"/>
              <w:right w:val="single" w:sz="4" w:space="0" w:color="auto"/>
            </w:tcBorders>
            <w:noWrap/>
            <w:vAlign w:val="bottom"/>
            <w:hideMark/>
          </w:tcPr>
          <w:p w14:paraId="1CD58D6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3CC84ED3" w14:textId="77777777" w:rsidTr="00EA0FD7">
        <w:trPr>
          <w:gridAfter w:val="1"/>
          <w:wAfter w:w="32" w:type="dxa"/>
          <w:trHeight w:val="480"/>
        </w:trPr>
        <w:tc>
          <w:tcPr>
            <w:tcW w:w="1212" w:type="dxa"/>
            <w:gridSpan w:val="2"/>
            <w:tcBorders>
              <w:top w:val="single" w:sz="4" w:space="0" w:color="auto"/>
              <w:left w:val="single" w:sz="8" w:space="0" w:color="auto"/>
              <w:bottom w:val="nil"/>
              <w:right w:val="single" w:sz="4" w:space="0" w:color="auto"/>
            </w:tcBorders>
            <w:noWrap/>
            <w:vAlign w:val="bottom"/>
            <w:hideMark/>
          </w:tcPr>
          <w:p w14:paraId="48512F8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821000</w:t>
            </w:r>
          </w:p>
        </w:tc>
        <w:tc>
          <w:tcPr>
            <w:tcW w:w="2544" w:type="dxa"/>
            <w:gridSpan w:val="3"/>
            <w:tcBorders>
              <w:top w:val="single" w:sz="4" w:space="0" w:color="auto"/>
              <w:left w:val="nil"/>
              <w:bottom w:val="nil"/>
              <w:right w:val="single" w:sz="4" w:space="0" w:color="auto"/>
            </w:tcBorders>
            <w:vAlign w:val="bottom"/>
            <w:hideMark/>
          </w:tcPr>
          <w:p w14:paraId="6D9A0BF6"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352" w:type="dxa"/>
            <w:tcBorders>
              <w:top w:val="single" w:sz="4" w:space="0" w:color="auto"/>
              <w:left w:val="nil"/>
              <w:bottom w:val="nil"/>
              <w:right w:val="single" w:sz="4" w:space="0" w:color="auto"/>
            </w:tcBorders>
            <w:noWrap/>
            <w:vAlign w:val="bottom"/>
            <w:hideMark/>
          </w:tcPr>
          <w:p w14:paraId="49C9D11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48" w:type="dxa"/>
            <w:gridSpan w:val="3"/>
            <w:tcBorders>
              <w:top w:val="single" w:sz="4" w:space="0" w:color="auto"/>
              <w:left w:val="nil"/>
              <w:bottom w:val="nil"/>
              <w:right w:val="single" w:sz="4" w:space="0" w:color="auto"/>
            </w:tcBorders>
            <w:noWrap/>
            <w:vAlign w:val="bottom"/>
            <w:hideMark/>
          </w:tcPr>
          <w:p w14:paraId="5E67D2A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36" w:type="dxa"/>
            <w:gridSpan w:val="2"/>
            <w:tcBorders>
              <w:top w:val="single" w:sz="4" w:space="0" w:color="auto"/>
              <w:left w:val="nil"/>
              <w:bottom w:val="nil"/>
              <w:right w:val="single" w:sz="4" w:space="0" w:color="auto"/>
            </w:tcBorders>
            <w:noWrap/>
            <w:vAlign w:val="bottom"/>
            <w:hideMark/>
          </w:tcPr>
          <w:p w14:paraId="5008FBF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gridSpan w:val="3"/>
            <w:tcBorders>
              <w:top w:val="nil"/>
              <w:left w:val="nil"/>
              <w:bottom w:val="nil"/>
              <w:right w:val="single" w:sz="4" w:space="0" w:color="auto"/>
            </w:tcBorders>
            <w:noWrap/>
            <w:vAlign w:val="bottom"/>
            <w:hideMark/>
          </w:tcPr>
          <w:p w14:paraId="03B77F3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4,000</w:t>
            </w:r>
          </w:p>
        </w:tc>
        <w:tc>
          <w:tcPr>
            <w:tcW w:w="1316" w:type="dxa"/>
            <w:gridSpan w:val="2"/>
            <w:tcBorders>
              <w:top w:val="nil"/>
              <w:left w:val="nil"/>
              <w:bottom w:val="nil"/>
              <w:right w:val="single" w:sz="4" w:space="0" w:color="auto"/>
            </w:tcBorders>
            <w:noWrap/>
            <w:vAlign w:val="bottom"/>
            <w:hideMark/>
          </w:tcPr>
          <w:p w14:paraId="319808D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4,000</w:t>
            </w:r>
          </w:p>
        </w:tc>
        <w:tc>
          <w:tcPr>
            <w:tcW w:w="1316" w:type="dxa"/>
            <w:gridSpan w:val="2"/>
            <w:tcBorders>
              <w:top w:val="nil"/>
              <w:left w:val="nil"/>
              <w:bottom w:val="nil"/>
              <w:right w:val="single" w:sz="4" w:space="0" w:color="auto"/>
            </w:tcBorders>
            <w:noWrap/>
            <w:vAlign w:val="bottom"/>
            <w:hideMark/>
          </w:tcPr>
          <w:p w14:paraId="3098123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4,000</w:t>
            </w:r>
          </w:p>
        </w:tc>
        <w:tc>
          <w:tcPr>
            <w:tcW w:w="1316" w:type="dxa"/>
            <w:gridSpan w:val="2"/>
            <w:tcBorders>
              <w:top w:val="nil"/>
              <w:left w:val="nil"/>
              <w:bottom w:val="nil"/>
              <w:right w:val="single" w:sz="4" w:space="0" w:color="auto"/>
            </w:tcBorders>
            <w:noWrap/>
            <w:vAlign w:val="bottom"/>
            <w:hideMark/>
          </w:tcPr>
          <w:p w14:paraId="54FFE0A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4,000</w:t>
            </w:r>
          </w:p>
        </w:tc>
        <w:tc>
          <w:tcPr>
            <w:tcW w:w="1316" w:type="dxa"/>
            <w:gridSpan w:val="2"/>
            <w:tcBorders>
              <w:top w:val="nil"/>
              <w:left w:val="nil"/>
              <w:bottom w:val="nil"/>
              <w:right w:val="single" w:sz="4" w:space="0" w:color="auto"/>
            </w:tcBorders>
            <w:noWrap/>
            <w:vAlign w:val="bottom"/>
            <w:hideMark/>
          </w:tcPr>
          <w:p w14:paraId="775B7A7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4,000</w:t>
            </w:r>
          </w:p>
        </w:tc>
        <w:tc>
          <w:tcPr>
            <w:tcW w:w="1316" w:type="dxa"/>
            <w:gridSpan w:val="2"/>
            <w:tcBorders>
              <w:top w:val="nil"/>
              <w:left w:val="nil"/>
              <w:bottom w:val="nil"/>
              <w:right w:val="single" w:sz="4" w:space="0" w:color="auto"/>
            </w:tcBorders>
            <w:noWrap/>
            <w:vAlign w:val="bottom"/>
            <w:hideMark/>
          </w:tcPr>
          <w:p w14:paraId="0B75AF0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4,000</w:t>
            </w:r>
          </w:p>
        </w:tc>
      </w:tr>
      <w:tr w:rsidR="00EA0FD7" w:rsidRPr="00EA0FD7" w14:paraId="0D0F1E8A" w14:textId="77777777" w:rsidTr="00EA0FD7">
        <w:trPr>
          <w:gridAfter w:val="1"/>
          <w:wAfter w:w="32" w:type="dxa"/>
          <w:trHeight w:val="240"/>
        </w:trPr>
        <w:tc>
          <w:tcPr>
            <w:tcW w:w="1212" w:type="dxa"/>
            <w:gridSpan w:val="2"/>
            <w:tcBorders>
              <w:top w:val="single" w:sz="8" w:space="0" w:color="auto"/>
              <w:left w:val="single" w:sz="8" w:space="0" w:color="auto"/>
              <w:bottom w:val="single" w:sz="8" w:space="0" w:color="auto"/>
              <w:right w:val="single" w:sz="8" w:space="0" w:color="auto"/>
            </w:tcBorders>
            <w:noWrap/>
            <w:vAlign w:val="bottom"/>
            <w:hideMark/>
          </w:tcPr>
          <w:p w14:paraId="6B84BFB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44" w:type="dxa"/>
            <w:gridSpan w:val="3"/>
            <w:tcBorders>
              <w:top w:val="single" w:sz="8" w:space="0" w:color="auto"/>
              <w:left w:val="nil"/>
              <w:bottom w:val="single" w:sz="8" w:space="0" w:color="auto"/>
              <w:right w:val="single" w:sz="8" w:space="0" w:color="auto"/>
            </w:tcBorders>
            <w:noWrap/>
            <w:vAlign w:val="bottom"/>
            <w:hideMark/>
          </w:tcPr>
          <w:p w14:paraId="5EBC42E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352" w:type="dxa"/>
            <w:tcBorders>
              <w:top w:val="single" w:sz="8" w:space="0" w:color="auto"/>
              <w:left w:val="nil"/>
              <w:bottom w:val="single" w:sz="8" w:space="0" w:color="auto"/>
              <w:right w:val="single" w:sz="8" w:space="0" w:color="auto"/>
            </w:tcBorders>
            <w:noWrap/>
            <w:vAlign w:val="bottom"/>
            <w:hideMark/>
          </w:tcPr>
          <w:p w14:paraId="7760376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330,275.32</w:t>
            </w:r>
          </w:p>
        </w:tc>
        <w:tc>
          <w:tcPr>
            <w:tcW w:w="1348" w:type="dxa"/>
            <w:gridSpan w:val="3"/>
            <w:tcBorders>
              <w:top w:val="single" w:sz="8" w:space="0" w:color="auto"/>
              <w:left w:val="nil"/>
              <w:bottom w:val="single" w:sz="8" w:space="0" w:color="auto"/>
              <w:right w:val="single" w:sz="8" w:space="0" w:color="auto"/>
            </w:tcBorders>
            <w:noWrap/>
            <w:vAlign w:val="bottom"/>
            <w:hideMark/>
          </w:tcPr>
          <w:p w14:paraId="413ADBF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296,693.30</w:t>
            </w:r>
          </w:p>
        </w:tc>
        <w:tc>
          <w:tcPr>
            <w:tcW w:w="1336" w:type="dxa"/>
            <w:gridSpan w:val="2"/>
            <w:tcBorders>
              <w:top w:val="single" w:sz="8" w:space="0" w:color="auto"/>
              <w:left w:val="nil"/>
              <w:bottom w:val="single" w:sz="8" w:space="0" w:color="auto"/>
              <w:right w:val="single" w:sz="8" w:space="0" w:color="auto"/>
            </w:tcBorders>
            <w:noWrap/>
            <w:vAlign w:val="bottom"/>
            <w:hideMark/>
          </w:tcPr>
          <w:p w14:paraId="0A1643C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354,341.52</w:t>
            </w:r>
          </w:p>
        </w:tc>
        <w:tc>
          <w:tcPr>
            <w:tcW w:w="1316" w:type="dxa"/>
            <w:gridSpan w:val="3"/>
            <w:tcBorders>
              <w:top w:val="single" w:sz="8" w:space="0" w:color="auto"/>
              <w:left w:val="nil"/>
              <w:bottom w:val="single" w:sz="8" w:space="0" w:color="auto"/>
              <w:right w:val="single" w:sz="8" w:space="0" w:color="auto"/>
            </w:tcBorders>
            <w:noWrap/>
            <w:vAlign w:val="bottom"/>
            <w:hideMark/>
          </w:tcPr>
          <w:p w14:paraId="13327B4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402,824</w:t>
            </w:r>
          </w:p>
        </w:tc>
        <w:tc>
          <w:tcPr>
            <w:tcW w:w="1316" w:type="dxa"/>
            <w:gridSpan w:val="2"/>
            <w:tcBorders>
              <w:top w:val="single" w:sz="8" w:space="0" w:color="auto"/>
              <w:left w:val="nil"/>
              <w:bottom w:val="single" w:sz="8" w:space="0" w:color="auto"/>
              <w:right w:val="single" w:sz="8" w:space="0" w:color="auto"/>
            </w:tcBorders>
            <w:noWrap/>
            <w:vAlign w:val="bottom"/>
            <w:hideMark/>
          </w:tcPr>
          <w:p w14:paraId="12B08B7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389,254</w:t>
            </w:r>
          </w:p>
        </w:tc>
        <w:tc>
          <w:tcPr>
            <w:tcW w:w="1316" w:type="dxa"/>
            <w:gridSpan w:val="2"/>
            <w:tcBorders>
              <w:top w:val="single" w:sz="8" w:space="0" w:color="auto"/>
              <w:left w:val="nil"/>
              <w:bottom w:val="single" w:sz="8" w:space="0" w:color="auto"/>
              <w:right w:val="single" w:sz="8" w:space="0" w:color="auto"/>
            </w:tcBorders>
            <w:noWrap/>
            <w:vAlign w:val="bottom"/>
            <w:hideMark/>
          </w:tcPr>
          <w:p w14:paraId="19E430C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399,720</w:t>
            </w:r>
          </w:p>
        </w:tc>
        <w:tc>
          <w:tcPr>
            <w:tcW w:w="1316" w:type="dxa"/>
            <w:gridSpan w:val="2"/>
            <w:tcBorders>
              <w:top w:val="single" w:sz="8" w:space="0" w:color="auto"/>
              <w:left w:val="nil"/>
              <w:bottom w:val="single" w:sz="8" w:space="0" w:color="auto"/>
              <w:right w:val="single" w:sz="8" w:space="0" w:color="auto"/>
            </w:tcBorders>
            <w:noWrap/>
            <w:vAlign w:val="bottom"/>
            <w:hideMark/>
          </w:tcPr>
          <w:p w14:paraId="6230DBA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402,824</w:t>
            </w:r>
          </w:p>
        </w:tc>
        <w:tc>
          <w:tcPr>
            <w:tcW w:w="1316" w:type="dxa"/>
            <w:gridSpan w:val="2"/>
            <w:tcBorders>
              <w:top w:val="single" w:sz="8" w:space="0" w:color="auto"/>
              <w:left w:val="nil"/>
              <w:bottom w:val="single" w:sz="8" w:space="0" w:color="auto"/>
              <w:right w:val="single" w:sz="8" w:space="0" w:color="auto"/>
            </w:tcBorders>
            <w:noWrap/>
            <w:vAlign w:val="bottom"/>
            <w:hideMark/>
          </w:tcPr>
          <w:p w14:paraId="07674B7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389,254</w:t>
            </w:r>
          </w:p>
        </w:tc>
        <w:tc>
          <w:tcPr>
            <w:tcW w:w="1316" w:type="dxa"/>
            <w:gridSpan w:val="2"/>
            <w:tcBorders>
              <w:top w:val="single" w:sz="8" w:space="0" w:color="auto"/>
              <w:left w:val="nil"/>
              <w:bottom w:val="single" w:sz="8" w:space="0" w:color="auto"/>
              <w:right w:val="single" w:sz="8" w:space="0" w:color="auto"/>
            </w:tcBorders>
            <w:noWrap/>
            <w:vAlign w:val="bottom"/>
            <w:hideMark/>
          </w:tcPr>
          <w:p w14:paraId="20C6FE1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399,720</w:t>
            </w:r>
          </w:p>
        </w:tc>
      </w:tr>
      <w:tr w:rsidR="00EA0FD7" w:rsidRPr="00EA0FD7" w14:paraId="375F86C9" w14:textId="77777777" w:rsidTr="00EA0FD7">
        <w:trPr>
          <w:gridAfter w:val="1"/>
          <w:wAfter w:w="32" w:type="dxa"/>
          <w:trHeight w:val="210"/>
        </w:trPr>
        <w:tc>
          <w:tcPr>
            <w:tcW w:w="1212" w:type="dxa"/>
            <w:gridSpan w:val="2"/>
            <w:tcBorders>
              <w:top w:val="nil"/>
              <w:left w:val="single" w:sz="8" w:space="0" w:color="auto"/>
              <w:bottom w:val="single" w:sz="8" w:space="0" w:color="auto"/>
              <w:right w:val="nil"/>
            </w:tcBorders>
            <w:noWrap/>
            <w:vAlign w:val="bottom"/>
            <w:hideMark/>
          </w:tcPr>
          <w:p w14:paraId="1813479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44" w:type="dxa"/>
            <w:gridSpan w:val="3"/>
            <w:tcBorders>
              <w:top w:val="nil"/>
              <w:left w:val="nil"/>
              <w:bottom w:val="single" w:sz="8" w:space="0" w:color="auto"/>
              <w:right w:val="nil"/>
            </w:tcBorders>
            <w:noWrap/>
            <w:vAlign w:val="bottom"/>
            <w:hideMark/>
          </w:tcPr>
          <w:p w14:paraId="36AEFD5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52" w:type="dxa"/>
            <w:tcBorders>
              <w:top w:val="nil"/>
              <w:left w:val="nil"/>
              <w:bottom w:val="single" w:sz="8" w:space="0" w:color="auto"/>
              <w:right w:val="nil"/>
            </w:tcBorders>
            <w:noWrap/>
            <w:vAlign w:val="bottom"/>
            <w:hideMark/>
          </w:tcPr>
          <w:p w14:paraId="7239F25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48" w:type="dxa"/>
            <w:gridSpan w:val="3"/>
            <w:tcBorders>
              <w:top w:val="nil"/>
              <w:left w:val="nil"/>
              <w:bottom w:val="single" w:sz="8" w:space="0" w:color="auto"/>
              <w:right w:val="nil"/>
            </w:tcBorders>
            <w:noWrap/>
            <w:vAlign w:val="bottom"/>
            <w:hideMark/>
          </w:tcPr>
          <w:p w14:paraId="341381A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gridSpan w:val="2"/>
            <w:tcBorders>
              <w:top w:val="nil"/>
              <w:left w:val="nil"/>
              <w:bottom w:val="single" w:sz="8" w:space="0" w:color="auto"/>
              <w:right w:val="nil"/>
            </w:tcBorders>
            <w:noWrap/>
            <w:vAlign w:val="bottom"/>
            <w:hideMark/>
          </w:tcPr>
          <w:p w14:paraId="6B61890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3"/>
            <w:tcBorders>
              <w:top w:val="nil"/>
              <w:left w:val="nil"/>
              <w:bottom w:val="single" w:sz="8" w:space="0" w:color="auto"/>
              <w:right w:val="nil"/>
            </w:tcBorders>
            <w:noWrap/>
            <w:vAlign w:val="bottom"/>
            <w:hideMark/>
          </w:tcPr>
          <w:p w14:paraId="17D3D06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8" w:space="0" w:color="auto"/>
              <w:right w:val="nil"/>
            </w:tcBorders>
            <w:noWrap/>
            <w:vAlign w:val="bottom"/>
            <w:hideMark/>
          </w:tcPr>
          <w:p w14:paraId="33EFC6A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8" w:space="0" w:color="auto"/>
              <w:right w:val="nil"/>
            </w:tcBorders>
            <w:noWrap/>
            <w:vAlign w:val="bottom"/>
            <w:hideMark/>
          </w:tcPr>
          <w:p w14:paraId="10A3F0F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8" w:space="0" w:color="auto"/>
              <w:right w:val="nil"/>
            </w:tcBorders>
            <w:noWrap/>
            <w:vAlign w:val="bottom"/>
            <w:hideMark/>
          </w:tcPr>
          <w:p w14:paraId="7C5F4150"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gridSpan w:val="2"/>
            <w:tcBorders>
              <w:top w:val="nil"/>
              <w:left w:val="nil"/>
              <w:bottom w:val="single" w:sz="8" w:space="0" w:color="auto"/>
              <w:right w:val="nil"/>
            </w:tcBorders>
            <w:noWrap/>
            <w:vAlign w:val="bottom"/>
            <w:hideMark/>
          </w:tcPr>
          <w:p w14:paraId="6D598C40"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gridSpan w:val="2"/>
            <w:tcBorders>
              <w:top w:val="nil"/>
              <w:left w:val="nil"/>
              <w:bottom w:val="single" w:sz="8" w:space="0" w:color="auto"/>
              <w:right w:val="single" w:sz="8" w:space="0" w:color="auto"/>
            </w:tcBorders>
            <w:noWrap/>
            <w:vAlign w:val="bottom"/>
            <w:hideMark/>
          </w:tcPr>
          <w:p w14:paraId="1F666C90"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50976562" w14:textId="77777777" w:rsidTr="00EA0FD7">
        <w:trPr>
          <w:gridAfter w:val="1"/>
          <w:wAfter w:w="32" w:type="dxa"/>
          <w:trHeight w:val="240"/>
        </w:trPr>
        <w:tc>
          <w:tcPr>
            <w:tcW w:w="1212" w:type="dxa"/>
            <w:gridSpan w:val="2"/>
            <w:tcBorders>
              <w:top w:val="nil"/>
              <w:left w:val="single" w:sz="8" w:space="0" w:color="auto"/>
              <w:bottom w:val="single" w:sz="8" w:space="0" w:color="auto"/>
              <w:right w:val="single" w:sz="8" w:space="0" w:color="auto"/>
            </w:tcBorders>
            <w:noWrap/>
            <w:vAlign w:val="bottom"/>
            <w:hideMark/>
          </w:tcPr>
          <w:p w14:paraId="66C2A8E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44" w:type="dxa"/>
            <w:gridSpan w:val="3"/>
            <w:tcBorders>
              <w:top w:val="nil"/>
              <w:left w:val="nil"/>
              <w:bottom w:val="single" w:sz="8" w:space="0" w:color="auto"/>
              <w:right w:val="single" w:sz="8" w:space="0" w:color="auto"/>
            </w:tcBorders>
            <w:noWrap/>
            <w:vAlign w:val="bottom"/>
            <w:hideMark/>
          </w:tcPr>
          <w:p w14:paraId="54D5B41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352" w:type="dxa"/>
            <w:tcBorders>
              <w:top w:val="nil"/>
              <w:left w:val="nil"/>
              <w:bottom w:val="single" w:sz="8" w:space="0" w:color="auto"/>
              <w:right w:val="single" w:sz="8" w:space="0" w:color="auto"/>
            </w:tcBorders>
            <w:noWrap/>
            <w:vAlign w:val="bottom"/>
            <w:hideMark/>
          </w:tcPr>
          <w:p w14:paraId="256B26A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w:t>
            </w:r>
          </w:p>
        </w:tc>
        <w:tc>
          <w:tcPr>
            <w:tcW w:w="1348" w:type="dxa"/>
            <w:gridSpan w:val="3"/>
            <w:tcBorders>
              <w:top w:val="nil"/>
              <w:left w:val="nil"/>
              <w:bottom w:val="single" w:sz="8" w:space="0" w:color="auto"/>
              <w:right w:val="single" w:sz="8" w:space="0" w:color="auto"/>
            </w:tcBorders>
            <w:noWrap/>
            <w:vAlign w:val="bottom"/>
            <w:hideMark/>
          </w:tcPr>
          <w:p w14:paraId="1AB6D36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w:t>
            </w:r>
          </w:p>
        </w:tc>
        <w:tc>
          <w:tcPr>
            <w:tcW w:w="1336" w:type="dxa"/>
            <w:gridSpan w:val="2"/>
            <w:tcBorders>
              <w:top w:val="nil"/>
              <w:left w:val="nil"/>
              <w:bottom w:val="single" w:sz="8" w:space="0" w:color="auto"/>
              <w:right w:val="single" w:sz="8" w:space="0" w:color="auto"/>
            </w:tcBorders>
            <w:noWrap/>
            <w:vAlign w:val="bottom"/>
            <w:hideMark/>
          </w:tcPr>
          <w:p w14:paraId="72D7C34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w:t>
            </w:r>
          </w:p>
        </w:tc>
        <w:tc>
          <w:tcPr>
            <w:tcW w:w="1316" w:type="dxa"/>
            <w:gridSpan w:val="3"/>
            <w:tcBorders>
              <w:top w:val="nil"/>
              <w:left w:val="nil"/>
              <w:bottom w:val="single" w:sz="8" w:space="0" w:color="auto"/>
              <w:right w:val="single" w:sz="8" w:space="0" w:color="auto"/>
            </w:tcBorders>
            <w:noWrap/>
            <w:vAlign w:val="bottom"/>
            <w:hideMark/>
          </w:tcPr>
          <w:p w14:paraId="5A6B0D2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w:t>
            </w:r>
          </w:p>
        </w:tc>
        <w:tc>
          <w:tcPr>
            <w:tcW w:w="1316" w:type="dxa"/>
            <w:gridSpan w:val="2"/>
            <w:tcBorders>
              <w:top w:val="nil"/>
              <w:left w:val="nil"/>
              <w:bottom w:val="single" w:sz="8" w:space="0" w:color="auto"/>
              <w:right w:val="single" w:sz="8" w:space="0" w:color="auto"/>
            </w:tcBorders>
            <w:noWrap/>
            <w:vAlign w:val="bottom"/>
            <w:hideMark/>
          </w:tcPr>
          <w:p w14:paraId="57E457F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w:t>
            </w:r>
          </w:p>
        </w:tc>
        <w:tc>
          <w:tcPr>
            <w:tcW w:w="1316" w:type="dxa"/>
            <w:gridSpan w:val="2"/>
            <w:tcBorders>
              <w:top w:val="nil"/>
              <w:left w:val="nil"/>
              <w:bottom w:val="single" w:sz="8" w:space="0" w:color="auto"/>
              <w:right w:val="single" w:sz="8" w:space="0" w:color="auto"/>
            </w:tcBorders>
            <w:noWrap/>
            <w:vAlign w:val="bottom"/>
            <w:hideMark/>
          </w:tcPr>
          <w:p w14:paraId="6E0FDE3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w:t>
            </w:r>
          </w:p>
        </w:tc>
        <w:tc>
          <w:tcPr>
            <w:tcW w:w="1316" w:type="dxa"/>
            <w:gridSpan w:val="2"/>
            <w:tcBorders>
              <w:top w:val="nil"/>
              <w:left w:val="nil"/>
              <w:bottom w:val="single" w:sz="8" w:space="0" w:color="auto"/>
              <w:right w:val="single" w:sz="8" w:space="0" w:color="auto"/>
            </w:tcBorders>
            <w:noWrap/>
            <w:vAlign w:val="bottom"/>
            <w:hideMark/>
          </w:tcPr>
          <w:p w14:paraId="71CDFB3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w:t>
            </w:r>
          </w:p>
        </w:tc>
        <w:tc>
          <w:tcPr>
            <w:tcW w:w="1316" w:type="dxa"/>
            <w:gridSpan w:val="2"/>
            <w:tcBorders>
              <w:top w:val="nil"/>
              <w:left w:val="nil"/>
              <w:bottom w:val="single" w:sz="8" w:space="0" w:color="auto"/>
              <w:right w:val="single" w:sz="8" w:space="0" w:color="auto"/>
            </w:tcBorders>
            <w:noWrap/>
            <w:vAlign w:val="bottom"/>
            <w:hideMark/>
          </w:tcPr>
          <w:p w14:paraId="062B4F3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w:t>
            </w:r>
          </w:p>
        </w:tc>
        <w:tc>
          <w:tcPr>
            <w:tcW w:w="1316" w:type="dxa"/>
            <w:gridSpan w:val="2"/>
            <w:tcBorders>
              <w:top w:val="nil"/>
              <w:left w:val="nil"/>
              <w:bottom w:val="single" w:sz="8" w:space="0" w:color="auto"/>
              <w:right w:val="single" w:sz="8" w:space="0" w:color="auto"/>
            </w:tcBorders>
            <w:noWrap/>
            <w:vAlign w:val="bottom"/>
            <w:hideMark/>
          </w:tcPr>
          <w:p w14:paraId="468AA98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w:t>
            </w:r>
          </w:p>
        </w:tc>
      </w:tr>
      <w:tr w:rsidR="00EA0FD7" w:rsidRPr="00EA0FD7" w14:paraId="4F155D03" w14:textId="77777777" w:rsidTr="00EA0FD7">
        <w:trPr>
          <w:gridAfter w:val="1"/>
          <w:wAfter w:w="32" w:type="dxa"/>
          <w:trHeight w:val="240"/>
        </w:trPr>
        <w:tc>
          <w:tcPr>
            <w:tcW w:w="1212" w:type="dxa"/>
            <w:gridSpan w:val="2"/>
            <w:noWrap/>
            <w:vAlign w:val="bottom"/>
          </w:tcPr>
          <w:p w14:paraId="5B192E4D"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2544" w:type="dxa"/>
            <w:gridSpan w:val="3"/>
            <w:noWrap/>
            <w:vAlign w:val="bottom"/>
          </w:tcPr>
          <w:p w14:paraId="701227AC"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52" w:type="dxa"/>
            <w:noWrap/>
            <w:vAlign w:val="bottom"/>
          </w:tcPr>
          <w:p w14:paraId="0388DA50"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48" w:type="dxa"/>
            <w:gridSpan w:val="3"/>
            <w:noWrap/>
            <w:vAlign w:val="bottom"/>
          </w:tcPr>
          <w:p w14:paraId="342BE70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p>
        </w:tc>
        <w:tc>
          <w:tcPr>
            <w:tcW w:w="1336" w:type="dxa"/>
            <w:gridSpan w:val="2"/>
            <w:noWrap/>
            <w:vAlign w:val="bottom"/>
          </w:tcPr>
          <w:p w14:paraId="134B120C"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3"/>
            <w:noWrap/>
            <w:vAlign w:val="bottom"/>
          </w:tcPr>
          <w:p w14:paraId="42001EAA"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19A54477"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74404180"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601DB526"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6EBB5123"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gridSpan w:val="2"/>
            <w:noWrap/>
            <w:vAlign w:val="bottom"/>
          </w:tcPr>
          <w:p w14:paraId="23249FDB" w14:textId="77777777" w:rsidR="00EA0FD7" w:rsidRPr="00EA0FD7" w:rsidRDefault="00EA0FD7" w:rsidP="00EA0FD7">
            <w:pPr>
              <w:spacing w:after="0" w:line="240" w:lineRule="auto"/>
              <w:rPr>
                <w:rFonts w:ascii="Arial" w:eastAsia="Times New Roman" w:hAnsi="Arial" w:cs="Arial"/>
                <w:b/>
                <w:bCs/>
                <w:sz w:val="18"/>
                <w:szCs w:val="18"/>
                <w:lang w:val="sr-Cyrl-RS"/>
              </w:rPr>
            </w:pPr>
          </w:p>
        </w:tc>
      </w:tr>
      <w:tr w:rsidR="00EA0FD7" w:rsidRPr="00EA0FD7" w14:paraId="22084CB9" w14:textId="77777777" w:rsidTr="00EA0FD7">
        <w:trPr>
          <w:gridAfter w:val="1"/>
          <w:wAfter w:w="32" w:type="dxa"/>
          <w:trHeight w:val="315"/>
        </w:trPr>
        <w:tc>
          <w:tcPr>
            <w:tcW w:w="7792" w:type="dxa"/>
            <w:gridSpan w:val="11"/>
            <w:tcBorders>
              <w:top w:val="nil"/>
              <w:left w:val="nil"/>
              <w:bottom w:val="single" w:sz="8" w:space="0" w:color="auto"/>
              <w:right w:val="nil"/>
            </w:tcBorders>
            <w:noWrap/>
            <w:vAlign w:val="bottom"/>
            <w:hideMark/>
          </w:tcPr>
          <w:p w14:paraId="019E2EBC" w14:textId="6B76D2FD"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27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КАНЦЕЛАРИЈА ЗА УПРАВЉАЊЕ ЈАВНОМ ИМОВИНОМ</w:t>
            </w:r>
          </w:p>
        </w:tc>
        <w:tc>
          <w:tcPr>
            <w:tcW w:w="1316" w:type="dxa"/>
            <w:gridSpan w:val="3"/>
            <w:noWrap/>
            <w:vAlign w:val="bottom"/>
          </w:tcPr>
          <w:p w14:paraId="2C739254"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68C1648D"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5E3B57DD"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25A6AB54"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06077A87"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gridSpan w:val="2"/>
            <w:noWrap/>
            <w:vAlign w:val="bottom"/>
          </w:tcPr>
          <w:p w14:paraId="67F44BAE"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1F67E067" w14:textId="77777777" w:rsidTr="00EA0FD7">
        <w:trPr>
          <w:gridAfter w:val="1"/>
          <w:wAfter w:w="32" w:type="dxa"/>
          <w:trHeight w:val="300"/>
        </w:trPr>
        <w:tc>
          <w:tcPr>
            <w:tcW w:w="1212" w:type="dxa"/>
            <w:gridSpan w:val="2"/>
            <w:vMerge w:val="restart"/>
            <w:tcBorders>
              <w:top w:val="nil"/>
              <w:left w:val="single" w:sz="8" w:space="0" w:color="auto"/>
              <w:bottom w:val="single" w:sz="8" w:space="0" w:color="000000"/>
              <w:right w:val="single" w:sz="8" w:space="0" w:color="auto"/>
            </w:tcBorders>
            <w:shd w:val="clear" w:color="auto" w:fill="808080"/>
            <w:vAlign w:val="center"/>
            <w:hideMark/>
          </w:tcPr>
          <w:p w14:paraId="3374080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544" w:type="dxa"/>
            <w:gridSpan w:val="3"/>
            <w:vMerge w:val="restart"/>
            <w:tcBorders>
              <w:top w:val="nil"/>
              <w:left w:val="single" w:sz="8" w:space="0" w:color="auto"/>
              <w:bottom w:val="single" w:sz="8" w:space="0" w:color="000000"/>
              <w:right w:val="single" w:sz="8" w:space="0" w:color="auto"/>
            </w:tcBorders>
            <w:shd w:val="clear" w:color="auto" w:fill="808080"/>
            <w:vAlign w:val="center"/>
            <w:hideMark/>
          </w:tcPr>
          <w:p w14:paraId="0564146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352" w:type="dxa"/>
            <w:vMerge w:val="restart"/>
            <w:tcBorders>
              <w:top w:val="nil"/>
              <w:left w:val="single" w:sz="8" w:space="0" w:color="auto"/>
              <w:bottom w:val="single" w:sz="8" w:space="0" w:color="000000"/>
              <w:right w:val="single" w:sz="8" w:space="0" w:color="auto"/>
            </w:tcBorders>
            <w:shd w:val="clear" w:color="auto" w:fill="808080"/>
            <w:vAlign w:val="center"/>
            <w:hideMark/>
          </w:tcPr>
          <w:p w14:paraId="6B6FD84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348" w:type="dxa"/>
            <w:gridSpan w:val="3"/>
            <w:vMerge w:val="restart"/>
            <w:tcBorders>
              <w:top w:val="nil"/>
              <w:left w:val="single" w:sz="8" w:space="0" w:color="auto"/>
              <w:bottom w:val="single" w:sz="8" w:space="0" w:color="000000"/>
              <w:right w:val="single" w:sz="8" w:space="0" w:color="auto"/>
            </w:tcBorders>
            <w:shd w:val="clear" w:color="auto" w:fill="808080"/>
            <w:vAlign w:val="center"/>
            <w:hideMark/>
          </w:tcPr>
          <w:p w14:paraId="3CC84D3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36" w:type="dxa"/>
            <w:gridSpan w:val="2"/>
            <w:vMerge w:val="restart"/>
            <w:tcBorders>
              <w:top w:val="nil"/>
              <w:left w:val="single" w:sz="8" w:space="0" w:color="auto"/>
              <w:bottom w:val="single" w:sz="8" w:space="0" w:color="000000"/>
              <w:right w:val="single" w:sz="8" w:space="0" w:color="auto"/>
            </w:tcBorders>
            <w:shd w:val="clear" w:color="auto" w:fill="808080"/>
            <w:vAlign w:val="center"/>
            <w:hideMark/>
          </w:tcPr>
          <w:p w14:paraId="6B463C5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7"/>
            <w:tcBorders>
              <w:top w:val="single" w:sz="8" w:space="0" w:color="auto"/>
              <w:left w:val="nil"/>
              <w:bottom w:val="single" w:sz="8" w:space="0" w:color="auto"/>
              <w:right w:val="single" w:sz="8" w:space="0" w:color="000000"/>
            </w:tcBorders>
            <w:shd w:val="clear" w:color="auto" w:fill="808080"/>
            <w:noWrap/>
            <w:vAlign w:val="center"/>
            <w:hideMark/>
          </w:tcPr>
          <w:p w14:paraId="008508B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6"/>
            <w:tcBorders>
              <w:top w:val="single" w:sz="8" w:space="0" w:color="auto"/>
              <w:left w:val="nil"/>
              <w:bottom w:val="single" w:sz="8" w:space="0" w:color="auto"/>
              <w:right w:val="single" w:sz="8" w:space="0" w:color="000000"/>
            </w:tcBorders>
            <w:shd w:val="clear" w:color="auto" w:fill="808080"/>
            <w:noWrap/>
            <w:vAlign w:val="center"/>
            <w:hideMark/>
          </w:tcPr>
          <w:p w14:paraId="0AACB9F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24836FEA" w14:textId="77777777" w:rsidTr="00EA0FD7">
        <w:trPr>
          <w:gridAfter w:val="1"/>
          <w:wAfter w:w="32" w:type="dxa"/>
          <w:trHeight w:val="300"/>
        </w:trPr>
        <w:tc>
          <w:tcPr>
            <w:tcW w:w="0" w:type="auto"/>
            <w:gridSpan w:val="2"/>
            <w:vMerge/>
            <w:tcBorders>
              <w:top w:val="nil"/>
              <w:left w:val="single" w:sz="8" w:space="0" w:color="auto"/>
              <w:bottom w:val="single" w:sz="8" w:space="0" w:color="000000"/>
              <w:right w:val="single" w:sz="8" w:space="0" w:color="auto"/>
            </w:tcBorders>
            <w:vAlign w:val="center"/>
            <w:hideMark/>
          </w:tcPr>
          <w:p w14:paraId="6F1884F4"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3"/>
            <w:vMerge/>
            <w:tcBorders>
              <w:top w:val="nil"/>
              <w:left w:val="single" w:sz="8" w:space="0" w:color="auto"/>
              <w:bottom w:val="single" w:sz="8" w:space="0" w:color="000000"/>
              <w:right w:val="single" w:sz="8" w:space="0" w:color="auto"/>
            </w:tcBorders>
            <w:vAlign w:val="center"/>
            <w:hideMark/>
          </w:tcPr>
          <w:p w14:paraId="1AB1694F"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2321C3B5"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3"/>
            <w:vMerge/>
            <w:tcBorders>
              <w:top w:val="nil"/>
              <w:left w:val="single" w:sz="8" w:space="0" w:color="auto"/>
              <w:bottom w:val="single" w:sz="8" w:space="0" w:color="000000"/>
              <w:right w:val="single" w:sz="8" w:space="0" w:color="auto"/>
            </w:tcBorders>
            <w:vAlign w:val="center"/>
            <w:hideMark/>
          </w:tcPr>
          <w:p w14:paraId="615DBF95"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gridSpan w:val="2"/>
            <w:vMerge/>
            <w:tcBorders>
              <w:top w:val="nil"/>
              <w:left w:val="single" w:sz="8" w:space="0" w:color="auto"/>
              <w:bottom w:val="single" w:sz="8" w:space="0" w:color="000000"/>
              <w:right w:val="single" w:sz="8" w:space="0" w:color="auto"/>
            </w:tcBorders>
            <w:vAlign w:val="center"/>
            <w:hideMark/>
          </w:tcPr>
          <w:p w14:paraId="648BA63F"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gridSpan w:val="3"/>
            <w:tcBorders>
              <w:top w:val="nil"/>
              <w:left w:val="nil"/>
              <w:bottom w:val="single" w:sz="8" w:space="0" w:color="auto"/>
              <w:right w:val="single" w:sz="4" w:space="0" w:color="auto"/>
            </w:tcBorders>
            <w:shd w:val="clear" w:color="auto" w:fill="808080"/>
            <w:noWrap/>
            <w:vAlign w:val="center"/>
            <w:hideMark/>
          </w:tcPr>
          <w:p w14:paraId="5C75A70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2895F08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gridSpan w:val="2"/>
            <w:tcBorders>
              <w:top w:val="nil"/>
              <w:left w:val="nil"/>
              <w:bottom w:val="single" w:sz="8" w:space="0" w:color="auto"/>
              <w:right w:val="single" w:sz="8" w:space="0" w:color="auto"/>
            </w:tcBorders>
            <w:shd w:val="clear" w:color="auto" w:fill="808080"/>
            <w:noWrap/>
            <w:vAlign w:val="center"/>
            <w:hideMark/>
          </w:tcPr>
          <w:p w14:paraId="1B39CA08"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13085DF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gridSpan w:val="2"/>
            <w:tcBorders>
              <w:top w:val="nil"/>
              <w:left w:val="nil"/>
              <w:bottom w:val="single" w:sz="8" w:space="0" w:color="auto"/>
              <w:right w:val="single" w:sz="4" w:space="0" w:color="auto"/>
            </w:tcBorders>
            <w:shd w:val="clear" w:color="auto" w:fill="808080"/>
            <w:noWrap/>
            <w:vAlign w:val="center"/>
            <w:hideMark/>
          </w:tcPr>
          <w:p w14:paraId="4309840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gridSpan w:val="2"/>
            <w:tcBorders>
              <w:top w:val="nil"/>
              <w:left w:val="nil"/>
              <w:bottom w:val="single" w:sz="8" w:space="0" w:color="auto"/>
              <w:right w:val="single" w:sz="8" w:space="0" w:color="auto"/>
            </w:tcBorders>
            <w:shd w:val="clear" w:color="auto" w:fill="808080"/>
            <w:noWrap/>
            <w:vAlign w:val="center"/>
            <w:hideMark/>
          </w:tcPr>
          <w:p w14:paraId="5F1ADC5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5857475E" w14:textId="77777777" w:rsidTr="00EA0FD7">
        <w:trPr>
          <w:gridAfter w:val="1"/>
          <w:wAfter w:w="32" w:type="dxa"/>
          <w:trHeight w:val="240"/>
        </w:trPr>
        <w:tc>
          <w:tcPr>
            <w:tcW w:w="1212" w:type="dxa"/>
            <w:gridSpan w:val="2"/>
            <w:tcBorders>
              <w:top w:val="nil"/>
              <w:left w:val="single" w:sz="8" w:space="0" w:color="auto"/>
              <w:bottom w:val="single" w:sz="4" w:space="0" w:color="auto"/>
              <w:right w:val="single" w:sz="4" w:space="0" w:color="auto"/>
            </w:tcBorders>
            <w:noWrap/>
            <w:vAlign w:val="bottom"/>
            <w:hideMark/>
          </w:tcPr>
          <w:p w14:paraId="61691EF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44" w:type="dxa"/>
            <w:gridSpan w:val="3"/>
            <w:tcBorders>
              <w:top w:val="nil"/>
              <w:left w:val="nil"/>
              <w:bottom w:val="single" w:sz="4" w:space="0" w:color="auto"/>
              <w:right w:val="single" w:sz="4" w:space="0" w:color="auto"/>
            </w:tcBorders>
            <w:noWrap/>
            <w:vAlign w:val="bottom"/>
            <w:hideMark/>
          </w:tcPr>
          <w:p w14:paraId="18D634C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352" w:type="dxa"/>
            <w:tcBorders>
              <w:top w:val="nil"/>
              <w:left w:val="nil"/>
              <w:bottom w:val="single" w:sz="4" w:space="0" w:color="auto"/>
              <w:right w:val="single" w:sz="4" w:space="0" w:color="auto"/>
            </w:tcBorders>
            <w:noWrap/>
            <w:vAlign w:val="bottom"/>
            <w:hideMark/>
          </w:tcPr>
          <w:p w14:paraId="6CB3E64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48" w:type="dxa"/>
            <w:gridSpan w:val="3"/>
            <w:tcBorders>
              <w:top w:val="nil"/>
              <w:left w:val="nil"/>
              <w:bottom w:val="single" w:sz="4" w:space="0" w:color="auto"/>
              <w:right w:val="single" w:sz="4" w:space="0" w:color="auto"/>
            </w:tcBorders>
            <w:noWrap/>
            <w:vAlign w:val="bottom"/>
            <w:hideMark/>
          </w:tcPr>
          <w:p w14:paraId="4C96E54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gridSpan w:val="2"/>
            <w:tcBorders>
              <w:top w:val="nil"/>
              <w:left w:val="nil"/>
              <w:bottom w:val="single" w:sz="4" w:space="0" w:color="auto"/>
              <w:right w:val="single" w:sz="4" w:space="0" w:color="auto"/>
            </w:tcBorders>
            <w:noWrap/>
            <w:vAlign w:val="bottom"/>
            <w:hideMark/>
          </w:tcPr>
          <w:p w14:paraId="53E77FD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3"/>
            <w:tcBorders>
              <w:top w:val="nil"/>
              <w:left w:val="nil"/>
              <w:bottom w:val="single" w:sz="4" w:space="0" w:color="auto"/>
              <w:right w:val="single" w:sz="4" w:space="0" w:color="auto"/>
            </w:tcBorders>
            <w:noWrap/>
            <w:vAlign w:val="bottom"/>
            <w:hideMark/>
          </w:tcPr>
          <w:p w14:paraId="731FE57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29B222C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31EDEAF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0F5BCD1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4" w:space="0" w:color="auto"/>
            </w:tcBorders>
            <w:noWrap/>
            <w:vAlign w:val="bottom"/>
            <w:hideMark/>
          </w:tcPr>
          <w:p w14:paraId="4FD6B5A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4" w:space="0" w:color="auto"/>
              <w:right w:val="single" w:sz="8" w:space="0" w:color="auto"/>
            </w:tcBorders>
            <w:noWrap/>
            <w:vAlign w:val="bottom"/>
            <w:hideMark/>
          </w:tcPr>
          <w:p w14:paraId="7B03B58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2A3C45FA" w14:textId="77777777" w:rsidTr="00EA0FD7">
        <w:trPr>
          <w:gridAfter w:val="1"/>
          <w:wAfter w:w="32" w:type="dxa"/>
          <w:trHeight w:val="480"/>
        </w:trPr>
        <w:tc>
          <w:tcPr>
            <w:tcW w:w="1212" w:type="dxa"/>
            <w:gridSpan w:val="2"/>
            <w:tcBorders>
              <w:top w:val="nil"/>
              <w:left w:val="single" w:sz="8" w:space="0" w:color="auto"/>
              <w:bottom w:val="single" w:sz="4" w:space="0" w:color="auto"/>
              <w:right w:val="single" w:sz="4" w:space="0" w:color="auto"/>
            </w:tcBorders>
            <w:vAlign w:val="bottom"/>
            <w:hideMark/>
          </w:tcPr>
          <w:p w14:paraId="2759C6D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544" w:type="dxa"/>
            <w:gridSpan w:val="3"/>
            <w:tcBorders>
              <w:top w:val="nil"/>
              <w:left w:val="nil"/>
              <w:bottom w:val="single" w:sz="4" w:space="0" w:color="auto"/>
              <w:right w:val="single" w:sz="4" w:space="0" w:color="auto"/>
            </w:tcBorders>
            <w:vAlign w:val="bottom"/>
            <w:hideMark/>
          </w:tcPr>
          <w:p w14:paraId="3A2D7926"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352" w:type="dxa"/>
            <w:tcBorders>
              <w:top w:val="nil"/>
              <w:left w:val="nil"/>
              <w:bottom w:val="single" w:sz="4" w:space="0" w:color="auto"/>
              <w:right w:val="single" w:sz="4" w:space="0" w:color="auto"/>
            </w:tcBorders>
            <w:noWrap/>
            <w:vAlign w:val="bottom"/>
            <w:hideMark/>
          </w:tcPr>
          <w:p w14:paraId="7D8D813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1,395,385.86</w:t>
            </w:r>
          </w:p>
        </w:tc>
        <w:tc>
          <w:tcPr>
            <w:tcW w:w="1348" w:type="dxa"/>
            <w:gridSpan w:val="3"/>
            <w:tcBorders>
              <w:top w:val="nil"/>
              <w:left w:val="nil"/>
              <w:bottom w:val="single" w:sz="4" w:space="0" w:color="auto"/>
              <w:right w:val="single" w:sz="4" w:space="0" w:color="auto"/>
            </w:tcBorders>
            <w:noWrap/>
            <w:vAlign w:val="bottom"/>
            <w:hideMark/>
          </w:tcPr>
          <w:p w14:paraId="38A40A9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1,340,148.26</w:t>
            </w:r>
          </w:p>
        </w:tc>
        <w:tc>
          <w:tcPr>
            <w:tcW w:w="1336" w:type="dxa"/>
            <w:gridSpan w:val="2"/>
            <w:tcBorders>
              <w:top w:val="nil"/>
              <w:left w:val="nil"/>
              <w:bottom w:val="single" w:sz="4" w:space="0" w:color="auto"/>
              <w:right w:val="single" w:sz="4" w:space="0" w:color="auto"/>
            </w:tcBorders>
            <w:noWrap/>
            <w:vAlign w:val="bottom"/>
            <w:hideMark/>
          </w:tcPr>
          <w:p w14:paraId="0836AEB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1,536,697.03</w:t>
            </w:r>
          </w:p>
        </w:tc>
        <w:tc>
          <w:tcPr>
            <w:tcW w:w="1316" w:type="dxa"/>
            <w:gridSpan w:val="3"/>
            <w:tcBorders>
              <w:top w:val="nil"/>
              <w:left w:val="nil"/>
              <w:bottom w:val="single" w:sz="4" w:space="0" w:color="auto"/>
              <w:right w:val="single" w:sz="4" w:space="0" w:color="auto"/>
            </w:tcBorders>
            <w:noWrap/>
            <w:vAlign w:val="bottom"/>
            <w:hideMark/>
          </w:tcPr>
          <w:p w14:paraId="34D8E83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1,500,124</w:t>
            </w:r>
          </w:p>
        </w:tc>
        <w:tc>
          <w:tcPr>
            <w:tcW w:w="1316" w:type="dxa"/>
            <w:gridSpan w:val="2"/>
            <w:tcBorders>
              <w:top w:val="nil"/>
              <w:left w:val="nil"/>
              <w:bottom w:val="single" w:sz="4" w:space="0" w:color="auto"/>
              <w:right w:val="single" w:sz="4" w:space="0" w:color="auto"/>
            </w:tcBorders>
            <w:noWrap/>
            <w:vAlign w:val="bottom"/>
            <w:hideMark/>
          </w:tcPr>
          <w:p w14:paraId="0050472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1,469,586</w:t>
            </w:r>
          </w:p>
        </w:tc>
        <w:tc>
          <w:tcPr>
            <w:tcW w:w="1316" w:type="dxa"/>
            <w:gridSpan w:val="2"/>
            <w:tcBorders>
              <w:top w:val="nil"/>
              <w:left w:val="nil"/>
              <w:bottom w:val="single" w:sz="4" w:space="0" w:color="auto"/>
              <w:right w:val="single" w:sz="4" w:space="0" w:color="auto"/>
            </w:tcBorders>
            <w:noWrap/>
            <w:vAlign w:val="bottom"/>
            <w:hideMark/>
          </w:tcPr>
          <w:p w14:paraId="22C5F16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1,469,586</w:t>
            </w:r>
          </w:p>
        </w:tc>
        <w:tc>
          <w:tcPr>
            <w:tcW w:w="1316" w:type="dxa"/>
            <w:gridSpan w:val="2"/>
            <w:tcBorders>
              <w:top w:val="nil"/>
              <w:left w:val="nil"/>
              <w:bottom w:val="single" w:sz="4" w:space="0" w:color="auto"/>
              <w:right w:val="single" w:sz="4" w:space="0" w:color="auto"/>
            </w:tcBorders>
            <w:noWrap/>
            <w:vAlign w:val="bottom"/>
            <w:hideMark/>
          </w:tcPr>
          <w:p w14:paraId="1ECB585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1,500,124</w:t>
            </w:r>
          </w:p>
        </w:tc>
        <w:tc>
          <w:tcPr>
            <w:tcW w:w="1316" w:type="dxa"/>
            <w:gridSpan w:val="2"/>
            <w:tcBorders>
              <w:top w:val="nil"/>
              <w:left w:val="nil"/>
              <w:bottom w:val="single" w:sz="4" w:space="0" w:color="auto"/>
              <w:right w:val="single" w:sz="4" w:space="0" w:color="auto"/>
            </w:tcBorders>
            <w:noWrap/>
            <w:vAlign w:val="bottom"/>
            <w:hideMark/>
          </w:tcPr>
          <w:p w14:paraId="7A08A18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1,469,586</w:t>
            </w:r>
          </w:p>
        </w:tc>
        <w:tc>
          <w:tcPr>
            <w:tcW w:w="1316" w:type="dxa"/>
            <w:gridSpan w:val="2"/>
            <w:tcBorders>
              <w:top w:val="nil"/>
              <w:left w:val="nil"/>
              <w:bottom w:val="single" w:sz="4" w:space="0" w:color="auto"/>
              <w:right w:val="single" w:sz="4" w:space="0" w:color="auto"/>
            </w:tcBorders>
            <w:noWrap/>
            <w:vAlign w:val="bottom"/>
            <w:hideMark/>
          </w:tcPr>
          <w:p w14:paraId="38297A0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1,469,586</w:t>
            </w:r>
          </w:p>
        </w:tc>
      </w:tr>
      <w:tr w:rsidR="00EA0FD7" w:rsidRPr="00EA0FD7" w14:paraId="78E78827" w14:textId="77777777" w:rsidTr="00EA0FD7">
        <w:trPr>
          <w:gridAfter w:val="1"/>
          <w:wAfter w:w="32" w:type="dxa"/>
          <w:trHeight w:val="240"/>
        </w:trPr>
        <w:tc>
          <w:tcPr>
            <w:tcW w:w="1212" w:type="dxa"/>
            <w:gridSpan w:val="2"/>
            <w:tcBorders>
              <w:top w:val="nil"/>
              <w:left w:val="single" w:sz="8" w:space="0" w:color="auto"/>
              <w:bottom w:val="single" w:sz="4" w:space="0" w:color="auto"/>
              <w:right w:val="single" w:sz="4" w:space="0" w:color="auto"/>
            </w:tcBorders>
            <w:noWrap/>
            <w:vAlign w:val="bottom"/>
            <w:hideMark/>
          </w:tcPr>
          <w:p w14:paraId="655547F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611200</w:t>
            </w:r>
          </w:p>
        </w:tc>
        <w:tc>
          <w:tcPr>
            <w:tcW w:w="2544" w:type="dxa"/>
            <w:gridSpan w:val="3"/>
            <w:tcBorders>
              <w:top w:val="nil"/>
              <w:left w:val="nil"/>
              <w:bottom w:val="single" w:sz="4" w:space="0" w:color="auto"/>
              <w:right w:val="single" w:sz="4" w:space="0" w:color="auto"/>
            </w:tcBorders>
            <w:vAlign w:val="bottom"/>
            <w:hideMark/>
          </w:tcPr>
          <w:p w14:paraId="13B66E6E"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352" w:type="dxa"/>
            <w:tcBorders>
              <w:top w:val="nil"/>
              <w:left w:val="nil"/>
              <w:bottom w:val="single" w:sz="4" w:space="0" w:color="auto"/>
              <w:right w:val="single" w:sz="4" w:space="0" w:color="auto"/>
            </w:tcBorders>
            <w:noWrap/>
            <w:vAlign w:val="bottom"/>
            <w:hideMark/>
          </w:tcPr>
          <w:p w14:paraId="58B71F1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51,245.00</w:t>
            </w:r>
          </w:p>
        </w:tc>
        <w:tc>
          <w:tcPr>
            <w:tcW w:w="1348" w:type="dxa"/>
            <w:gridSpan w:val="3"/>
            <w:tcBorders>
              <w:top w:val="nil"/>
              <w:left w:val="nil"/>
              <w:bottom w:val="single" w:sz="4" w:space="0" w:color="auto"/>
              <w:right w:val="single" w:sz="4" w:space="0" w:color="auto"/>
            </w:tcBorders>
            <w:noWrap/>
            <w:vAlign w:val="bottom"/>
            <w:hideMark/>
          </w:tcPr>
          <w:p w14:paraId="042FB65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51,091.28</w:t>
            </w:r>
          </w:p>
        </w:tc>
        <w:tc>
          <w:tcPr>
            <w:tcW w:w="1336" w:type="dxa"/>
            <w:gridSpan w:val="2"/>
            <w:tcBorders>
              <w:top w:val="nil"/>
              <w:left w:val="nil"/>
              <w:bottom w:val="single" w:sz="4" w:space="0" w:color="auto"/>
              <w:right w:val="single" w:sz="4" w:space="0" w:color="auto"/>
            </w:tcBorders>
            <w:noWrap/>
            <w:vAlign w:val="bottom"/>
            <w:hideMark/>
          </w:tcPr>
          <w:p w14:paraId="3573791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108,412.00</w:t>
            </w:r>
          </w:p>
        </w:tc>
        <w:tc>
          <w:tcPr>
            <w:tcW w:w="1316" w:type="dxa"/>
            <w:gridSpan w:val="3"/>
            <w:tcBorders>
              <w:top w:val="nil"/>
              <w:left w:val="nil"/>
              <w:bottom w:val="single" w:sz="4" w:space="0" w:color="auto"/>
              <w:right w:val="single" w:sz="4" w:space="0" w:color="auto"/>
            </w:tcBorders>
            <w:noWrap/>
            <w:vAlign w:val="bottom"/>
            <w:hideMark/>
          </w:tcPr>
          <w:p w14:paraId="29F9D58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133,485</w:t>
            </w:r>
          </w:p>
        </w:tc>
        <w:tc>
          <w:tcPr>
            <w:tcW w:w="1316" w:type="dxa"/>
            <w:gridSpan w:val="2"/>
            <w:tcBorders>
              <w:top w:val="nil"/>
              <w:left w:val="nil"/>
              <w:bottom w:val="single" w:sz="4" w:space="0" w:color="auto"/>
              <w:right w:val="single" w:sz="4" w:space="0" w:color="auto"/>
            </w:tcBorders>
            <w:noWrap/>
            <w:vAlign w:val="bottom"/>
            <w:hideMark/>
          </w:tcPr>
          <w:p w14:paraId="70826CC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172,332</w:t>
            </w:r>
          </w:p>
        </w:tc>
        <w:tc>
          <w:tcPr>
            <w:tcW w:w="1316" w:type="dxa"/>
            <w:gridSpan w:val="2"/>
            <w:tcBorders>
              <w:top w:val="nil"/>
              <w:left w:val="nil"/>
              <w:bottom w:val="single" w:sz="4" w:space="0" w:color="auto"/>
              <w:right w:val="single" w:sz="4" w:space="0" w:color="auto"/>
            </w:tcBorders>
            <w:noWrap/>
            <w:vAlign w:val="bottom"/>
            <w:hideMark/>
          </w:tcPr>
          <w:p w14:paraId="5693A6A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168,180</w:t>
            </w:r>
          </w:p>
        </w:tc>
        <w:tc>
          <w:tcPr>
            <w:tcW w:w="1316" w:type="dxa"/>
            <w:gridSpan w:val="2"/>
            <w:tcBorders>
              <w:top w:val="nil"/>
              <w:left w:val="nil"/>
              <w:bottom w:val="single" w:sz="4" w:space="0" w:color="auto"/>
              <w:right w:val="single" w:sz="4" w:space="0" w:color="auto"/>
            </w:tcBorders>
            <w:noWrap/>
            <w:vAlign w:val="bottom"/>
            <w:hideMark/>
          </w:tcPr>
          <w:p w14:paraId="796CE32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133,485</w:t>
            </w:r>
          </w:p>
        </w:tc>
        <w:tc>
          <w:tcPr>
            <w:tcW w:w="1316" w:type="dxa"/>
            <w:gridSpan w:val="2"/>
            <w:tcBorders>
              <w:top w:val="nil"/>
              <w:left w:val="nil"/>
              <w:bottom w:val="single" w:sz="4" w:space="0" w:color="auto"/>
              <w:right w:val="single" w:sz="4" w:space="0" w:color="auto"/>
            </w:tcBorders>
            <w:noWrap/>
            <w:vAlign w:val="bottom"/>
            <w:hideMark/>
          </w:tcPr>
          <w:p w14:paraId="6152450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172,332</w:t>
            </w:r>
          </w:p>
        </w:tc>
        <w:tc>
          <w:tcPr>
            <w:tcW w:w="1316" w:type="dxa"/>
            <w:gridSpan w:val="2"/>
            <w:tcBorders>
              <w:top w:val="nil"/>
              <w:left w:val="nil"/>
              <w:bottom w:val="single" w:sz="4" w:space="0" w:color="auto"/>
              <w:right w:val="single" w:sz="4" w:space="0" w:color="auto"/>
            </w:tcBorders>
            <w:noWrap/>
            <w:vAlign w:val="bottom"/>
            <w:hideMark/>
          </w:tcPr>
          <w:p w14:paraId="2C2DECF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168,180</w:t>
            </w:r>
          </w:p>
        </w:tc>
      </w:tr>
      <w:tr w:rsidR="00EA0FD7" w:rsidRPr="00EA0FD7" w14:paraId="6A0C6236" w14:textId="77777777" w:rsidTr="00EA0FD7">
        <w:trPr>
          <w:gridAfter w:val="1"/>
          <w:wAfter w:w="32" w:type="dxa"/>
          <w:trHeight w:val="480"/>
        </w:trPr>
        <w:tc>
          <w:tcPr>
            <w:tcW w:w="1212" w:type="dxa"/>
            <w:gridSpan w:val="2"/>
            <w:tcBorders>
              <w:top w:val="nil"/>
              <w:left w:val="single" w:sz="8" w:space="0" w:color="auto"/>
              <w:bottom w:val="single" w:sz="4" w:space="0" w:color="auto"/>
              <w:right w:val="single" w:sz="4" w:space="0" w:color="auto"/>
            </w:tcBorders>
            <w:noWrap/>
            <w:vAlign w:val="bottom"/>
            <w:hideMark/>
          </w:tcPr>
          <w:p w14:paraId="655F3F9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544" w:type="dxa"/>
            <w:gridSpan w:val="3"/>
            <w:tcBorders>
              <w:top w:val="nil"/>
              <w:left w:val="nil"/>
              <w:bottom w:val="single" w:sz="4" w:space="0" w:color="auto"/>
              <w:right w:val="single" w:sz="4" w:space="0" w:color="auto"/>
            </w:tcBorders>
            <w:vAlign w:val="bottom"/>
            <w:hideMark/>
          </w:tcPr>
          <w:p w14:paraId="12188F8E"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352" w:type="dxa"/>
            <w:tcBorders>
              <w:top w:val="nil"/>
              <w:left w:val="nil"/>
              <w:bottom w:val="single" w:sz="4" w:space="0" w:color="auto"/>
              <w:right w:val="single" w:sz="4" w:space="0" w:color="auto"/>
            </w:tcBorders>
            <w:noWrap/>
            <w:vAlign w:val="bottom"/>
            <w:hideMark/>
          </w:tcPr>
          <w:p w14:paraId="5347F76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902,300.00</w:t>
            </w:r>
          </w:p>
        </w:tc>
        <w:tc>
          <w:tcPr>
            <w:tcW w:w="1348" w:type="dxa"/>
            <w:gridSpan w:val="3"/>
            <w:tcBorders>
              <w:top w:val="nil"/>
              <w:left w:val="nil"/>
              <w:bottom w:val="single" w:sz="4" w:space="0" w:color="auto"/>
              <w:right w:val="single" w:sz="4" w:space="0" w:color="auto"/>
            </w:tcBorders>
            <w:noWrap/>
            <w:vAlign w:val="bottom"/>
            <w:hideMark/>
          </w:tcPr>
          <w:p w14:paraId="0AEBFD5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888,423.03</w:t>
            </w:r>
          </w:p>
        </w:tc>
        <w:tc>
          <w:tcPr>
            <w:tcW w:w="1336" w:type="dxa"/>
            <w:gridSpan w:val="2"/>
            <w:tcBorders>
              <w:top w:val="nil"/>
              <w:left w:val="nil"/>
              <w:bottom w:val="single" w:sz="4" w:space="0" w:color="auto"/>
              <w:right w:val="single" w:sz="4" w:space="0" w:color="auto"/>
            </w:tcBorders>
            <w:noWrap/>
            <w:vAlign w:val="bottom"/>
            <w:hideMark/>
          </w:tcPr>
          <w:p w14:paraId="1A61FBC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886,199.00</w:t>
            </w:r>
          </w:p>
        </w:tc>
        <w:tc>
          <w:tcPr>
            <w:tcW w:w="1316" w:type="dxa"/>
            <w:gridSpan w:val="3"/>
            <w:tcBorders>
              <w:top w:val="nil"/>
              <w:left w:val="nil"/>
              <w:bottom w:val="nil"/>
              <w:right w:val="single" w:sz="4" w:space="0" w:color="auto"/>
            </w:tcBorders>
            <w:noWrap/>
            <w:vAlign w:val="bottom"/>
            <w:hideMark/>
          </w:tcPr>
          <w:p w14:paraId="3C048B4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934,923</w:t>
            </w:r>
          </w:p>
        </w:tc>
        <w:tc>
          <w:tcPr>
            <w:tcW w:w="1316" w:type="dxa"/>
            <w:gridSpan w:val="2"/>
            <w:tcBorders>
              <w:top w:val="nil"/>
              <w:left w:val="nil"/>
              <w:bottom w:val="nil"/>
              <w:right w:val="single" w:sz="4" w:space="0" w:color="auto"/>
            </w:tcBorders>
            <w:noWrap/>
            <w:vAlign w:val="bottom"/>
            <w:hideMark/>
          </w:tcPr>
          <w:p w14:paraId="155F42E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924,923</w:t>
            </w:r>
          </w:p>
        </w:tc>
        <w:tc>
          <w:tcPr>
            <w:tcW w:w="1316" w:type="dxa"/>
            <w:gridSpan w:val="2"/>
            <w:tcBorders>
              <w:top w:val="nil"/>
              <w:left w:val="nil"/>
              <w:bottom w:val="nil"/>
              <w:right w:val="single" w:sz="4" w:space="0" w:color="auto"/>
            </w:tcBorders>
            <w:noWrap/>
            <w:vAlign w:val="bottom"/>
            <w:hideMark/>
          </w:tcPr>
          <w:p w14:paraId="0295C52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924,923</w:t>
            </w:r>
          </w:p>
        </w:tc>
        <w:tc>
          <w:tcPr>
            <w:tcW w:w="1316" w:type="dxa"/>
            <w:gridSpan w:val="2"/>
            <w:tcBorders>
              <w:top w:val="nil"/>
              <w:left w:val="nil"/>
              <w:bottom w:val="nil"/>
              <w:right w:val="single" w:sz="4" w:space="0" w:color="auto"/>
            </w:tcBorders>
            <w:noWrap/>
            <w:vAlign w:val="bottom"/>
            <w:hideMark/>
          </w:tcPr>
          <w:p w14:paraId="46B81B1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934,923</w:t>
            </w:r>
          </w:p>
        </w:tc>
        <w:tc>
          <w:tcPr>
            <w:tcW w:w="1316" w:type="dxa"/>
            <w:gridSpan w:val="2"/>
            <w:tcBorders>
              <w:top w:val="nil"/>
              <w:left w:val="nil"/>
              <w:bottom w:val="nil"/>
              <w:right w:val="single" w:sz="4" w:space="0" w:color="auto"/>
            </w:tcBorders>
            <w:noWrap/>
            <w:vAlign w:val="bottom"/>
            <w:hideMark/>
          </w:tcPr>
          <w:p w14:paraId="1FF5141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924,923</w:t>
            </w:r>
          </w:p>
        </w:tc>
        <w:tc>
          <w:tcPr>
            <w:tcW w:w="1316" w:type="dxa"/>
            <w:gridSpan w:val="2"/>
            <w:tcBorders>
              <w:top w:val="nil"/>
              <w:left w:val="nil"/>
              <w:bottom w:val="nil"/>
              <w:right w:val="single" w:sz="4" w:space="0" w:color="auto"/>
            </w:tcBorders>
            <w:noWrap/>
            <w:vAlign w:val="bottom"/>
            <w:hideMark/>
          </w:tcPr>
          <w:p w14:paraId="1811483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924,923</w:t>
            </w:r>
          </w:p>
        </w:tc>
      </w:tr>
      <w:tr w:rsidR="00EA0FD7" w:rsidRPr="00EA0FD7" w14:paraId="18BC86AF" w14:textId="77777777" w:rsidTr="00EA0FD7">
        <w:trPr>
          <w:gridAfter w:val="1"/>
          <w:wAfter w:w="32" w:type="dxa"/>
          <w:trHeight w:val="480"/>
        </w:trPr>
        <w:tc>
          <w:tcPr>
            <w:tcW w:w="1212" w:type="dxa"/>
            <w:gridSpan w:val="2"/>
            <w:tcBorders>
              <w:top w:val="nil"/>
              <w:left w:val="single" w:sz="8" w:space="0" w:color="auto"/>
              <w:bottom w:val="single" w:sz="4" w:space="0" w:color="auto"/>
              <w:right w:val="single" w:sz="4" w:space="0" w:color="auto"/>
            </w:tcBorders>
            <w:vAlign w:val="bottom"/>
            <w:hideMark/>
          </w:tcPr>
          <w:p w14:paraId="7820919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614000</w:t>
            </w:r>
          </w:p>
        </w:tc>
        <w:tc>
          <w:tcPr>
            <w:tcW w:w="2544" w:type="dxa"/>
            <w:gridSpan w:val="3"/>
            <w:tcBorders>
              <w:top w:val="nil"/>
              <w:left w:val="nil"/>
              <w:bottom w:val="single" w:sz="4" w:space="0" w:color="auto"/>
              <w:right w:val="single" w:sz="4" w:space="0" w:color="auto"/>
            </w:tcBorders>
            <w:vAlign w:val="bottom"/>
            <w:hideMark/>
          </w:tcPr>
          <w:p w14:paraId="147E8E93"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352" w:type="dxa"/>
            <w:tcBorders>
              <w:top w:val="nil"/>
              <w:left w:val="nil"/>
              <w:bottom w:val="single" w:sz="4" w:space="0" w:color="auto"/>
              <w:right w:val="single" w:sz="4" w:space="0" w:color="auto"/>
            </w:tcBorders>
            <w:noWrap/>
            <w:vAlign w:val="bottom"/>
            <w:hideMark/>
          </w:tcPr>
          <w:p w14:paraId="563057C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48" w:type="dxa"/>
            <w:gridSpan w:val="3"/>
            <w:tcBorders>
              <w:top w:val="nil"/>
              <w:left w:val="nil"/>
              <w:bottom w:val="single" w:sz="4" w:space="0" w:color="auto"/>
              <w:right w:val="single" w:sz="4" w:space="0" w:color="auto"/>
            </w:tcBorders>
            <w:noWrap/>
            <w:vAlign w:val="bottom"/>
            <w:hideMark/>
          </w:tcPr>
          <w:p w14:paraId="17A40D8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36" w:type="dxa"/>
            <w:gridSpan w:val="2"/>
            <w:tcBorders>
              <w:top w:val="nil"/>
              <w:left w:val="nil"/>
              <w:bottom w:val="single" w:sz="4" w:space="0" w:color="auto"/>
              <w:right w:val="single" w:sz="4" w:space="0" w:color="auto"/>
            </w:tcBorders>
            <w:noWrap/>
            <w:vAlign w:val="bottom"/>
            <w:hideMark/>
          </w:tcPr>
          <w:p w14:paraId="0BA7387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gridSpan w:val="3"/>
            <w:tcBorders>
              <w:top w:val="single" w:sz="4" w:space="0" w:color="auto"/>
              <w:left w:val="nil"/>
              <w:bottom w:val="single" w:sz="4" w:space="0" w:color="auto"/>
              <w:right w:val="single" w:sz="4" w:space="0" w:color="auto"/>
            </w:tcBorders>
            <w:noWrap/>
            <w:vAlign w:val="bottom"/>
            <w:hideMark/>
          </w:tcPr>
          <w:p w14:paraId="292E6AA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single" w:sz="4" w:space="0" w:color="auto"/>
              <w:left w:val="nil"/>
              <w:bottom w:val="single" w:sz="4" w:space="0" w:color="auto"/>
              <w:right w:val="single" w:sz="4" w:space="0" w:color="auto"/>
            </w:tcBorders>
            <w:noWrap/>
            <w:vAlign w:val="bottom"/>
            <w:hideMark/>
          </w:tcPr>
          <w:p w14:paraId="74BE435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single" w:sz="4" w:space="0" w:color="auto"/>
              <w:left w:val="nil"/>
              <w:bottom w:val="single" w:sz="4" w:space="0" w:color="auto"/>
              <w:right w:val="single" w:sz="4" w:space="0" w:color="auto"/>
            </w:tcBorders>
            <w:noWrap/>
            <w:vAlign w:val="bottom"/>
            <w:hideMark/>
          </w:tcPr>
          <w:p w14:paraId="422A1CB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single" w:sz="4" w:space="0" w:color="auto"/>
              <w:left w:val="nil"/>
              <w:bottom w:val="single" w:sz="4" w:space="0" w:color="auto"/>
              <w:right w:val="single" w:sz="4" w:space="0" w:color="auto"/>
            </w:tcBorders>
            <w:noWrap/>
            <w:vAlign w:val="bottom"/>
            <w:hideMark/>
          </w:tcPr>
          <w:p w14:paraId="649BCC9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single" w:sz="4" w:space="0" w:color="auto"/>
              <w:left w:val="nil"/>
              <w:bottom w:val="single" w:sz="4" w:space="0" w:color="auto"/>
              <w:right w:val="single" w:sz="4" w:space="0" w:color="auto"/>
            </w:tcBorders>
            <w:noWrap/>
            <w:vAlign w:val="bottom"/>
            <w:hideMark/>
          </w:tcPr>
          <w:p w14:paraId="4804238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single" w:sz="4" w:space="0" w:color="auto"/>
              <w:left w:val="nil"/>
              <w:bottom w:val="single" w:sz="4" w:space="0" w:color="auto"/>
              <w:right w:val="single" w:sz="4" w:space="0" w:color="auto"/>
            </w:tcBorders>
            <w:noWrap/>
            <w:vAlign w:val="bottom"/>
            <w:hideMark/>
          </w:tcPr>
          <w:p w14:paraId="61D3E31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169732E9" w14:textId="77777777" w:rsidTr="00EA0FD7">
        <w:trPr>
          <w:gridAfter w:val="1"/>
          <w:wAfter w:w="32" w:type="dxa"/>
          <w:trHeight w:val="240"/>
        </w:trPr>
        <w:tc>
          <w:tcPr>
            <w:tcW w:w="1212" w:type="dxa"/>
            <w:gridSpan w:val="2"/>
            <w:tcBorders>
              <w:top w:val="nil"/>
              <w:left w:val="single" w:sz="8" w:space="0" w:color="auto"/>
              <w:bottom w:val="nil"/>
              <w:right w:val="single" w:sz="4" w:space="0" w:color="auto"/>
            </w:tcBorders>
            <w:vAlign w:val="bottom"/>
            <w:hideMark/>
          </w:tcPr>
          <w:p w14:paraId="1387B56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lastRenderedPageBreak/>
              <w:t>615000</w:t>
            </w:r>
          </w:p>
        </w:tc>
        <w:tc>
          <w:tcPr>
            <w:tcW w:w="2544" w:type="dxa"/>
            <w:gridSpan w:val="3"/>
            <w:tcBorders>
              <w:top w:val="nil"/>
              <w:left w:val="nil"/>
              <w:bottom w:val="nil"/>
              <w:right w:val="single" w:sz="4" w:space="0" w:color="auto"/>
            </w:tcBorders>
            <w:vAlign w:val="bottom"/>
            <w:hideMark/>
          </w:tcPr>
          <w:p w14:paraId="5847E5DF"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352" w:type="dxa"/>
            <w:tcBorders>
              <w:top w:val="nil"/>
              <w:left w:val="nil"/>
              <w:bottom w:val="nil"/>
              <w:right w:val="single" w:sz="4" w:space="0" w:color="auto"/>
            </w:tcBorders>
            <w:noWrap/>
            <w:vAlign w:val="bottom"/>
            <w:hideMark/>
          </w:tcPr>
          <w:p w14:paraId="594A7C9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1,000,000.00</w:t>
            </w:r>
          </w:p>
        </w:tc>
        <w:tc>
          <w:tcPr>
            <w:tcW w:w="1348" w:type="dxa"/>
            <w:gridSpan w:val="3"/>
            <w:tcBorders>
              <w:top w:val="nil"/>
              <w:left w:val="nil"/>
              <w:bottom w:val="nil"/>
              <w:right w:val="single" w:sz="4" w:space="0" w:color="auto"/>
            </w:tcBorders>
            <w:noWrap/>
            <w:vAlign w:val="bottom"/>
            <w:hideMark/>
          </w:tcPr>
          <w:p w14:paraId="199AB23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1,000,000.00</w:t>
            </w:r>
          </w:p>
        </w:tc>
        <w:tc>
          <w:tcPr>
            <w:tcW w:w="1336" w:type="dxa"/>
            <w:gridSpan w:val="2"/>
            <w:tcBorders>
              <w:top w:val="nil"/>
              <w:left w:val="nil"/>
              <w:bottom w:val="nil"/>
              <w:right w:val="single" w:sz="4" w:space="0" w:color="auto"/>
            </w:tcBorders>
            <w:noWrap/>
            <w:vAlign w:val="bottom"/>
            <w:hideMark/>
          </w:tcPr>
          <w:p w14:paraId="5EB4413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gridSpan w:val="3"/>
            <w:tcBorders>
              <w:top w:val="nil"/>
              <w:left w:val="nil"/>
              <w:bottom w:val="nil"/>
              <w:right w:val="single" w:sz="4" w:space="0" w:color="auto"/>
            </w:tcBorders>
            <w:noWrap/>
            <w:vAlign w:val="bottom"/>
            <w:hideMark/>
          </w:tcPr>
          <w:p w14:paraId="44360B1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nil"/>
              <w:right w:val="single" w:sz="4" w:space="0" w:color="auto"/>
            </w:tcBorders>
            <w:noWrap/>
            <w:vAlign w:val="bottom"/>
            <w:hideMark/>
          </w:tcPr>
          <w:p w14:paraId="6854F2E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nil"/>
              <w:right w:val="single" w:sz="4" w:space="0" w:color="auto"/>
            </w:tcBorders>
            <w:noWrap/>
            <w:vAlign w:val="bottom"/>
            <w:hideMark/>
          </w:tcPr>
          <w:p w14:paraId="1DF6AD6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nil"/>
              <w:right w:val="single" w:sz="4" w:space="0" w:color="auto"/>
            </w:tcBorders>
            <w:noWrap/>
            <w:vAlign w:val="bottom"/>
            <w:hideMark/>
          </w:tcPr>
          <w:p w14:paraId="1B67387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nil"/>
              <w:right w:val="single" w:sz="4" w:space="0" w:color="auto"/>
            </w:tcBorders>
            <w:noWrap/>
            <w:vAlign w:val="bottom"/>
            <w:hideMark/>
          </w:tcPr>
          <w:p w14:paraId="61ECE95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gridSpan w:val="2"/>
            <w:tcBorders>
              <w:top w:val="nil"/>
              <w:left w:val="nil"/>
              <w:bottom w:val="nil"/>
              <w:right w:val="single" w:sz="4" w:space="0" w:color="auto"/>
            </w:tcBorders>
            <w:noWrap/>
            <w:vAlign w:val="bottom"/>
            <w:hideMark/>
          </w:tcPr>
          <w:p w14:paraId="58C19C5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2E6813B5" w14:textId="77777777" w:rsidTr="00EA0FD7">
        <w:trPr>
          <w:gridAfter w:val="1"/>
          <w:wAfter w:w="32" w:type="dxa"/>
          <w:trHeight w:val="480"/>
        </w:trPr>
        <w:tc>
          <w:tcPr>
            <w:tcW w:w="1212" w:type="dxa"/>
            <w:gridSpan w:val="2"/>
            <w:tcBorders>
              <w:top w:val="single" w:sz="4" w:space="0" w:color="auto"/>
              <w:left w:val="single" w:sz="8" w:space="0" w:color="auto"/>
              <w:bottom w:val="nil"/>
              <w:right w:val="single" w:sz="4" w:space="0" w:color="auto"/>
            </w:tcBorders>
            <w:noWrap/>
            <w:vAlign w:val="bottom"/>
            <w:hideMark/>
          </w:tcPr>
          <w:p w14:paraId="4188D9C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821000</w:t>
            </w:r>
          </w:p>
        </w:tc>
        <w:tc>
          <w:tcPr>
            <w:tcW w:w="2544" w:type="dxa"/>
            <w:gridSpan w:val="3"/>
            <w:tcBorders>
              <w:top w:val="single" w:sz="4" w:space="0" w:color="auto"/>
              <w:left w:val="nil"/>
              <w:bottom w:val="nil"/>
              <w:right w:val="single" w:sz="4" w:space="0" w:color="auto"/>
            </w:tcBorders>
            <w:vAlign w:val="bottom"/>
            <w:hideMark/>
          </w:tcPr>
          <w:p w14:paraId="3A18806A"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352" w:type="dxa"/>
            <w:tcBorders>
              <w:top w:val="single" w:sz="4" w:space="0" w:color="auto"/>
              <w:left w:val="nil"/>
              <w:bottom w:val="nil"/>
              <w:right w:val="single" w:sz="4" w:space="0" w:color="auto"/>
            </w:tcBorders>
            <w:noWrap/>
            <w:vAlign w:val="bottom"/>
            <w:hideMark/>
          </w:tcPr>
          <w:p w14:paraId="59032E6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6,496,630.80</w:t>
            </w:r>
          </w:p>
        </w:tc>
        <w:tc>
          <w:tcPr>
            <w:tcW w:w="1348" w:type="dxa"/>
            <w:gridSpan w:val="3"/>
            <w:tcBorders>
              <w:top w:val="single" w:sz="4" w:space="0" w:color="auto"/>
              <w:left w:val="nil"/>
              <w:bottom w:val="nil"/>
              <w:right w:val="single" w:sz="4" w:space="0" w:color="auto"/>
            </w:tcBorders>
            <w:noWrap/>
            <w:vAlign w:val="bottom"/>
            <w:hideMark/>
          </w:tcPr>
          <w:p w14:paraId="6A184C0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399,229.76</w:t>
            </w:r>
          </w:p>
        </w:tc>
        <w:tc>
          <w:tcPr>
            <w:tcW w:w="1336" w:type="dxa"/>
            <w:gridSpan w:val="2"/>
            <w:tcBorders>
              <w:top w:val="single" w:sz="4" w:space="0" w:color="auto"/>
              <w:left w:val="nil"/>
              <w:bottom w:val="nil"/>
              <w:right w:val="single" w:sz="4" w:space="0" w:color="auto"/>
            </w:tcBorders>
            <w:noWrap/>
            <w:vAlign w:val="bottom"/>
            <w:hideMark/>
          </w:tcPr>
          <w:p w14:paraId="412AB41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3,573,469.58</w:t>
            </w:r>
          </w:p>
        </w:tc>
        <w:tc>
          <w:tcPr>
            <w:tcW w:w="1316" w:type="dxa"/>
            <w:gridSpan w:val="3"/>
            <w:tcBorders>
              <w:top w:val="single" w:sz="4" w:space="0" w:color="auto"/>
              <w:left w:val="nil"/>
              <w:bottom w:val="nil"/>
              <w:right w:val="single" w:sz="4" w:space="0" w:color="auto"/>
            </w:tcBorders>
            <w:noWrap/>
            <w:vAlign w:val="bottom"/>
            <w:hideMark/>
          </w:tcPr>
          <w:p w14:paraId="1E4BABA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3,925,000</w:t>
            </w:r>
          </w:p>
        </w:tc>
        <w:tc>
          <w:tcPr>
            <w:tcW w:w="1316" w:type="dxa"/>
            <w:gridSpan w:val="2"/>
            <w:tcBorders>
              <w:top w:val="single" w:sz="4" w:space="0" w:color="auto"/>
              <w:left w:val="nil"/>
              <w:bottom w:val="nil"/>
              <w:right w:val="single" w:sz="4" w:space="0" w:color="auto"/>
            </w:tcBorders>
            <w:noWrap/>
            <w:vAlign w:val="bottom"/>
            <w:hideMark/>
          </w:tcPr>
          <w:p w14:paraId="5803E7B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3,445,000</w:t>
            </w:r>
          </w:p>
        </w:tc>
        <w:tc>
          <w:tcPr>
            <w:tcW w:w="1316" w:type="dxa"/>
            <w:gridSpan w:val="2"/>
            <w:tcBorders>
              <w:top w:val="single" w:sz="4" w:space="0" w:color="auto"/>
              <w:left w:val="nil"/>
              <w:bottom w:val="nil"/>
              <w:right w:val="single" w:sz="4" w:space="0" w:color="auto"/>
            </w:tcBorders>
            <w:noWrap/>
            <w:vAlign w:val="bottom"/>
            <w:hideMark/>
          </w:tcPr>
          <w:p w14:paraId="28DD92C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1,940,000</w:t>
            </w:r>
          </w:p>
        </w:tc>
        <w:tc>
          <w:tcPr>
            <w:tcW w:w="1316" w:type="dxa"/>
            <w:gridSpan w:val="2"/>
            <w:tcBorders>
              <w:top w:val="single" w:sz="4" w:space="0" w:color="auto"/>
              <w:left w:val="nil"/>
              <w:bottom w:val="nil"/>
              <w:right w:val="single" w:sz="4" w:space="0" w:color="auto"/>
            </w:tcBorders>
            <w:noWrap/>
            <w:vAlign w:val="bottom"/>
            <w:hideMark/>
          </w:tcPr>
          <w:p w14:paraId="5755A03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1,870,000</w:t>
            </w:r>
          </w:p>
        </w:tc>
        <w:tc>
          <w:tcPr>
            <w:tcW w:w="1316" w:type="dxa"/>
            <w:gridSpan w:val="2"/>
            <w:tcBorders>
              <w:top w:val="single" w:sz="4" w:space="0" w:color="auto"/>
              <w:left w:val="nil"/>
              <w:bottom w:val="nil"/>
              <w:right w:val="single" w:sz="4" w:space="0" w:color="auto"/>
            </w:tcBorders>
            <w:noWrap/>
            <w:vAlign w:val="bottom"/>
            <w:hideMark/>
          </w:tcPr>
          <w:p w14:paraId="0AEFF40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3,445,000</w:t>
            </w:r>
          </w:p>
        </w:tc>
        <w:tc>
          <w:tcPr>
            <w:tcW w:w="1316" w:type="dxa"/>
            <w:gridSpan w:val="2"/>
            <w:tcBorders>
              <w:top w:val="single" w:sz="4" w:space="0" w:color="auto"/>
              <w:left w:val="nil"/>
              <w:bottom w:val="nil"/>
              <w:right w:val="single" w:sz="4" w:space="0" w:color="auto"/>
            </w:tcBorders>
            <w:noWrap/>
            <w:vAlign w:val="bottom"/>
            <w:hideMark/>
          </w:tcPr>
          <w:p w14:paraId="3270DA0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2,440,000</w:t>
            </w:r>
          </w:p>
        </w:tc>
      </w:tr>
      <w:tr w:rsidR="00EA0FD7" w:rsidRPr="00EA0FD7" w14:paraId="3F84328D" w14:textId="77777777" w:rsidTr="00EA0FD7">
        <w:trPr>
          <w:gridAfter w:val="1"/>
          <w:wAfter w:w="32" w:type="dxa"/>
          <w:trHeight w:val="240"/>
        </w:trPr>
        <w:tc>
          <w:tcPr>
            <w:tcW w:w="1212" w:type="dxa"/>
            <w:gridSpan w:val="2"/>
            <w:tcBorders>
              <w:top w:val="single" w:sz="8" w:space="0" w:color="auto"/>
              <w:left w:val="single" w:sz="8" w:space="0" w:color="auto"/>
              <w:bottom w:val="single" w:sz="8" w:space="0" w:color="auto"/>
              <w:right w:val="single" w:sz="8" w:space="0" w:color="auto"/>
            </w:tcBorders>
            <w:noWrap/>
            <w:vAlign w:val="bottom"/>
            <w:hideMark/>
          </w:tcPr>
          <w:p w14:paraId="69C8DB3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44" w:type="dxa"/>
            <w:gridSpan w:val="3"/>
            <w:tcBorders>
              <w:top w:val="single" w:sz="8" w:space="0" w:color="auto"/>
              <w:left w:val="nil"/>
              <w:bottom w:val="single" w:sz="8" w:space="0" w:color="auto"/>
              <w:right w:val="single" w:sz="8" w:space="0" w:color="auto"/>
            </w:tcBorders>
            <w:noWrap/>
            <w:vAlign w:val="bottom"/>
            <w:hideMark/>
          </w:tcPr>
          <w:p w14:paraId="598E023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352" w:type="dxa"/>
            <w:tcBorders>
              <w:top w:val="single" w:sz="8" w:space="0" w:color="auto"/>
              <w:left w:val="nil"/>
              <w:bottom w:val="single" w:sz="8" w:space="0" w:color="auto"/>
              <w:right w:val="single" w:sz="8" w:space="0" w:color="auto"/>
            </w:tcBorders>
            <w:noWrap/>
            <w:vAlign w:val="bottom"/>
            <w:hideMark/>
          </w:tcPr>
          <w:p w14:paraId="37F7541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9,845,561.66</w:t>
            </w:r>
          </w:p>
        </w:tc>
        <w:tc>
          <w:tcPr>
            <w:tcW w:w="1348" w:type="dxa"/>
            <w:gridSpan w:val="3"/>
            <w:tcBorders>
              <w:top w:val="single" w:sz="8" w:space="0" w:color="auto"/>
              <w:left w:val="nil"/>
              <w:bottom w:val="single" w:sz="8" w:space="0" w:color="auto"/>
              <w:right w:val="single" w:sz="8" w:space="0" w:color="auto"/>
            </w:tcBorders>
            <w:noWrap/>
            <w:vAlign w:val="bottom"/>
            <w:hideMark/>
          </w:tcPr>
          <w:p w14:paraId="2661CFF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3,678,892.33</w:t>
            </w:r>
          </w:p>
        </w:tc>
        <w:tc>
          <w:tcPr>
            <w:tcW w:w="1336" w:type="dxa"/>
            <w:gridSpan w:val="2"/>
            <w:tcBorders>
              <w:top w:val="single" w:sz="8" w:space="0" w:color="auto"/>
              <w:left w:val="nil"/>
              <w:bottom w:val="single" w:sz="8" w:space="0" w:color="auto"/>
              <w:right w:val="single" w:sz="8" w:space="0" w:color="auto"/>
            </w:tcBorders>
            <w:noWrap/>
            <w:vAlign w:val="bottom"/>
            <w:hideMark/>
          </w:tcPr>
          <w:p w14:paraId="1174403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6,104,777.61</w:t>
            </w:r>
          </w:p>
        </w:tc>
        <w:tc>
          <w:tcPr>
            <w:tcW w:w="1316" w:type="dxa"/>
            <w:gridSpan w:val="3"/>
            <w:tcBorders>
              <w:top w:val="single" w:sz="8" w:space="0" w:color="auto"/>
              <w:left w:val="nil"/>
              <w:bottom w:val="single" w:sz="8" w:space="0" w:color="auto"/>
              <w:right w:val="single" w:sz="8" w:space="0" w:color="auto"/>
            </w:tcBorders>
            <w:noWrap/>
            <w:vAlign w:val="bottom"/>
            <w:hideMark/>
          </w:tcPr>
          <w:p w14:paraId="33D0B07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6,493,532</w:t>
            </w:r>
          </w:p>
        </w:tc>
        <w:tc>
          <w:tcPr>
            <w:tcW w:w="1316" w:type="dxa"/>
            <w:gridSpan w:val="2"/>
            <w:tcBorders>
              <w:top w:val="single" w:sz="8" w:space="0" w:color="auto"/>
              <w:left w:val="nil"/>
              <w:bottom w:val="single" w:sz="8" w:space="0" w:color="auto"/>
              <w:right w:val="single" w:sz="8" w:space="0" w:color="auto"/>
            </w:tcBorders>
            <w:noWrap/>
            <w:vAlign w:val="bottom"/>
            <w:hideMark/>
          </w:tcPr>
          <w:p w14:paraId="680E6BF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6,011,841</w:t>
            </w:r>
          </w:p>
        </w:tc>
        <w:tc>
          <w:tcPr>
            <w:tcW w:w="1316" w:type="dxa"/>
            <w:gridSpan w:val="2"/>
            <w:tcBorders>
              <w:top w:val="single" w:sz="8" w:space="0" w:color="auto"/>
              <w:left w:val="nil"/>
              <w:bottom w:val="single" w:sz="8" w:space="0" w:color="auto"/>
              <w:right w:val="single" w:sz="8" w:space="0" w:color="auto"/>
            </w:tcBorders>
            <w:noWrap/>
            <w:vAlign w:val="bottom"/>
            <w:hideMark/>
          </w:tcPr>
          <w:p w14:paraId="0C50DF6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4,502,689</w:t>
            </w:r>
          </w:p>
        </w:tc>
        <w:tc>
          <w:tcPr>
            <w:tcW w:w="1316" w:type="dxa"/>
            <w:gridSpan w:val="2"/>
            <w:tcBorders>
              <w:top w:val="single" w:sz="8" w:space="0" w:color="auto"/>
              <w:left w:val="nil"/>
              <w:bottom w:val="single" w:sz="8" w:space="0" w:color="auto"/>
              <w:right w:val="single" w:sz="8" w:space="0" w:color="auto"/>
            </w:tcBorders>
            <w:noWrap/>
            <w:vAlign w:val="bottom"/>
            <w:hideMark/>
          </w:tcPr>
          <w:p w14:paraId="1597A29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4,438,532</w:t>
            </w:r>
          </w:p>
        </w:tc>
        <w:tc>
          <w:tcPr>
            <w:tcW w:w="1316" w:type="dxa"/>
            <w:gridSpan w:val="2"/>
            <w:tcBorders>
              <w:top w:val="single" w:sz="8" w:space="0" w:color="auto"/>
              <w:left w:val="nil"/>
              <w:bottom w:val="single" w:sz="8" w:space="0" w:color="auto"/>
              <w:right w:val="single" w:sz="8" w:space="0" w:color="auto"/>
            </w:tcBorders>
            <w:noWrap/>
            <w:vAlign w:val="bottom"/>
            <w:hideMark/>
          </w:tcPr>
          <w:p w14:paraId="7544BCA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6,011,841</w:t>
            </w:r>
          </w:p>
        </w:tc>
        <w:tc>
          <w:tcPr>
            <w:tcW w:w="1316" w:type="dxa"/>
            <w:gridSpan w:val="2"/>
            <w:tcBorders>
              <w:top w:val="single" w:sz="8" w:space="0" w:color="auto"/>
              <w:left w:val="nil"/>
              <w:bottom w:val="single" w:sz="8" w:space="0" w:color="auto"/>
              <w:right w:val="single" w:sz="8" w:space="0" w:color="auto"/>
            </w:tcBorders>
            <w:noWrap/>
            <w:vAlign w:val="bottom"/>
            <w:hideMark/>
          </w:tcPr>
          <w:p w14:paraId="6906A8B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5,002,689</w:t>
            </w:r>
          </w:p>
        </w:tc>
      </w:tr>
      <w:tr w:rsidR="00EA0FD7" w:rsidRPr="00EA0FD7" w14:paraId="134F6A57" w14:textId="77777777" w:rsidTr="00EA0FD7">
        <w:trPr>
          <w:gridAfter w:val="1"/>
          <w:wAfter w:w="32" w:type="dxa"/>
          <w:trHeight w:val="210"/>
        </w:trPr>
        <w:tc>
          <w:tcPr>
            <w:tcW w:w="1212" w:type="dxa"/>
            <w:gridSpan w:val="2"/>
            <w:tcBorders>
              <w:top w:val="nil"/>
              <w:left w:val="single" w:sz="8" w:space="0" w:color="auto"/>
              <w:bottom w:val="single" w:sz="8" w:space="0" w:color="auto"/>
              <w:right w:val="nil"/>
            </w:tcBorders>
            <w:noWrap/>
            <w:vAlign w:val="bottom"/>
            <w:hideMark/>
          </w:tcPr>
          <w:p w14:paraId="4D94278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44" w:type="dxa"/>
            <w:gridSpan w:val="3"/>
            <w:tcBorders>
              <w:top w:val="nil"/>
              <w:left w:val="nil"/>
              <w:bottom w:val="single" w:sz="8" w:space="0" w:color="auto"/>
              <w:right w:val="nil"/>
            </w:tcBorders>
            <w:noWrap/>
            <w:vAlign w:val="bottom"/>
            <w:hideMark/>
          </w:tcPr>
          <w:p w14:paraId="47BD843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52" w:type="dxa"/>
            <w:tcBorders>
              <w:top w:val="nil"/>
              <w:left w:val="nil"/>
              <w:bottom w:val="single" w:sz="8" w:space="0" w:color="auto"/>
              <w:right w:val="nil"/>
            </w:tcBorders>
            <w:noWrap/>
            <w:vAlign w:val="bottom"/>
            <w:hideMark/>
          </w:tcPr>
          <w:p w14:paraId="4C861CD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48" w:type="dxa"/>
            <w:gridSpan w:val="3"/>
            <w:tcBorders>
              <w:top w:val="nil"/>
              <w:left w:val="nil"/>
              <w:bottom w:val="single" w:sz="8" w:space="0" w:color="auto"/>
              <w:right w:val="nil"/>
            </w:tcBorders>
            <w:noWrap/>
            <w:vAlign w:val="bottom"/>
            <w:hideMark/>
          </w:tcPr>
          <w:p w14:paraId="500CCB9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gridSpan w:val="2"/>
            <w:tcBorders>
              <w:top w:val="nil"/>
              <w:left w:val="nil"/>
              <w:bottom w:val="single" w:sz="8" w:space="0" w:color="auto"/>
              <w:right w:val="nil"/>
            </w:tcBorders>
            <w:noWrap/>
            <w:vAlign w:val="bottom"/>
            <w:hideMark/>
          </w:tcPr>
          <w:p w14:paraId="15EBC3F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3"/>
            <w:tcBorders>
              <w:top w:val="nil"/>
              <w:left w:val="nil"/>
              <w:bottom w:val="single" w:sz="8" w:space="0" w:color="auto"/>
              <w:right w:val="nil"/>
            </w:tcBorders>
            <w:noWrap/>
            <w:vAlign w:val="bottom"/>
            <w:hideMark/>
          </w:tcPr>
          <w:p w14:paraId="10C8A4B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8" w:space="0" w:color="auto"/>
              <w:right w:val="nil"/>
            </w:tcBorders>
            <w:noWrap/>
            <w:vAlign w:val="bottom"/>
            <w:hideMark/>
          </w:tcPr>
          <w:p w14:paraId="7C646BE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8" w:space="0" w:color="auto"/>
              <w:right w:val="nil"/>
            </w:tcBorders>
            <w:noWrap/>
            <w:vAlign w:val="bottom"/>
            <w:hideMark/>
          </w:tcPr>
          <w:p w14:paraId="338C722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gridSpan w:val="2"/>
            <w:tcBorders>
              <w:top w:val="nil"/>
              <w:left w:val="nil"/>
              <w:bottom w:val="single" w:sz="8" w:space="0" w:color="auto"/>
              <w:right w:val="nil"/>
            </w:tcBorders>
            <w:noWrap/>
            <w:vAlign w:val="bottom"/>
            <w:hideMark/>
          </w:tcPr>
          <w:p w14:paraId="2E0532E4"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gridSpan w:val="2"/>
            <w:tcBorders>
              <w:top w:val="nil"/>
              <w:left w:val="nil"/>
              <w:bottom w:val="single" w:sz="8" w:space="0" w:color="auto"/>
              <w:right w:val="nil"/>
            </w:tcBorders>
            <w:noWrap/>
            <w:vAlign w:val="bottom"/>
            <w:hideMark/>
          </w:tcPr>
          <w:p w14:paraId="187E290D"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gridSpan w:val="2"/>
            <w:tcBorders>
              <w:top w:val="nil"/>
              <w:left w:val="nil"/>
              <w:bottom w:val="single" w:sz="8" w:space="0" w:color="auto"/>
              <w:right w:val="single" w:sz="8" w:space="0" w:color="auto"/>
            </w:tcBorders>
            <w:noWrap/>
            <w:vAlign w:val="bottom"/>
            <w:hideMark/>
          </w:tcPr>
          <w:p w14:paraId="3AF9917E"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6191F8AC" w14:textId="77777777" w:rsidTr="00EA0FD7">
        <w:trPr>
          <w:gridAfter w:val="1"/>
          <w:wAfter w:w="32" w:type="dxa"/>
          <w:trHeight w:val="240"/>
        </w:trPr>
        <w:tc>
          <w:tcPr>
            <w:tcW w:w="1212" w:type="dxa"/>
            <w:gridSpan w:val="2"/>
            <w:tcBorders>
              <w:top w:val="nil"/>
              <w:left w:val="single" w:sz="8" w:space="0" w:color="auto"/>
              <w:bottom w:val="single" w:sz="8" w:space="0" w:color="auto"/>
              <w:right w:val="single" w:sz="8" w:space="0" w:color="auto"/>
            </w:tcBorders>
            <w:noWrap/>
            <w:vAlign w:val="bottom"/>
            <w:hideMark/>
          </w:tcPr>
          <w:p w14:paraId="68AF3DB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544" w:type="dxa"/>
            <w:gridSpan w:val="3"/>
            <w:tcBorders>
              <w:top w:val="nil"/>
              <w:left w:val="nil"/>
              <w:bottom w:val="single" w:sz="8" w:space="0" w:color="auto"/>
              <w:right w:val="single" w:sz="8" w:space="0" w:color="auto"/>
            </w:tcBorders>
            <w:noWrap/>
            <w:vAlign w:val="bottom"/>
            <w:hideMark/>
          </w:tcPr>
          <w:p w14:paraId="25E01CA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352" w:type="dxa"/>
            <w:tcBorders>
              <w:top w:val="nil"/>
              <w:left w:val="nil"/>
              <w:bottom w:val="single" w:sz="8" w:space="0" w:color="auto"/>
              <w:right w:val="single" w:sz="8" w:space="0" w:color="auto"/>
            </w:tcBorders>
            <w:noWrap/>
            <w:vAlign w:val="bottom"/>
            <w:hideMark/>
          </w:tcPr>
          <w:p w14:paraId="21B7235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58</w:t>
            </w:r>
          </w:p>
        </w:tc>
        <w:tc>
          <w:tcPr>
            <w:tcW w:w="1348" w:type="dxa"/>
            <w:gridSpan w:val="3"/>
            <w:tcBorders>
              <w:top w:val="nil"/>
              <w:left w:val="nil"/>
              <w:bottom w:val="single" w:sz="8" w:space="0" w:color="auto"/>
              <w:right w:val="single" w:sz="8" w:space="0" w:color="auto"/>
            </w:tcBorders>
            <w:noWrap/>
            <w:vAlign w:val="bottom"/>
            <w:hideMark/>
          </w:tcPr>
          <w:p w14:paraId="09D33B5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56</w:t>
            </w:r>
          </w:p>
        </w:tc>
        <w:tc>
          <w:tcPr>
            <w:tcW w:w="1336" w:type="dxa"/>
            <w:gridSpan w:val="2"/>
            <w:tcBorders>
              <w:top w:val="nil"/>
              <w:left w:val="nil"/>
              <w:bottom w:val="single" w:sz="8" w:space="0" w:color="auto"/>
              <w:right w:val="single" w:sz="8" w:space="0" w:color="auto"/>
            </w:tcBorders>
            <w:noWrap/>
            <w:vAlign w:val="bottom"/>
            <w:hideMark/>
          </w:tcPr>
          <w:p w14:paraId="07991D3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58</w:t>
            </w:r>
          </w:p>
        </w:tc>
        <w:tc>
          <w:tcPr>
            <w:tcW w:w="1316" w:type="dxa"/>
            <w:gridSpan w:val="3"/>
            <w:tcBorders>
              <w:top w:val="nil"/>
              <w:left w:val="nil"/>
              <w:bottom w:val="single" w:sz="8" w:space="0" w:color="auto"/>
              <w:right w:val="single" w:sz="8" w:space="0" w:color="auto"/>
            </w:tcBorders>
            <w:noWrap/>
            <w:vAlign w:val="bottom"/>
            <w:hideMark/>
          </w:tcPr>
          <w:p w14:paraId="1802132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58</w:t>
            </w:r>
          </w:p>
        </w:tc>
        <w:tc>
          <w:tcPr>
            <w:tcW w:w="1316" w:type="dxa"/>
            <w:gridSpan w:val="2"/>
            <w:tcBorders>
              <w:top w:val="nil"/>
              <w:left w:val="nil"/>
              <w:bottom w:val="single" w:sz="8" w:space="0" w:color="auto"/>
              <w:right w:val="single" w:sz="8" w:space="0" w:color="auto"/>
            </w:tcBorders>
            <w:noWrap/>
            <w:vAlign w:val="bottom"/>
            <w:hideMark/>
          </w:tcPr>
          <w:p w14:paraId="22A4BE8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58</w:t>
            </w:r>
          </w:p>
        </w:tc>
        <w:tc>
          <w:tcPr>
            <w:tcW w:w="1316" w:type="dxa"/>
            <w:gridSpan w:val="2"/>
            <w:tcBorders>
              <w:top w:val="nil"/>
              <w:left w:val="nil"/>
              <w:bottom w:val="single" w:sz="8" w:space="0" w:color="auto"/>
              <w:right w:val="single" w:sz="8" w:space="0" w:color="auto"/>
            </w:tcBorders>
            <w:noWrap/>
            <w:vAlign w:val="bottom"/>
            <w:hideMark/>
          </w:tcPr>
          <w:p w14:paraId="252DAC8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58</w:t>
            </w:r>
          </w:p>
        </w:tc>
        <w:tc>
          <w:tcPr>
            <w:tcW w:w="1316" w:type="dxa"/>
            <w:gridSpan w:val="2"/>
            <w:tcBorders>
              <w:top w:val="nil"/>
              <w:left w:val="nil"/>
              <w:bottom w:val="single" w:sz="8" w:space="0" w:color="auto"/>
              <w:right w:val="single" w:sz="8" w:space="0" w:color="auto"/>
            </w:tcBorders>
            <w:noWrap/>
            <w:vAlign w:val="bottom"/>
            <w:hideMark/>
          </w:tcPr>
          <w:p w14:paraId="6440004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58</w:t>
            </w:r>
          </w:p>
        </w:tc>
        <w:tc>
          <w:tcPr>
            <w:tcW w:w="1316" w:type="dxa"/>
            <w:gridSpan w:val="2"/>
            <w:tcBorders>
              <w:top w:val="nil"/>
              <w:left w:val="nil"/>
              <w:bottom w:val="single" w:sz="8" w:space="0" w:color="auto"/>
              <w:right w:val="single" w:sz="8" w:space="0" w:color="auto"/>
            </w:tcBorders>
            <w:noWrap/>
            <w:vAlign w:val="bottom"/>
            <w:hideMark/>
          </w:tcPr>
          <w:p w14:paraId="0657396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58</w:t>
            </w:r>
          </w:p>
        </w:tc>
        <w:tc>
          <w:tcPr>
            <w:tcW w:w="1316" w:type="dxa"/>
            <w:gridSpan w:val="2"/>
            <w:tcBorders>
              <w:top w:val="nil"/>
              <w:left w:val="nil"/>
              <w:bottom w:val="single" w:sz="8" w:space="0" w:color="auto"/>
              <w:right w:val="single" w:sz="8" w:space="0" w:color="auto"/>
            </w:tcBorders>
            <w:noWrap/>
            <w:vAlign w:val="bottom"/>
            <w:hideMark/>
          </w:tcPr>
          <w:p w14:paraId="5B40D75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58</w:t>
            </w:r>
          </w:p>
        </w:tc>
      </w:tr>
    </w:tbl>
    <w:p w14:paraId="37FDD70B"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tbl>
      <w:tblPr>
        <w:tblW w:w="15657" w:type="dxa"/>
        <w:tblInd w:w="108" w:type="dxa"/>
        <w:tblLook w:val="04A0" w:firstRow="1" w:lastRow="0" w:firstColumn="1" w:lastColumn="0" w:noHBand="0" w:noVBand="1"/>
      </w:tblPr>
      <w:tblGrid>
        <w:gridCol w:w="1270"/>
        <w:gridCol w:w="2685"/>
        <w:gridCol w:w="1273"/>
        <w:gridCol w:w="1268"/>
        <w:gridCol w:w="1418"/>
        <w:gridCol w:w="1163"/>
        <w:gridCol w:w="1316"/>
        <w:gridCol w:w="1316"/>
        <w:gridCol w:w="1316"/>
        <w:gridCol w:w="1316"/>
        <w:gridCol w:w="1316"/>
      </w:tblGrid>
      <w:tr w:rsidR="00EA0FD7" w:rsidRPr="00EA0FD7" w14:paraId="693CDBAF" w14:textId="77777777" w:rsidTr="00EA0FD7">
        <w:trPr>
          <w:trHeight w:val="330"/>
        </w:trPr>
        <w:tc>
          <w:tcPr>
            <w:tcW w:w="9077" w:type="dxa"/>
            <w:gridSpan w:val="6"/>
            <w:tcBorders>
              <w:top w:val="nil"/>
              <w:left w:val="nil"/>
              <w:bottom w:val="single" w:sz="8" w:space="0" w:color="auto"/>
              <w:right w:val="nil"/>
            </w:tcBorders>
            <w:noWrap/>
            <w:vAlign w:val="bottom"/>
            <w:hideMark/>
          </w:tcPr>
          <w:p w14:paraId="202FA4CE" w14:textId="71F219A3"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28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КАНЦЕЛАРИЈА КООРДИНАТОРА БРЧКО ДИСТРИКТА БиХ ПРИ </w:t>
            </w:r>
            <w:r w:rsidR="00752F04">
              <w:rPr>
                <w:rFonts w:ascii="Arial" w:eastAsia="Times New Roman" w:hAnsi="Arial" w:cs="Arial"/>
                <w:b/>
                <w:bCs/>
                <w:sz w:val="20"/>
                <w:szCs w:val="20"/>
                <w:lang w:val="sr-Cyrl-RS"/>
              </w:rPr>
              <w:t>САВЈЕТУ</w:t>
            </w:r>
            <w:r w:rsidRPr="00EA0FD7">
              <w:rPr>
                <w:rFonts w:ascii="Arial" w:eastAsia="Times New Roman" w:hAnsi="Arial" w:cs="Arial"/>
                <w:b/>
                <w:bCs/>
                <w:sz w:val="20"/>
                <w:szCs w:val="20"/>
                <w:lang w:val="sr-Cyrl-RS"/>
              </w:rPr>
              <w:t xml:space="preserve"> МИНИСТАРА БиХ</w:t>
            </w:r>
          </w:p>
        </w:tc>
        <w:tc>
          <w:tcPr>
            <w:tcW w:w="1316" w:type="dxa"/>
            <w:noWrap/>
            <w:vAlign w:val="bottom"/>
          </w:tcPr>
          <w:p w14:paraId="5ED22436"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3EC4205B"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051A1CC0"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55CDB57C"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4FB837AE"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0CC88FF6" w14:textId="77777777" w:rsidTr="00EA0FD7">
        <w:trPr>
          <w:trHeight w:val="300"/>
        </w:trPr>
        <w:tc>
          <w:tcPr>
            <w:tcW w:w="1270" w:type="dxa"/>
            <w:vMerge w:val="restart"/>
            <w:tcBorders>
              <w:top w:val="nil"/>
              <w:left w:val="single" w:sz="8" w:space="0" w:color="auto"/>
              <w:bottom w:val="single" w:sz="8" w:space="0" w:color="000000"/>
              <w:right w:val="single" w:sz="8" w:space="0" w:color="auto"/>
            </w:tcBorders>
            <w:shd w:val="clear" w:color="auto" w:fill="808080"/>
            <w:vAlign w:val="center"/>
            <w:hideMark/>
          </w:tcPr>
          <w:p w14:paraId="5EC4C1B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685" w:type="dxa"/>
            <w:vMerge w:val="restart"/>
            <w:tcBorders>
              <w:top w:val="nil"/>
              <w:left w:val="single" w:sz="8" w:space="0" w:color="auto"/>
              <w:bottom w:val="single" w:sz="8" w:space="0" w:color="000000"/>
              <w:right w:val="single" w:sz="8" w:space="0" w:color="auto"/>
            </w:tcBorders>
            <w:shd w:val="clear" w:color="auto" w:fill="808080"/>
            <w:vAlign w:val="center"/>
            <w:hideMark/>
          </w:tcPr>
          <w:p w14:paraId="3D49181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273" w:type="dxa"/>
            <w:vMerge w:val="restart"/>
            <w:tcBorders>
              <w:top w:val="nil"/>
              <w:left w:val="single" w:sz="8" w:space="0" w:color="auto"/>
              <w:bottom w:val="single" w:sz="8" w:space="0" w:color="000000"/>
              <w:right w:val="single" w:sz="8" w:space="0" w:color="auto"/>
            </w:tcBorders>
            <w:shd w:val="clear" w:color="auto" w:fill="808080"/>
            <w:vAlign w:val="center"/>
            <w:hideMark/>
          </w:tcPr>
          <w:p w14:paraId="382F3A6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268" w:type="dxa"/>
            <w:vMerge w:val="restart"/>
            <w:tcBorders>
              <w:top w:val="nil"/>
              <w:left w:val="single" w:sz="8" w:space="0" w:color="auto"/>
              <w:bottom w:val="single" w:sz="8" w:space="0" w:color="000000"/>
              <w:right w:val="single" w:sz="8" w:space="0" w:color="auto"/>
            </w:tcBorders>
            <w:shd w:val="clear" w:color="auto" w:fill="808080"/>
            <w:vAlign w:val="center"/>
            <w:hideMark/>
          </w:tcPr>
          <w:p w14:paraId="06E02C6E"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418" w:type="dxa"/>
            <w:vMerge w:val="restart"/>
            <w:tcBorders>
              <w:top w:val="nil"/>
              <w:left w:val="single" w:sz="8" w:space="0" w:color="auto"/>
              <w:bottom w:val="single" w:sz="8" w:space="0" w:color="000000"/>
              <w:right w:val="single" w:sz="8" w:space="0" w:color="auto"/>
            </w:tcBorders>
            <w:shd w:val="clear" w:color="auto" w:fill="808080"/>
            <w:vAlign w:val="center"/>
            <w:hideMark/>
          </w:tcPr>
          <w:p w14:paraId="6115357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795"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05B1680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01F0C52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09C126D5"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05479096"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25828827"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1BADF732"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7BF1007E"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67ACDEFA"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163" w:type="dxa"/>
            <w:tcBorders>
              <w:top w:val="nil"/>
              <w:left w:val="nil"/>
              <w:bottom w:val="single" w:sz="8" w:space="0" w:color="auto"/>
              <w:right w:val="single" w:sz="4" w:space="0" w:color="auto"/>
            </w:tcBorders>
            <w:shd w:val="clear" w:color="auto" w:fill="808080"/>
            <w:noWrap/>
            <w:vAlign w:val="center"/>
            <w:hideMark/>
          </w:tcPr>
          <w:p w14:paraId="6DF30AB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1FEFE06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5080D76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tcBorders>
              <w:top w:val="nil"/>
              <w:left w:val="nil"/>
              <w:bottom w:val="single" w:sz="8" w:space="0" w:color="auto"/>
              <w:right w:val="single" w:sz="4" w:space="0" w:color="auto"/>
            </w:tcBorders>
            <w:shd w:val="clear" w:color="auto" w:fill="808080"/>
            <w:noWrap/>
            <w:vAlign w:val="center"/>
            <w:hideMark/>
          </w:tcPr>
          <w:p w14:paraId="79D4CAF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737BF85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75F316DE"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69B7EDB9" w14:textId="77777777" w:rsidTr="00EA0FD7">
        <w:trPr>
          <w:trHeight w:val="240"/>
        </w:trPr>
        <w:tc>
          <w:tcPr>
            <w:tcW w:w="1270" w:type="dxa"/>
            <w:tcBorders>
              <w:top w:val="nil"/>
              <w:left w:val="single" w:sz="8" w:space="0" w:color="auto"/>
              <w:bottom w:val="single" w:sz="4" w:space="0" w:color="auto"/>
              <w:right w:val="single" w:sz="4" w:space="0" w:color="auto"/>
            </w:tcBorders>
            <w:noWrap/>
            <w:vAlign w:val="bottom"/>
            <w:hideMark/>
          </w:tcPr>
          <w:p w14:paraId="51FB674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685" w:type="dxa"/>
            <w:tcBorders>
              <w:top w:val="nil"/>
              <w:left w:val="nil"/>
              <w:bottom w:val="single" w:sz="4" w:space="0" w:color="auto"/>
              <w:right w:val="single" w:sz="4" w:space="0" w:color="auto"/>
            </w:tcBorders>
            <w:noWrap/>
            <w:vAlign w:val="bottom"/>
            <w:hideMark/>
          </w:tcPr>
          <w:p w14:paraId="34B728C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273" w:type="dxa"/>
            <w:tcBorders>
              <w:top w:val="nil"/>
              <w:left w:val="nil"/>
              <w:bottom w:val="single" w:sz="4" w:space="0" w:color="auto"/>
              <w:right w:val="single" w:sz="4" w:space="0" w:color="auto"/>
            </w:tcBorders>
            <w:noWrap/>
            <w:vAlign w:val="bottom"/>
            <w:hideMark/>
          </w:tcPr>
          <w:p w14:paraId="71A517E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68" w:type="dxa"/>
            <w:tcBorders>
              <w:top w:val="nil"/>
              <w:left w:val="nil"/>
              <w:bottom w:val="single" w:sz="4" w:space="0" w:color="auto"/>
              <w:right w:val="single" w:sz="4" w:space="0" w:color="auto"/>
            </w:tcBorders>
            <w:noWrap/>
            <w:vAlign w:val="bottom"/>
            <w:hideMark/>
          </w:tcPr>
          <w:p w14:paraId="659344D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18" w:type="dxa"/>
            <w:tcBorders>
              <w:top w:val="nil"/>
              <w:left w:val="nil"/>
              <w:bottom w:val="single" w:sz="4" w:space="0" w:color="auto"/>
              <w:right w:val="single" w:sz="4" w:space="0" w:color="auto"/>
            </w:tcBorders>
            <w:noWrap/>
            <w:vAlign w:val="bottom"/>
            <w:hideMark/>
          </w:tcPr>
          <w:p w14:paraId="5DC6095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63" w:type="dxa"/>
            <w:tcBorders>
              <w:top w:val="nil"/>
              <w:left w:val="nil"/>
              <w:bottom w:val="single" w:sz="4" w:space="0" w:color="auto"/>
              <w:right w:val="single" w:sz="4" w:space="0" w:color="auto"/>
            </w:tcBorders>
            <w:noWrap/>
            <w:vAlign w:val="bottom"/>
            <w:hideMark/>
          </w:tcPr>
          <w:p w14:paraId="1160F86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5026E1F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7EB8547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008D43D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4670EE5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8" w:space="0" w:color="auto"/>
            </w:tcBorders>
            <w:noWrap/>
            <w:vAlign w:val="bottom"/>
            <w:hideMark/>
          </w:tcPr>
          <w:p w14:paraId="7573776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66978D1C" w14:textId="77777777" w:rsidTr="00EA0FD7">
        <w:trPr>
          <w:trHeight w:val="480"/>
        </w:trPr>
        <w:tc>
          <w:tcPr>
            <w:tcW w:w="1270" w:type="dxa"/>
            <w:tcBorders>
              <w:top w:val="nil"/>
              <w:left w:val="single" w:sz="8" w:space="0" w:color="auto"/>
              <w:bottom w:val="single" w:sz="4" w:space="0" w:color="auto"/>
              <w:right w:val="single" w:sz="4" w:space="0" w:color="auto"/>
            </w:tcBorders>
            <w:vAlign w:val="bottom"/>
            <w:hideMark/>
          </w:tcPr>
          <w:p w14:paraId="5027CD9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685" w:type="dxa"/>
            <w:tcBorders>
              <w:top w:val="nil"/>
              <w:left w:val="nil"/>
              <w:bottom w:val="single" w:sz="4" w:space="0" w:color="auto"/>
              <w:right w:val="single" w:sz="4" w:space="0" w:color="auto"/>
            </w:tcBorders>
            <w:vAlign w:val="bottom"/>
            <w:hideMark/>
          </w:tcPr>
          <w:p w14:paraId="2207E018"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273" w:type="dxa"/>
            <w:tcBorders>
              <w:top w:val="nil"/>
              <w:left w:val="nil"/>
              <w:bottom w:val="single" w:sz="4" w:space="0" w:color="auto"/>
              <w:right w:val="single" w:sz="4" w:space="0" w:color="auto"/>
            </w:tcBorders>
            <w:noWrap/>
            <w:vAlign w:val="bottom"/>
            <w:hideMark/>
          </w:tcPr>
          <w:p w14:paraId="232CCD5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200,549.64</w:t>
            </w:r>
          </w:p>
        </w:tc>
        <w:tc>
          <w:tcPr>
            <w:tcW w:w="1268" w:type="dxa"/>
            <w:tcBorders>
              <w:top w:val="nil"/>
              <w:left w:val="nil"/>
              <w:bottom w:val="single" w:sz="4" w:space="0" w:color="auto"/>
              <w:right w:val="single" w:sz="4" w:space="0" w:color="auto"/>
            </w:tcBorders>
            <w:noWrap/>
            <w:vAlign w:val="bottom"/>
            <w:hideMark/>
          </w:tcPr>
          <w:p w14:paraId="08CD52A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196,784.32</w:t>
            </w:r>
          </w:p>
        </w:tc>
        <w:tc>
          <w:tcPr>
            <w:tcW w:w="1418" w:type="dxa"/>
            <w:tcBorders>
              <w:top w:val="nil"/>
              <w:left w:val="nil"/>
              <w:bottom w:val="single" w:sz="4" w:space="0" w:color="auto"/>
              <w:right w:val="single" w:sz="4" w:space="0" w:color="auto"/>
            </w:tcBorders>
            <w:noWrap/>
            <w:vAlign w:val="bottom"/>
            <w:hideMark/>
          </w:tcPr>
          <w:p w14:paraId="47E97DC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202,149.64</w:t>
            </w:r>
          </w:p>
        </w:tc>
        <w:tc>
          <w:tcPr>
            <w:tcW w:w="1163" w:type="dxa"/>
            <w:tcBorders>
              <w:top w:val="nil"/>
              <w:left w:val="nil"/>
              <w:bottom w:val="single" w:sz="4" w:space="0" w:color="auto"/>
              <w:right w:val="single" w:sz="4" w:space="0" w:color="auto"/>
            </w:tcBorders>
            <w:noWrap/>
            <w:vAlign w:val="bottom"/>
            <w:hideMark/>
          </w:tcPr>
          <w:p w14:paraId="638C223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203,150</w:t>
            </w:r>
          </w:p>
        </w:tc>
        <w:tc>
          <w:tcPr>
            <w:tcW w:w="1316" w:type="dxa"/>
            <w:tcBorders>
              <w:top w:val="nil"/>
              <w:left w:val="nil"/>
              <w:bottom w:val="single" w:sz="4" w:space="0" w:color="auto"/>
              <w:right w:val="single" w:sz="4" w:space="0" w:color="auto"/>
            </w:tcBorders>
            <w:noWrap/>
            <w:vAlign w:val="bottom"/>
            <w:hideMark/>
          </w:tcPr>
          <w:p w14:paraId="1208DA9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203,650</w:t>
            </w:r>
          </w:p>
        </w:tc>
        <w:tc>
          <w:tcPr>
            <w:tcW w:w="1316" w:type="dxa"/>
            <w:tcBorders>
              <w:top w:val="nil"/>
              <w:left w:val="nil"/>
              <w:bottom w:val="single" w:sz="4" w:space="0" w:color="auto"/>
              <w:right w:val="single" w:sz="4" w:space="0" w:color="auto"/>
            </w:tcBorders>
            <w:noWrap/>
            <w:vAlign w:val="bottom"/>
            <w:hideMark/>
          </w:tcPr>
          <w:p w14:paraId="78B79BF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204,150</w:t>
            </w:r>
          </w:p>
        </w:tc>
        <w:tc>
          <w:tcPr>
            <w:tcW w:w="1316" w:type="dxa"/>
            <w:tcBorders>
              <w:top w:val="nil"/>
              <w:left w:val="nil"/>
              <w:bottom w:val="single" w:sz="4" w:space="0" w:color="auto"/>
              <w:right w:val="single" w:sz="4" w:space="0" w:color="auto"/>
            </w:tcBorders>
            <w:noWrap/>
            <w:vAlign w:val="bottom"/>
            <w:hideMark/>
          </w:tcPr>
          <w:p w14:paraId="36E63D6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203,150</w:t>
            </w:r>
          </w:p>
        </w:tc>
        <w:tc>
          <w:tcPr>
            <w:tcW w:w="1316" w:type="dxa"/>
            <w:tcBorders>
              <w:top w:val="nil"/>
              <w:left w:val="nil"/>
              <w:bottom w:val="single" w:sz="4" w:space="0" w:color="auto"/>
              <w:right w:val="single" w:sz="4" w:space="0" w:color="auto"/>
            </w:tcBorders>
            <w:noWrap/>
            <w:vAlign w:val="bottom"/>
            <w:hideMark/>
          </w:tcPr>
          <w:p w14:paraId="39CE4B9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203,650</w:t>
            </w:r>
          </w:p>
        </w:tc>
        <w:tc>
          <w:tcPr>
            <w:tcW w:w="1316" w:type="dxa"/>
            <w:tcBorders>
              <w:top w:val="nil"/>
              <w:left w:val="nil"/>
              <w:bottom w:val="single" w:sz="4" w:space="0" w:color="auto"/>
              <w:right w:val="single" w:sz="4" w:space="0" w:color="auto"/>
            </w:tcBorders>
            <w:noWrap/>
            <w:vAlign w:val="bottom"/>
            <w:hideMark/>
          </w:tcPr>
          <w:p w14:paraId="3A36E26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204,150</w:t>
            </w:r>
          </w:p>
        </w:tc>
      </w:tr>
      <w:tr w:rsidR="00EA0FD7" w:rsidRPr="00EA0FD7" w14:paraId="09AE48E1" w14:textId="77777777" w:rsidTr="00EA0FD7">
        <w:trPr>
          <w:trHeight w:val="240"/>
        </w:trPr>
        <w:tc>
          <w:tcPr>
            <w:tcW w:w="1270" w:type="dxa"/>
            <w:tcBorders>
              <w:top w:val="nil"/>
              <w:left w:val="single" w:sz="8" w:space="0" w:color="auto"/>
              <w:bottom w:val="single" w:sz="4" w:space="0" w:color="auto"/>
              <w:right w:val="single" w:sz="4" w:space="0" w:color="auto"/>
            </w:tcBorders>
            <w:noWrap/>
            <w:vAlign w:val="bottom"/>
            <w:hideMark/>
          </w:tcPr>
          <w:p w14:paraId="5F0D5E4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611200</w:t>
            </w:r>
          </w:p>
        </w:tc>
        <w:tc>
          <w:tcPr>
            <w:tcW w:w="2685" w:type="dxa"/>
            <w:tcBorders>
              <w:top w:val="nil"/>
              <w:left w:val="nil"/>
              <w:bottom w:val="single" w:sz="4" w:space="0" w:color="auto"/>
              <w:right w:val="single" w:sz="4" w:space="0" w:color="auto"/>
            </w:tcBorders>
            <w:vAlign w:val="bottom"/>
            <w:hideMark/>
          </w:tcPr>
          <w:p w14:paraId="1EE60A2E"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273" w:type="dxa"/>
            <w:tcBorders>
              <w:top w:val="nil"/>
              <w:left w:val="nil"/>
              <w:bottom w:val="single" w:sz="4" w:space="0" w:color="auto"/>
              <w:right w:val="single" w:sz="4" w:space="0" w:color="auto"/>
            </w:tcBorders>
            <w:noWrap/>
            <w:vAlign w:val="bottom"/>
            <w:hideMark/>
          </w:tcPr>
          <w:p w14:paraId="7A21586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55,673.00</w:t>
            </w:r>
          </w:p>
        </w:tc>
        <w:tc>
          <w:tcPr>
            <w:tcW w:w="1268" w:type="dxa"/>
            <w:tcBorders>
              <w:top w:val="nil"/>
              <w:left w:val="nil"/>
              <w:bottom w:val="single" w:sz="4" w:space="0" w:color="auto"/>
              <w:right w:val="single" w:sz="4" w:space="0" w:color="auto"/>
            </w:tcBorders>
            <w:noWrap/>
            <w:vAlign w:val="bottom"/>
            <w:hideMark/>
          </w:tcPr>
          <w:p w14:paraId="6C4880F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53,232.40</w:t>
            </w:r>
          </w:p>
        </w:tc>
        <w:tc>
          <w:tcPr>
            <w:tcW w:w="1418" w:type="dxa"/>
            <w:tcBorders>
              <w:top w:val="nil"/>
              <w:left w:val="nil"/>
              <w:bottom w:val="single" w:sz="4" w:space="0" w:color="auto"/>
              <w:right w:val="single" w:sz="4" w:space="0" w:color="auto"/>
            </w:tcBorders>
            <w:noWrap/>
            <w:vAlign w:val="bottom"/>
            <w:hideMark/>
          </w:tcPr>
          <w:p w14:paraId="34895E9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72,565.00</w:t>
            </w:r>
          </w:p>
        </w:tc>
        <w:tc>
          <w:tcPr>
            <w:tcW w:w="1163" w:type="dxa"/>
            <w:tcBorders>
              <w:top w:val="nil"/>
              <w:left w:val="nil"/>
              <w:bottom w:val="single" w:sz="4" w:space="0" w:color="auto"/>
              <w:right w:val="single" w:sz="4" w:space="0" w:color="auto"/>
            </w:tcBorders>
            <w:noWrap/>
            <w:vAlign w:val="bottom"/>
            <w:hideMark/>
          </w:tcPr>
          <w:p w14:paraId="14FE003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72,565</w:t>
            </w:r>
          </w:p>
        </w:tc>
        <w:tc>
          <w:tcPr>
            <w:tcW w:w="1316" w:type="dxa"/>
            <w:tcBorders>
              <w:top w:val="nil"/>
              <w:left w:val="nil"/>
              <w:bottom w:val="single" w:sz="4" w:space="0" w:color="auto"/>
              <w:right w:val="single" w:sz="4" w:space="0" w:color="auto"/>
            </w:tcBorders>
            <w:noWrap/>
            <w:vAlign w:val="bottom"/>
            <w:hideMark/>
          </w:tcPr>
          <w:p w14:paraId="6F5A735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61,065</w:t>
            </w:r>
          </w:p>
        </w:tc>
        <w:tc>
          <w:tcPr>
            <w:tcW w:w="1316" w:type="dxa"/>
            <w:tcBorders>
              <w:top w:val="nil"/>
              <w:left w:val="nil"/>
              <w:bottom w:val="single" w:sz="4" w:space="0" w:color="auto"/>
              <w:right w:val="single" w:sz="4" w:space="0" w:color="auto"/>
            </w:tcBorders>
            <w:noWrap/>
            <w:vAlign w:val="bottom"/>
            <w:hideMark/>
          </w:tcPr>
          <w:p w14:paraId="7C0820D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61,065</w:t>
            </w:r>
          </w:p>
        </w:tc>
        <w:tc>
          <w:tcPr>
            <w:tcW w:w="1316" w:type="dxa"/>
            <w:tcBorders>
              <w:top w:val="nil"/>
              <w:left w:val="nil"/>
              <w:bottom w:val="single" w:sz="4" w:space="0" w:color="auto"/>
              <w:right w:val="single" w:sz="4" w:space="0" w:color="auto"/>
            </w:tcBorders>
            <w:noWrap/>
            <w:vAlign w:val="bottom"/>
            <w:hideMark/>
          </w:tcPr>
          <w:p w14:paraId="5EE05CD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72,565</w:t>
            </w:r>
          </w:p>
        </w:tc>
        <w:tc>
          <w:tcPr>
            <w:tcW w:w="1316" w:type="dxa"/>
            <w:tcBorders>
              <w:top w:val="nil"/>
              <w:left w:val="nil"/>
              <w:bottom w:val="single" w:sz="4" w:space="0" w:color="auto"/>
              <w:right w:val="single" w:sz="4" w:space="0" w:color="auto"/>
            </w:tcBorders>
            <w:noWrap/>
            <w:vAlign w:val="bottom"/>
            <w:hideMark/>
          </w:tcPr>
          <w:p w14:paraId="6055F59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61,065</w:t>
            </w:r>
          </w:p>
        </w:tc>
        <w:tc>
          <w:tcPr>
            <w:tcW w:w="1316" w:type="dxa"/>
            <w:tcBorders>
              <w:top w:val="nil"/>
              <w:left w:val="nil"/>
              <w:bottom w:val="single" w:sz="4" w:space="0" w:color="auto"/>
              <w:right w:val="single" w:sz="4" w:space="0" w:color="auto"/>
            </w:tcBorders>
            <w:noWrap/>
            <w:vAlign w:val="bottom"/>
            <w:hideMark/>
          </w:tcPr>
          <w:p w14:paraId="5CBAE9F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61,065</w:t>
            </w:r>
          </w:p>
        </w:tc>
      </w:tr>
      <w:tr w:rsidR="00EA0FD7" w:rsidRPr="00EA0FD7" w14:paraId="12E108CF" w14:textId="77777777" w:rsidTr="00EA0FD7">
        <w:trPr>
          <w:trHeight w:val="480"/>
        </w:trPr>
        <w:tc>
          <w:tcPr>
            <w:tcW w:w="1270" w:type="dxa"/>
            <w:tcBorders>
              <w:top w:val="nil"/>
              <w:left w:val="single" w:sz="8" w:space="0" w:color="auto"/>
              <w:bottom w:val="single" w:sz="4" w:space="0" w:color="auto"/>
              <w:right w:val="single" w:sz="4" w:space="0" w:color="auto"/>
            </w:tcBorders>
            <w:noWrap/>
            <w:vAlign w:val="bottom"/>
            <w:hideMark/>
          </w:tcPr>
          <w:p w14:paraId="7E2E904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685" w:type="dxa"/>
            <w:tcBorders>
              <w:top w:val="nil"/>
              <w:left w:val="nil"/>
              <w:bottom w:val="single" w:sz="4" w:space="0" w:color="auto"/>
              <w:right w:val="single" w:sz="4" w:space="0" w:color="auto"/>
            </w:tcBorders>
            <w:vAlign w:val="bottom"/>
            <w:hideMark/>
          </w:tcPr>
          <w:p w14:paraId="5B625BB2"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273" w:type="dxa"/>
            <w:tcBorders>
              <w:top w:val="nil"/>
              <w:left w:val="nil"/>
              <w:bottom w:val="single" w:sz="4" w:space="0" w:color="auto"/>
              <w:right w:val="single" w:sz="4" w:space="0" w:color="auto"/>
            </w:tcBorders>
            <w:noWrap/>
            <w:vAlign w:val="bottom"/>
            <w:hideMark/>
          </w:tcPr>
          <w:p w14:paraId="67649C6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24,044.00</w:t>
            </w:r>
          </w:p>
        </w:tc>
        <w:tc>
          <w:tcPr>
            <w:tcW w:w="1268" w:type="dxa"/>
            <w:tcBorders>
              <w:top w:val="nil"/>
              <w:left w:val="nil"/>
              <w:bottom w:val="single" w:sz="4" w:space="0" w:color="auto"/>
              <w:right w:val="single" w:sz="4" w:space="0" w:color="auto"/>
            </w:tcBorders>
            <w:noWrap/>
            <w:vAlign w:val="bottom"/>
            <w:hideMark/>
          </w:tcPr>
          <w:p w14:paraId="19D0BBA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19,726.57</w:t>
            </w:r>
          </w:p>
        </w:tc>
        <w:tc>
          <w:tcPr>
            <w:tcW w:w="1418" w:type="dxa"/>
            <w:tcBorders>
              <w:top w:val="nil"/>
              <w:left w:val="nil"/>
              <w:bottom w:val="single" w:sz="4" w:space="0" w:color="auto"/>
              <w:right w:val="single" w:sz="4" w:space="0" w:color="auto"/>
            </w:tcBorders>
            <w:noWrap/>
            <w:vAlign w:val="bottom"/>
            <w:hideMark/>
          </w:tcPr>
          <w:p w14:paraId="77BB3A1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28,440.00</w:t>
            </w:r>
          </w:p>
        </w:tc>
        <w:tc>
          <w:tcPr>
            <w:tcW w:w="1163" w:type="dxa"/>
            <w:tcBorders>
              <w:top w:val="nil"/>
              <w:left w:val="nil"/>
              <w:bottom w:val="single" w:sz="4" w:space="0" w:color="auto"/>
              <w:right w:val="single" w:sz="4" w:space="0" w:color="auto"/>
            </w:tcBorders>
            <w:noWrap/>
            <w:vAlign w:val="bottom"/>
            <w:hideMark/>
          </w:tcPr>
          <w:p w14:paraId="64B0C1C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60,167</w:t>
            </w:r>
          </w:p>
        </w:tc>
        <w:tc>
          <w:tcPr>
            <w:tcW w:w="1316" w:type="dxa"/>
            <w:tcBorders>
              <w:top w:val="nil"/>
              <w:left w:val="nil"/>
              <w:bottom w:val="single" w:sz="4" w:space="0" w:color="auto"/>
              <w:right w:val="single" w:sz="4" w:space="0" w:color="auto"/>
            </w:tcBorders>
            <w:noWrap/>
            <w:vAlign w:val="bottom"/>
            <w:hideMark/>
          </w:tcPr>
          <w:p w14:paraId="6C06A9F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70,167</w:t>
            </w:r>
          </w:p>
        </w:tc>
        <w:tc>
          <w:tcPr>
            <w:tcW w:w="1316" w:type="dxa"/>
            <w:tcBorders>
              <w:top w:val="nil"/>
              <w:left w:val="nil"/>
              <w:bottom w:val="single" w:sz="4" w:space="0" w:color="auto"/>
              <w:right w:val="single" w:sz="4" w:space="0" w:color="auto"/>
            </w:tcBorders>
            <w:noWrap/>
            <w:vAlign w:val="bottom"/>
            <w:hideMark/>
          </w:tcPr>
          <w:p w14:paraId="56B324D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70,167</w:t>
            </w:r>
          </w:p>
        </w:tc>
        <w:tc>
          <w:tcPr>
            <w:tcW w:w="1316" w:type="dxa"/>
            <w:tcBorders>
              <w:top w:val="nil"/>
              <w:left w:val="nil"/>
              <w:bottom w:val="single" w:sz="4" w:space="0" w:color="auto"/>
              <w:right w:val="single" w:sz="4" w:space="0" w:color="auto"/>
            </w:tcBorders>
            <w:noWrap/>
            <w:vAlign w:val="bottom"/>
            <w:hideMark/>
          </w:tcPr>
          <w:p w14:paraId="3198803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60,167</w:t>
            </w:r>
          </w:p>
        </w:tc>
        <w:tc>
          <w:tcPr>
            <w:tcW w:w="1316" w:type="dxa"/>
            <w:tcBorders>
              <w:top w:val="nil"/>
              <w:left w:val="nil"/>
              <w:bottom w:val="single" w:sz="4" w:space="0" w:color="auto"/>
              <w:right w:val="single" w:sz="4" w:space="0" w:color="auto"/>
            </w:tcBorders>
            <w:noWrap/>
            <w:vAlign w:val="bottom"/>
            <w:hideMark/>
          </w:tcPr>
          <w:p w14:paraId="427B24A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70,167</w:t>
            </w:r>
          </w:p>
        </w:tc>
        <w:tc>
          <w:tcPr>
            <w:tcW w:w="1316" w:type="dxa"/>
            <w:tcBorders>
              <w:top w:val="nil"/>
              <w:left w:val="nil"/>
              <w:bottom w:val="single" w:sz="4" w:space="0" w:color="auto"/>
              <w:right w:val="single" w:sz="4" w:space="0" w:color="auto"/>
            </w:tcBorders>
            <w:noWrap/>
            <w:vAlign w:val="bottom"/>
            <w:hideMark/>
          </w:tcPr>
          <w:p w14:paraId="093A0BB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70,167</w:t>
            </w:r>
          </w:p>
        </w:tc>
      </w:tr>
      <w:tr w:rsidR="00EA0FD7" w:rsidRPr="00EA0FD7" w14:paraId="5D2F5273" w14:textId="77777777" w:rsidTr="00EA0FD7">
        <w:trPr>
          <w:trHeight w:val="480"/>
        </w:trPr>
        <w:tc>
          <w:tcPr>
            <w:tcW w:w="1270" w:type="dxa"/>
            <w:tcBorders>
              <w:top w:val="nil"/>
              <w:left w:val="single" w:sz="8" w:space="0" w:color="auto"/>
              <w:bottom w:val="single" w:sz="4" w:space="0" w:color="auto"/>
              <w:right w:val="single" w:sz="4" w:space="0" w:color="auto"/>
            </w:tcBorders>
            <w:vAlign w:val="bottom"/>
            <w:hideMark/>
          </w:tcPr>
          <w:p w14:paraId="5E1BBB0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614000</w:t>
            </w:r>
          </w:p>
        </w:tc>
        <w:tc>
          <w:tcPr>
            <w:tcW w:w="2685" w:type="dxa"/>
            <w:tcBorders>
              <w:top w:val="nil"/>
              <w:left w:val="nil"/>
              <w:bottom w:val="single" w:sz="4" w:space="0" w:color="auto"/>
              <w:right w:val="single" w:sz="4" w:space="0" w:color="auto"/>
            </w:tcBorders>
            <w:vAlign w:val="bottom"/>
            <w:hideMark/>
          </w:tcPr>
          <w:p w14:paraId="68E3B0FF"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273" w:type="dxa"/>
            <w:tcBorders>
              <w:top w:val="nil"/>
              <w:left w:val="nil"/>
              <w:bottom w:val="single" w:sz="4" w:space="0" w:color="auto"/>
              <w:right w:val="single" w:sz="4" w:space="0" w:color="auto"/>
            </w:tcBorders>
            <w:noWrap/>
            <w:vAlign w:val="bottom"/>
            <w:hideMark/>
          </w:tcPr>
          <w:p w14:paraId="020A073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268" w:type="dxa"/>
            <w:tcBorders>
              <w:top w:val="nil"/>
              <w:left w:val="nil"/>
              <w:bottom w:val="single" w:sz="4" w:space="0" w:color="auto"/>
              <w:right w:val="single" w:sz="4" w:space="0" w:color="auto"/>
            </w:tcBorders>
            <w:noWrap/>
            <w:vAlign w:val="bottom"/>
            <w:hideMark/>
          </w:tcPr>
          <w:p w14:paraId="55C3CE5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418" w:type="dxa"/>
            <w:tcBorders>
              <w:top w:val="nil"/>
              <w:left w:val="nil"/>
              <w:bottom w:val="single" w:sz="4" w:space="0" w:color="auto"/>
              <w:right w:val="single" w:sz="4" w:space="0" w:color="auto"/>
            </w:tcBorders>
            <w:noWrap/>
            <w:vAlign w:val="bottom"/>
            <w:hideMark/>
          </w:tcPr>
          <w:p w14:paraId="53D038D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163" w:type="dxa"/>
            <w:tcBorders>
              <w:top w:val="nil"/>
              <w:left w:val="nil"/>
              <w:bottom w:val="single" w:sz="4" w:space="0" w:color="auto"/>
              <w:right w:val="single" w:sz="4" w:space="0" w:color="auto"/>
            </w:tcBorders>
            <w:noWrap/>
            <w:vAlign w:val="bottom"/>
            <w:hideMark/>
          </w:tcPr>
          <w:p w14:paraId="7620D73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64EDF7C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18487FF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3061F05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384CEEC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7A71073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063CCE3F" w14:textId="77777777" w:rsidTr="00EA0FD7">
        <w:trPr>
          <w:trHeight w:val="240"/>
        </w:trPr>
        <w:tc>
          <w:tcPr>
            <w:tcW w:w="1270" w:type="dxa"/>
            <w:tcBorders>
              <w:top w:val="nil"/>
              <w:left w:val="single" w:sz="8" w:space="0" w:color="auto"/>
              <w:bottom w:val="nil"/>
              <w:right w:val="single" w:sz="4" w:space="0" w:color="auto"/>
            </w:tcBorders>
            <w:vAlign w:val="bottom"/>
            <w:hideMark/>
          </w:tcPr>
          <w:p w14:paraId="7B7AF4E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615000</w:t>
            </w:r>
          </w:p>
        </w:tc>
        <w:tc>
          <w:tcPr>
            <w:tcW w:w="2685" w:type="dxa"/>
            <w:tcBorders>
              <w:top w:val="nil"/>
              <w:left w:val="nil"/>
              <w:bottom w:val="nil"/>
              <w:right w:val="single" w:sz="4" w:space="0" w:color="auto"/>
            </w:tcBorders>
            <w:vAlign w:val="bottom"/>
            <w:hideMark/>
          </w:tcPr>
          <w:p w14:paraId="3711DD58"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273" w:type="dxa"/>
            <w:tcBorders>
              <w:top w:val="nil"/>
              <w:left w:val="nil"/>
              <w:bottom w:val="nil"/>
              <w:right w:val="single" w:sz="4" w:space="0" w:color="auto"/>
            </w:tcBorders>
            <w:noWrap/>
            <w:vAlign w:val="bottom"/>
            <w:hideMark/>
          </w:tcPr>
          <w:p w14:paraId="43653F0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268" w:type="dxa"/>
            <w:tcBorders>
              <w:top w:val="nil"/>
              <w:left w:val="nil"/>
              <w:bottom w:val="single" w:sz="4" w:space="0" w:color="auto"/>
              <w:right w:val="single" w:sz="4" w:space="0" w:color="auto"/>
            </w:tcBorders>
            <w:noWrap/>
            <w:vAlign w:val="bottom"/>
            <w:hideMark/>
          </w:tcPr>
          <w:p w14:paraId="1E2FC30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418" w:type="dxa"/>
            <w:tcBorders>
              <w:top w:val="nil"/>
              <w:left w:val="nil"/>
              <w:bottom w:val="nil"/>
              <w:right w:val="single" w:sz="4" w:space="0" w:color="auto"/>
            </w:tcBorders>
            <w:noWrap/>
            <w:vAlign w:val="bottom"/>
            <w:hideMark/>
          </w:tcPr>
          <w:p w14:paraId="2959314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163" w:type="dxa"/>
            <w:tcBorders>
              <w:top w:val="nil"/>
              <w:left w:val="nil"/>
              <w:bottom w:val="nil"/>
              <w:right w:val="single" w:sz="4" w:space="0" w:color="auto"/>
            </w:tcBorders>
            <w:noWrap/>
            <w:vAlign w:val="bottom"/>
            <w:hideMark/>
          </w:tcPr>
          <w:p w14:paraId="5DC3DC1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3DE0194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5936A35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202525B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4C2385B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09CC85F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3BFAFDFD" w14:textId="77777777" w:rsidTr="00EA0FD7">
        <w:trPr>
          <w:trHeight w:val="480"/>
        </w:trPr>
        <w:tc>
          <w:tcPr>
            <w:tcW w:w="1270" w:type="dxa"/>
            <w:tcBorders>
              <w:top w:val="single" w:sz="4" w:space="0" w:color="auto"/>
              <w:left w:val="single" w:sz="8" w:space="0" w:color="auto"/>
              <w:bottom w:val="nil"/>
              <w:right w:val="single" w:sz="4" w:space="0" w:color="auto"/>
            </w:tcBorders>
            <w:noWrap/>
            <w:vAlign w:val="bottom"/>
            <w:hideMark/>
          </w:tcPr>
          <w:p w14:paraId="65C0F51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821000</w:t>
            </w:r>
          </w:p>
        </w:tc>
        <w:tc>
          <w:tcPr>
            <w:tcW w:w="2685" w:type="dxa"/>
            <w:tcBorders>
              <w:top w:val="single" w:sz="4" w:space="0" w:color="auto"/>
              <w:left w:val="nil"/>
              <w:bottom w:val="nil"/>
              <w:right w:val="single" w:sz="4" w:space="0" w:color="auto"/>
            </w:tcBorders>
            <w:vAlign w:val="bottom"/>
            <w:hideMark/>
          </w:tcPr>
          <w:p w14:paraId="36885C83"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273" w:type="dxa"/>
            <w:tcBorders>
              <w:top w:val="single" w:sz="4" w:space="0" w:color="auto"/>
              <w:left w:val="nil"/>
              <w:bottom w:val="nil"/>
              <w:right w:val="single" w:sz="4" w:space="0" w:color="auto"/>
            </w:tcBorders>
            <w:noWrap/>
            <w:vAlign w:val="bottom"/>
            <w:hideMark/>
          </w:tcPr>
          <w:p w14:paraId="2851D48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2,606.80</w:t>
            </w:r>
          </w:p>
        </w:tc>
        <w:tc>
          <w:tcPr>
            <w:tcW w:w="1268" w:type="dxa"/>
            <w:tcBorders>
              <w:top w:val="nil"/>
              <w:left w:val="nil"/>
              <w:bottom w:val="nil"/>
              <w:right w:val="single" w:sz="4" w:space="0" w:color="auto"/>
            </w:tcBorders>
            <w:noWrap/>
            <w:vAlign w:val="bottom"/>
            <w:hideMark/>
          </w:tcPr>
          <w:p w14:paraId="6653D93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1,551.30</w:t>
            </w:r>
          </w:p>
        </w:tc>
        <w:tc>
          <w:tcPr>
            <w:tcW w:w="1418" w:type="dxa"/>
            <w:tcBorders>
              <w:top w:val="single" w:sz="4" w:space="0" w:color="auto"/>
              <w:left w:val="nil"/>
              <w:bottom w:val="nil"/>
              <w:right w:val="single" w:sz="4" w:space="0" w:color="auto"/>
            </w:tcBorders>
            <w:noWrap/>
            <w:vAlign w:val="bottom"/>
            <w:hideMark/>
          </w:tcPr>
          <w:p w14:paraId="39C13BC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59,000.00</w:t>
            </w:r>
          </w:p>
        </w:tc>
        <w:tc>
          <w:tcPr>
            <w:tcW w:w="1163" w:type="dxa"/>
            <w:tcBorders>
              <w:top w:val="single" w:sz="4" w:space="0" w:color="auto"/>
              <w:left w:val="nil"/>
              <w:bottom w:val="nil"/>
              <w:right w:val="single" w:sz="4" w:space="0" w:color="auto"/>
            </w:tcBorders>
            <w:noWrap/>
            <w:vAlign w:val="bottom"/>
            <w:hideMark/>
          </w:tcPr>
          <w:p w14:paraId="451FBDA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single" w:sz="4" w:space="0" w:color="auto"/>
              <w:left w:val="nil"/>
              <w:bottom w:val="nil"/>
              <w:right w:val="single" w:sz="4" w:space="0" w:color="auto"/>
            </w:tcBorders>
            <w:noWrap/>
            <w:vAlign w:val="bottom"/>
            <w:hideMark/>
          </w:tcPr>
          <w:p w14:paraId="6DBB808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single" w:sz="4" w:space="0" w:color="auto"/>
              <w:left w:val="nil"/>
              <w:bottom w:val="nil"/>
              <w:right w:val="single" w:sz="4" w:space="0" w:color="auto"/>
            </w:tcBorders>
            <w:noWrap/>
            <w:vAlign w:val="bottom"/>
            <w:hideMark/>
          </w:tcPr>
          <w:p w14:paraId="4D3E216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single" w:sz="4" w:space="0" w:color="auto"/>
              <w:left w:val="nil"/>
              <w:bottom w:val="nil"/>
              <w:right w:val="single" w:sz="4" w:space="0" w:color="auto"/>
            </w:tcBorders>
            <w:noWrap/>
            <w:vAlign w:val="bottom"/>
            <w:hideMark/>
          </w:tcPr>
          <w:p w14:paraId="6394DB3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single" w:sz="4" w:space="0" w:color="auto"/>
              <w:left w:val="nil"/>
              <w:bottom w:val="nil"/>
              <w:right w:val="single" w:sz="4" w:space="0" w:color="auto"/>
            </w:tcBorders>
            <w:noWrap/>
            <w:vAlign w:val="bottom"/>
            <w:hideMark/>
          </w:tcPr>
          <w:p w14:paraId="60AAA28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single" w:sz="4" w:space="0" w:color="auto"/>
              <w:left w:val="nil"/>
              <w:bottom w:val="nil"/>
              <w:right w:val="single" w:sz="4" w:space="0" w:color="auto"/>
            </w:tcBorders>
            <w:noWrap/>
            <w:vAlign w:val="bottom"/>
            <w:hideMark/>
          </w:tcPr>
          <w:p w14:paraId="0D2ABF5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161A33B5" w14:textId="77777777" w:rsidTr="00EA0FD7">
        <w:trPr>
          <w:trHeight w:val="240"/>
        </w:trPr>
        <w:tc>
          <w:tcPr>
            <w:tcW w:w="1270" w:type="dxa"/>
            <w:tcBorders>
              <w:top w:val="single" w:sz="8" w:space="0" w:color="auto"/>
              <w:left w:val="single" w:sz="8" w:space="0" w:color="auto"/>
              <w:bottom w:val="single" w:sz="8" w:space="0" w:color="auto"/>
              <w:right w:val="single" w:sz="8" w:space="0" w:color="auto"/>
            </w:tcBorders>
            <w:noWrap/>
            <w:vAlign w:val="bottom"/>
            <w:hideMark/>
          </w:tcPr>
          <w:p w14:paraId="26EEB22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685" w:type="dxa"/>
            <w:tcBorders>
              <w:top w:val="single" w:sz="8" w:space="0" w:color="auto"/>
              <w:left w:val="nil"/>
              <w:bottom w:val="single" w:sz="8" w:space="0" w:color="auto"/>
              <w:right w:val="single" w:sz="8" w:space="0" w:color="auto"/>
            </w:tcBorders>
            <w:noWrap/>
            <w:vAlign w:val="bottom"/>
            <w:hideMark/>
          </w:tcPr>
          <w:p w14:paraId="2E350A1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273" w:type="dxa"/>
            <w:tcBorders>
              <w:top w:val="single" w:sz="8" w:space="0" w:color="auto"/>
              <w:left w:val="nil"/>
              <w:bottom w:val="single" w:sz="8" w:space="0" w:color="auto"/>
              <w:right w:val="single" w:sz="8" w:space="0" w:color="auto"/>
            </w:tcBorders>
            <w:noWrap/>
            <w:vAlign w:val="bottom"/>
            <w:hideMark/>
          </w:tcPr>
          <w:p w14:paraId="43D1B7C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282,873.44</w:t>
            </w:r>
          </w:p>
        </w:tc>
        <w:tc>
          <w:tcPr>
            <w:tcW w:w="1268" w:type="dxa"/>
            <w:tcBorders>
              <w:top w:val="single" w:sz="8" w:space="0" w:color="auto"/>
              <w:left w:val="nil"/>
              <w:bottom w:val="single" w:sz="8" w:space="0" w:color="auto"/>
              <w:right w:val="single" w:sz="8" w:space="0" w:color="auto"/>
            </w:tcBorders>
            <w:noWrap/>
            <w:vAlign w:val="bottom"/>
            <w:hideMark/>
          </w:tcPr>
          <w:p w14:paraId="5F8329F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271,294.59</w:t>
            </w:r>
          </w:p>
        </w:tc>
        <w:tc>
          <w:tcPr>
            <w:tcW w:w="1418" w:type="dxa"/>
            <w:tcBorders>
              <w:top w:val="single" w:sz="8" w:space="0" w:color="auto"/>
              <w:left w:val="nil"/>
              <w:bottom w:val="single" w:sz="8" w:space="0" w:color="auto"/>
              <w:right w:val="single" w:sz="8" w:space="0" w:color="auto"/>
            </w:tcBorders>
            <w:noWrap/>
            <w:vAlign w:val="bottom"/>
            <w:hideMark/>
          </w:tcPr>
          <w:p w14:paraId="45ED2A0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362,154.64</w:t>
            </w:r>
          </w:p>
        </w:tc>
        <w:tc>
          <w:tcPr>
            <w:tcW w:w="1163" w:type="dxa"/>
            <w:tcBorders>
              <w:top w:val="single" w:sz="8" w:space="0" w:color="auto"/>
              <w:left w:val="nil"/>
              <w:bottom w:val="single" w:sz="8" w:space="0" w:color="auto"/>
              <w:right w:val="single" w:sz="8" w:space="0" w:color="auto"/>
            </w:tcBorders>
            <w:noWrap/>
            <w:vAlign w:val="bottom"/>
            <w:hideMark/>
          </w:tcPr>
          <w:p w14:paraId="3671B40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335,882</w:t>
            </w:r>
          </w:p>
        </w:tc>
        <w:tc>
          <w:tcPr>
            <w:tcW w:w="1316" w:type="dxa"/>
            <w:tcBorders>
              <w:top w:val="single" w:sz="8" w:space="0" w:color="auto"/>
              <w:left w:val="nil"/>
              <w:bottom w:val="single" w:sz="8" w:space="0" w:color="auto"/>
              <w:right w:val="single" w:sz="8" w:space="0" w:color="auto"/>
            </w:tcBorders>
            <w:noWrap/>
            <w:vAlign w:val="bottom"/>
            <w:hideMark/>
          </w:tcPr>
          <w:p w14:paraId="4313F21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334,882</w:t>
            </w:r>
          </w:p>
        </w:tc>
        <w:tc>
          <w:tcPr>
            <w:tcW w:w="1316" w:type="dxa"/>
            <w:tcBorders>
              <w:top w:val="single" w:sz="8" w:space="0" w:color="auto"/>
              <w:left w:val="nil"/>
              <w:bottom w:val="single" w:sz="8" w:space="0" w:color="auto"/>
              <w:right w:val="single" w:sz="8" w:space="0" w:color="auto"/>
            </w:tcBorders>
            <w:noWrap/>
            <w:vAlign w:val="bottom"/>
            <w:hideMark/>
          </w:tcPr>
          <w:p w14:paraId="6F3C3B9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335,382</w:t>
            </w:r>
          </w:p>
        </w:tc>
        <w:tc>
          <w:tcPr>
            <w:tcW w:w="1316" w:type="dxa"/>
            <w:tcBorders>
              <w:top w:val="single" w:sz="8" w:space="0" w:color="auto"/>
              <w:left w:val="nil"/>
              <w:bottom w:val="single" w:sz="8" w:space="0" w:color="auto"/>
              <w:right w:val="single" w:sz="8" w:space="0" w:color="auto"/>
            </w:tcBorders>
            <w:noWrap/>
            <w:vAlign w:val="bottom"/>
            <w:hideMark/>
          </w:tcPr>
          <w:p w14:paraId="74C80A9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335,882</w:t>
            </w:r>
          </w:p>
        </w:tc>
        <w:tc>
          <w:tcPr>
            <w:tcW w:w="1316" w:type="dxa"/>
            <w:tcBorders>
              <w:top w:val="single" w:sz="8" w:space="0" w:color="auto"/>
              <w:left w:val="nil"/>
              <w:bottom w:val="single" w:sz="8" w:space="0" w:color="auto"/>
              <w:right w:val="single" w:sz="8" w:space="0" w:color="auto"/>
            </w:tcBorders>
            <w:noWrap/>
            <w:vAlign w:val="bottom"/>
            <w:hideMark/>
          </w:tcPr>
          <w:p w14:paraId="394C30B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334,882</w:t>
            </w:r>
          </w:p>
        </w:tc>
        <w:tc>
          <w:tcPr>
            <w:tcW w:w="1316" w:type="dxa"/>
            <w:tcBorders>
              <w:top w:val="single" w:sz="8" w:space="0" w:color="auto"/>
              <w:left w:val="nil"/>
              <w:bottom w:val="single" w:sz="8" w:space="0" w:color="auto"/>
              <w:right w:val="single" w:sz="8" w:space="0" w:color="auto"/>
            </w:tcBorders>
            <w:noWrap/>
            <w:vAlign w:val="bottom"/>
            <w:hideMark/>
          </w:tcPr>
          <w:p w14:paraId="3AF64DF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335,382</w:t>
            </w:r>
          </w:p>
        </w:tc>
      </w:tr>
      <w:tr w:rsidR="00EA0FD7" w:rsidRPr="00EA0FD7" w14:paraId="13912CE4" w14:textId="77777777" w:rsidTr="00EA0FD7">
        <w:trPr>
          <w:trHeight w:val="210"/>
        </w:trPr>
        <w:tc>
          <w:tcPr>
            <w:tcW w:w="1270" w:type="dxa"/>
            <w:tcBorders>
              <w:top w:val="nil"/>
              <w:left w:val="single" w:sz="8" w:space="0" w:color="auto"/>
              <w:bottom w:val="single" w:sz="8" w:space="0" w:color="auto"/>
              <w:right w:val="nil"/>
            </w:tcBorders>
            <w:noWrap/>
            <w:vAlign w:val="bottom"/>
            <w:hideMark/>
          </w:tcPr>
          <w:p w14:paraId="063E6FF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685" w:type="dxa"/>
            <w:tcBorders>
              <w:top w:val="nil"/>
              <w:left w:val="nil"/>
              <w:bottom w:val="single" w:sz="8" w:space="0" w:color="auto"/>
              <w:right w:val="nil"/>
            </w:tcBorders>
            <w:noWrap/>
            <w:vAlign w:val="bottom"/>
            <w:hideMark/>
          </w:tcPr>
          <w:p w14:paraId="2459F59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73" w:type="dxa"/>
            <w:tcBorders>
              <w:top w:val="nil"/>
              <w:left w:val="nil"/>
              <w:bottom w:val="single" w:sz="8" w:space="0" w:color="auto"/>
              <w:right w:val="nil"/>
            </w:tcBorders>
            <w:noWrap/>
            <w:vAlign w:val="bottom"/>
            <w:hideMark/>
          </w:tcPr>
          <w:p w14:paraId="2A2FE87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68" w:type="dxa"/>
            <w:tcBorders>
              <w:top w:val="nil"/>
              <w:left w:val="nil"/>
              <w:bottom w:val="single" w:sz="8" w:space="0" w:color="auto"/>
              <w:right w:val="nil"/>
            </w:tcBorders>
            <w:noWrap/>
            <w:vAlign w:val="bottom"/>
            <w:hideMark/>
          </w:tcPr>
          <w:p w14:paraId="0AF6F18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18" w:type="dxa"/>
            <w:tcBorders>
              <w:top w:val="nil"/>
              <w:left w:val="nil"/>
              <w:bottom w:val="single" w:sz="8" w:space="0" w:color="auto"/>
              <w:right w:val="nil"/>
            </w:tcBorders>
            <w:noWrap/>
            <w:vAlign w:val="bottom"/>
            <w:hideMark/>
          </w:tcPr>
          <w:p w14:paraId="3E9DAEE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63" w:type="dxa"/>
            <w:tcBorders>
              <w:top w:val="nil"/>
              <w:left w:val="nil"/>
              <w:bottom w:val="single" w:sz="8" w:space="0" w:color="auto"/>
              <w:right w:val="nil"/>
            </w:tcBorders>
            <w:noWrap/>
            <w:vAlign w:val="bottom"/>
            <w:hideMark/>
          </w:tcPr>
          <w:p w14:paraId="424A9C7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436274C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3327ACF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14229CE7"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nil"/>
            </w:tcBorders>
            <w:noWrap/>
            <w:vAlign w:val="bottom"/>
            <w:hideMark/>
          </w:tcPr>
          <w:p w14:paraId="0EEA0D5B"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single" w:sz="8" w:space="0" w:color="auto"/>
            </w:tcBorders>
            <w:noWrap/>
            <w:vAlign w:val="bottom"/>
            <w:hideMark/>
          </w:tcPr>
          <w:p w14:paraId="440F21D1"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EA0FD7" w:rsidRPr="00EA0FD7" w14:paraId="1E599475" w14:textId="77777777" w:rsidTr="00EA0FD7">
        <w:trPr>
          <w:trHeight w:val="240"/>
        </w:trPr>
        <w:tc>
          <w:tcPr>
            <w:tcW w:w="1270" w:type="dxa"/>
            <w:tcBorders>
              <w:top w:val="nil"/>
              <w:left w:val="single" w:sz="8" w:space="0" w:color="auto"/>
              <w:bottom w:val="single" w:sz="8" w:space="0" w:color="auto"/>
              <w:right w:val="single" w:sz="8" w:space="0" w:color="auto"/>
            </w:tcBorders>
            <w:noWrap/>
            <w:vAlign w:val="bottom"/>
            <w:hideMark/>
          </w:tcPr>
          <w:p w14:paraId="4373D1C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685" w:type="dxa"/>
            <w:tcBorders>
              <w:top w:val="nil"/>
              <w:left w:val="nil"/>
              <w:bottom w:val="single" w:sz="8" w:space="0" w:color="auto"/>
              <w:right w:val="single" w:sz="8" w:space="0" w:color="auto"/>
            </w:tcBorders>
            <w:noWrap/>
            <w:vAlign w:val="bottom"/>
            <w:hideMark/>
          </w:tcPr>
          <w:p w14:paraId="4D4302C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273" w:type="dxa"/>
            <w:tcBorders>
              <w:top w:val="nil"/>
              <w:left w:val="nil"/>
              <w:bottom w:val="single" w:sz="8" w:space="0" w:color="auto"/>
              <w:right w:val="single" w:sz="8" w:space="0" w:color="auto"/>
            </w:tcBorders>
            <w:noWrap/>
            <w:vAlign w:val="bottom"/>
            <w:hideMark/>
          </w:tcPr>
          <w:p w14:paraId="1ECD629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w:t>
            </w:r>
          </w:p>
        </w:tc>
        <w:tc>
          <w:tcPr>
            <w:tcW w:w="1268" w:type="dxa"/>
            <w:tcBorders>
              <w:top w:val="nil"/>
              <w:left w:val="nil"/>
              <w:bottom w:val="single" w:sz="8" w:space="0" w:color="auto"/>
              <w:right w:val="single" w:sz="8" w:space="0" w:color="auto"/>
            </w:tcBorders>
            <w:noWrap/>
            <w:vAlign w:val="bottom"/>
            <w:hideMark/>
          </w:tcPr>
          <w:p w14:paraId="484BB80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w:t>
            </w:r>
          </w:p>
        </w:tc>
        <w:tc>
          <w:tcPr>
            <w:tcW w:w="1418" w:type="dxa"/>
            <w:tcBorders>
              <w:top w:val="nil"/>
              <w:left w:val="nil"/>
              <w:bottom w:val="single" w:sz="8" w:space="0" w:color="auto"/>
              <w:right w:val="single" w:sz="8" w:space="0" w:color="auto"/>
            </w:tcBorders>
            <w:noWrap/>
            <w:vAlign w:val="bottom"/>
            <w:hideMark/>
          </w:tcPr>
          <w:p w14:paraId="1BDF025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w:t>
            </w:r>
          </w:p>
        </w:tc>
        <w:tc>
          <w:tcPr>
            <w:tcW w:w="1163" w:type="dxa"/>
            <w:tcBorders>
              <w:top w:val="nil"/>
              <w:left w:val="nil"/>
              <w:bottom w:val="single" w:sz="8" w:space="0" w:color="auto"/>
              <w:right w:val="single" w:sz="8" w:space="0" w:color="auto"/>
            </w:tcBorders>
            <w:noWrap/>
            <w:vAlign w:val="bottom"/>
            <w:hideMark/>
          </w:tcPr>
          <w:p w14:paraId="55688BE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w:t>
            </w:r>
          </w:p>
        </w:tc>
        <w:tc>
          <w:tcPr>
            <w:tcW w:w="1316" w:type="dxa"/>
            <w:tcBorders>
              <w:top w:val="nil"/>
              <w:left w:val="nil"/>
              <w:bottom w:val="single" w:sz="8" w:space="0" w:color="auto"/>
              <w:right w:val="single" w:sz="8" w:space="0" w:color="auto"/>
            </w:tcBorders>
            <w:noWrap/>
            <w:vAlign w:val="bottom"/>
            <w:hideMark/>
          </w:tcPr>
          <w:p w14:paraId="26CB284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w:t>
            </w:r>
          </w:p>
        </w:tc>
        <w:tc>
          <w:tcPr>
            <w:tcW w:w="1316" w:type="dxa"/>
            <w:tcBorders>
              <w:top w:val="nil"/>
              <w:left w:val="nil"/>
              <w:bottom w:val="single" w:sz="8" w:space="0" w:color="auto"/>
              <w:right w:val="single" w:sz="8" w:space="0" w:color="auto"/>
            </w:tcBorders>
            <w:noWrap/>
            <w:vAlign w:val="bottom"/>
            <w:hideMark/>
          </w:tcPr>
          <w:p w14:paraId="5AD4269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w:t>
            </w:r>
          </w:p>
        </w:tc>
        <w:tc>
          <w:tcPr>
            <w:tcW w:w="1316" w:type="dxa"/>
            <w:tcBorders>
              <w:top w:val="nil"/>
              <w:left w:val="nil"/>
              <w:bottom w:val="single" w:sz="8" w:space="0" w:color="auto"/>
              <w:right w:val="single" w:sz="8" w:space="0" w:color="auto"/>
            </w:tcBorders>
            <w:noWrap/>
            <w:vAlign w:val="bottom"/>
            <w:hideMark/>
          </w:tcPr>
          <w:p w14:paraId="17D88A8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w:t>
            </w:r>
          </w:p>
        </w:tc>
        <w:tc>
          <w:tcPr>
            <w:tcW w:w="1316" w:type="dxa"/>
            <w:tcBorders>
              <w:top w:val="nil"/>
              <w:left w:val="nil"/>
              <w:bottom w:val="single" w:sz="8" w:space="0" w:color="auto"/>
              <w:right w:val="single" w:sz="8" w:space="0" w:color="auto"/>
            </w:tcBorders>
            <w:noWrap/>
            <w:vAlign w:val="bottom"/>
            <w:hideMark/>
          </w:tcPr>
          <w:p w14:paraId="69472E9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w:t>
            </w:r>
          </w:p>
        </w:tc>
        <w:tc>
          <w:tcPr>
            <w:tcW w:w="1316" w:type="dxa"/>
            <w:tcBorders>
              <w:top w:val="nil"/>
              <w:left w:val="nil"/>
              <w:bottom w:val="single" w:sz="8" w:space="0" w:color="auto"/>
              <w:right w:val="single" w:sz="8" w:space="0" w:color="auto"/>
            </w:tcBorders>
            <w:noWrap/>
            <w:vAlign w:val="bottom"/>
            <w:hideMark/>
          </w:tcPr>
          <w:p w14:paraId="6AD23C2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w:t>
            </w:r>
          </w:p>
        </w:tc>
      </w:tr>
      <w:tr w:rsidR="00EA0FD7" w:rsidRPr="00EA0FD7" w14:paraId="10C326BB" w14:textId="77777777" w:rsidTr="00EA0FD7">
        <w:trPr>
          <w:trHeight w:val="240"/>
        </w:trPr>
        <w:tc>
          <w:tcPr>
            <w:tcW w:w="1270" w:type="dxa"/>
            <w:noWrap/>
            <w:vAlign w:val="bottom"/>
          </w:tcPr>
          <w:p w14:paraId="6DA117A8"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2685" w:type="dxa"/>
            <w:noWrap/>
            <w:vAlign w:val="bottom"/>
          </w:tcPr>
          <w:p w14:paraId="581568FD"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273" w:type="dxa"/>
            <w:noWrap/>
            <w:vAlign w:val="bottom"/>
          </w:tcPr>
          <w:p w14:paraId="48698D8C"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268" w:type="dxa"/>
            <w:noWrap/>
            <w:vAlign w:val="bottom"/>
          </w:tcPr>
          <w:p w14:paraId="1468135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p>
        </w:tc>
        <w:tc>
          <w:tcPr>
            <w:tcW w:w="1418" w:type="dxa"/>
            <w:noWrap/>
            <w:vAlign w:val="bottom"/>
          </w:tcPr>
          <w:p w14:paraId="77B9F3FF"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163" w:type="dxa"/>
            <w:noWrap/>
            <w:vAlign w:val="bottom"/>
          </w:tcPr>
          <w:p w14:paraId="33D27B38"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2CCDD74E"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6FC99B82"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245FB1B4"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06311A64"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16" w:type="dxa"/>
            <w:noWrap/>
            <w:vAlign w:val="bottom"/>
          </w:tcPr>
          <w:p w14:paraId="24CE1332" w14:textId="77777777" w:rsidR="00EA0FD7" w:rsidRPr="00EA0FD7" w:rsidRDefault="00EA0FD7" w:rsidP="00EA0FD7">
            <w:pPr>
              <w:spacing w:after="0" w:line="240" w:lineRule="auto"/>
              <w:rPr>
                <w:rFonts w:ascii="Arial" w:eastAsia="Times New Roman" w:hAnsi="Arial" w:cs="Arial"/>
                <w:b/>
                <w:bCs/>
                <w:sz w:val="18"/>
                <w:szCs w:val="18"/>
                <w:lang w:val="sr-Cyrl-RS"/>
              </w:rPr>
            </w:pPr>
          </w:p>
        </w:tc>
      </w:tr>
      <w:tr w:rsidR="00EA0FD7" w:rsidRPr="00EA0FD7" w14:paraId="1361255C" w14:textId="77777777" w:rsidTr="00EA0FD7">
        <w:trPr>
          <w:trHeight w:val="240"/>
        </w:trPr>
        <w:tc>
          <w:tcPr>
            <w:tcW w:w="6496" w:type="dxa"/>
            <w:gridSpan w:val="4"/>
            <w:tcBorders>
              <w:top w:val="nil"/>
              <w:left w:val="nil"/>
              <w:bottom w:val="single" w:sz="8" w:space="0" w:color="auto"/>
              <w:right w:val="nil"/>
            </w:tcBorders>
            <w:noWrap/>
            <w:vAlign w:val="bottom"/>
            <w:hideMark/>
          </w:tcPr>
          <w:p w14:paraId="29B184F0" w14:textId="65FA95CB"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30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КАНЦЕЛАРИЈА ЗА РЕВИЗИЈУ</w:t>
            </w:r>
          </w:p>
        </w:tc>
        <w:tc>
          <w:tcPr>
            <w:tcW w:w="1418" w:type="dxa"/>
            <w:noWrap/>
            <w:vAlign w:val="bottom"/>
          </w:tcPr>
          <w:p w14:paraId="1A45BD16"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163" w:type="dxa"/>
            <w:noWrap/>
            <w:vAlign w:val="bottom"/>
          </w:tcPr>
          <w:p w14:paraId="0073BCED"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732391F5"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36A3573F"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3356D8D7"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25C9787D"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3D2018B8"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68D26A08" w14:textId="77777777" w:rsidTr="00EA0FD7">
        <w:trPr>
          <w:trHeight w:val="300"/>
        </w:trPr>
        <w:tc>
          <w:tcPr>
            <w:tcW w:w="1270" w:type="dxa"/>
            <w:vMerge w:val="restart"/>
            <w:tcBorders>
              <w:top w:val="nil"/>
              <w:left w:val="single" w:sz="8" w:space="0" w:color="auto"/>
              <w:bottom w:val="single" w:sz="8" w:space="0" w:color="000000"/>
              <w:right w:val="single" w:sz="8" w:space="0" w:color="auto"/>
            </w:tcBorders>
            <w:shd w:val="clear" w:color="auto" w:fill="808080"/>
            <w:vAlign w:val="center"/>
            <w:hideMark/>
          </w:tcPr>
          <w:p w14:paraId="10E2FE1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685" w:type="dxa"/>
            <w:vMerge w:val="restart"/>
            <w:tcBorders>
              <w:top w:val="nil"/>
              <w:left w:val="single" w:sz="8" w:space="0" w:color="auto"/>
              <w:bottom w:val="single" w:sz="8" w:space="0" w:color="000000"/>
              <w:right w:val="single" w:sz="8" w:space="0" w:color="auto"/>
            </w:tcBorders>
            <w:shd w:val="clear" w:color="auto" w:fill="808080"/>
            <w:vAlign w:val="center"/>
            <w:hideMark/>
          </w:tcPr>
          <w:p w14:paraId="6F3A464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273" w:type="dxa"/>
            <w:vMerge w:val="restart"/>
            <w:tcBorders>
              <w:top w:val="nil"/>
              <w:left w:val="single" w:sz="8" w:space="0" w:color="auto"/>
              <w:bottom w:val="single" w:sz="8" w:space="0" w:color="000000"/>
              <w:right w:val="single" w:sz="8" w:space="0" w:color="auto"/>
            </w:tcBorders>
            <w:shd w:val="clear" w:color="auto" w:fill="808080"/>
            <w:vAlign w:val="center"/>
            <w:hideMark/>
          </w:tcPr>
          <w:p w14:paraId="29A77CD8"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268" w:type="dxa"/>
            <w:vMerge w:val="restart"/>
            <w:tcBorders>
              <w:top w:val="nil"/>
              <w:left w:val="single" w:sz="8" w:space="0" w:color="auto"/>
              <w:bottom w:val="single" w:sz="8" w:space="0" w:color="000000"/>
              <w:right w:val="single" w:sz="8" w:space="0" w:color="auto"/>
            </w:tcBorders>
            <w:shd w:val="clear" w:color="auto" w:fill="808080"/>
            <w:vAlign w:val="center"/>
            <w:hideMark/>
          </w:tcPr>
          <w:p w14:paraId="196D3CF8"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0EC8A90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795"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4309F89E"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7093954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0C524D16"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6B3A9962"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421B34B2"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28C16051"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1D98BA20"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7292808"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163" w:type="dxa"/>
            <w:tcBorders>
              <w:top w:val="nil"/>
              <w:left w:val="nil"/>
              <w:bottom w:val="single" w:sz="8" w:space="0" w:color="auto"/>
              <w:right w:val="single" w:sz="4" w:space="0" w:color="auto"/>
            </w:tcBorders>
            <w:shd w:val="clear" w:color="auto" w:fill="808080"/>
            <w:noWrap/>
            <w:vAlign w:val="center"/>
            <w:hideMark/>
          </w:tcPr>
          <w:p w14:paraId="50F17C8B"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5B43BED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50FCBF2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tcBorders>
              <w:top w:val="nil"/>
              <w:left w:val="nil"/>
              <w:bottom w:val="single" w:sz="8" w:space="0" w:color="auto"/>
              <w:right w:val="single" w:sz="4" w:space="0" w:color="auto"/>
            </w:tcBorders>
            <w:shd w:val="clear" w:color="auto" w:fill="808080"/>
            <w:noWrap/>
            <w:vAlign w:val="center"/>
            <w:hideMark/>
          </w:tcPr>
          <w:p w14:paraId="0B3E29D7"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6AD7DB7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760A830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5B1BD6CF" w14:textId="77777777" w:rsidTr="00EA0FD7">
        <w:trPr>
          <w:trHeight w:val="240"/>
        </w:trPr>
        <w:tc>
          <w:tcPr>
            <w:tcW w:w="1270" w:type="dxa"/>
            <w:tcBorders>
              <w:top w:val="single" w:sz="4" w:space="0" w:color="auto"/>
              <w:left w:val="single" w:sz="8" w:space="0" w:color="auto"/>
              <w:bottom w:val="single" w:sz="4" w:space="0" w:color="auto"/>
              <w:right w:val="single" w:sz="4" w:space="0" w:color="auto"/>
            </w:tcBorders>
            <w:noWrap/>
            <w:vAlign w:val="bottom"/>
            <w:hideMark/>
          </w:tcPr>
          <w:p w14:paraId="4C6403D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685" w:type="dxa"/>
            <w:tcBorders>
              <w:top w:val="nil"/>
              <w:left w:val="nil"/>
              <w:bottom w:val="single" w:sz="4" w:space="0" w:color="auto"/>
              <w:right w:val="single" w:sz="4" w:space="0" w:color="auto"/>
            </w:tcBorders>
            <w:noWrap/>
            <w:vAlign w:val="bottom"/>
            <w:hideMark/>
          </w:tcPr>
          <w:p w14:paraId="33F4D19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273" w:type="dxa"/>
            <w:tcBorders>
              <w:top w:val="single" w:sz="4" w:space="0" w:color="auto"/>
              <w:left w:val="nil"/>
              <w:bottom w:val="single" w:sz="4" w:space="0" w:color="auto"/>
              <w:right w:val="single" w:sz="4" w:space="0" w:color="auto"/>
            </w:tcBorders>
            <w:noWrap/>
            <w:vAlign w:val="bottom"/>
            <w:hideMark/>
          </w:tcPr>
          <w:p w14:paraId="521A1A7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68" w:type="dxa"/>
            <w:tcBorders>
              <w:top w:val="single" w:sz="4" w:space="0" w:color="auto"/>
              <w:left w:val="nil"/>
              <w:bottom w:val="single" w:sz="4" w:space="0" w:color="auto"/>
              <w:right w:val="single" w:sz="4" w:space="0" w:color="auto"/>
            </w:tcBorders>
            <w:noWrap/>
            <w:vAlign w:val="bottom"/>
            <w:hideMark/>
          </w:tcPr>
          <w:p w14:paraId="4E7674C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18" w:type="dxa"/>
            <w:tcBorders>
              <w:top w:val="single" w:sz="4" w:space="0" w:color="auto"/>
              <w:left w:val="nil"/>
              <w:bottom w:val="single" w:sz="4" w:space="0" w:color="auto"/>
              <w:right w:val="single" w:sz="4" w:space="0" w:color="auto"/>
            </w:tcBorders>
            <w:noWrap/>
            <w:vAlign w:val="bottom"/>
            <w:hideMark/>
          </w:tcPr>
          <w:p w14:paraId="316A50C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63" w:type="dxa"/>
            <w:tcBorders>
              <w:top w:val="single" w:sz="4" w:space="0" w:color="auto"/>
              <w:left w:val="nil"/>
              <w:bottom w:val="single" w:sz="4" w:space="0" w:color="auto"/>
              <w:right w:val="single" w:sz="4" w:space="0" w:color="auto"/>
            </w:tcBorders>
            <w:noWrap/>
            <w:vAlign w:val="bottom"/>
            <w:hideMark/>
          </w:tcPr>
          <w:p w14:paraId="56A8D5E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2621E37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7D1F438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336FB92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601F4F9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8" w:space="0" w:color="auto"/>
            </w:tcBorders>
            <w:noWrap/>
            <w:vAlign w:val="bottom"/>
            <w:hideMark/>
          </w:tcPr>
          <w:p w14:paraId="2C3DD4D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105D926B" w14:textId="77777777" w:rsidTr="00EA0FD7">
        <w:trPr>
          <w:trHeight w:val="480"/>
        </w:trPr>
        <w:tc>
          <w:tcPr>
            <w:tcW w:w="1270" w:type="dxa"/>
            <w:tcBorders>
              <w:top w:val="nil"/>
              <w:left w:val="single" w:sz="8" w:space="0" w:color="auto"/>
              <w:bottom w:val="single" w:sz="4" w:space="0" w:color="auto"/>
              <w:right w:val="single" w:sz="4" w:space="0" w:color="auto"/>
            </w:tcBorders>
            <w:vAlign w:val="bottom"/>
            <w:hideMark/>
          </w:tcPr>
          <w:p w14:paraId="560CA9B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685" w:type="dxa"/>
            <w:tcBorders>
              <w:top w:val="nil"/>
              <w:left w:val="nil"/>
              <w:bottom w:val="single" w:sz="4" w:space="0" w:color="auto"/>
              <w:right w:val="single" w:sz="4" w:space="0" w:color="auto"/>
            </w:tcBorders>
            <w:vAlign w:val="bottom"/>
            <w:hideMark/>
          </w:tcPr>
          <w:p w14:paraId="3ED72473"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273" w:type="dxa"/>
            <w:tcBorders>
              <w:top w:val="nil"/>
              <w:left w:val="nil"/>
              <w:bottom w:val="single" w:sz="4" w:space="0" w:color="auto"/>
              <w:right w:val="single" w:sz="4" w:space="0" w:color="auto"/>
            </w:tcBorders>
            <w:noWrap/>
            <w:vAlign w:val="bottom"/>
            <w:hideMark/>
          </w:tcPr>
          <w:p w14:paraId="5E9E233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746,396.75</w:t>
            </w:r>
          </w:p>
        </w:tc>
        <w:tc>
          <w:tcPr>
            <w:tcW w:w="1268" w:type="dxa"/>
            <w:tcBorders>
              <w:top w:val="nil"/>
              <w:left w:val="nil"/>
              <w:bottom w:val="single" w:sz="4" w:space="0" w:color="auto"/>
              <w:right w:val="single" w:sz="4" w:space="0" w:color="auto"/>
            </w:tcBorders>
            <w:noWrap/>
            <w:vAlign w:val="bottom"/>
            <w:hideMark/>
          </w:tcPr>
          <w:p w14:paraId="73BB0F0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686,234.63</w:t>
            </w:r>
          </w:p>
        </w:tc>
        <w:tc>
          <w:tcPr>
            <w:tcW w:w="1418" w:type="dxa"/>
            <w:tcBorders>
              <w:top w:val="nil"/>
              <w:left w:val="nil"/>
              <w:bottom w:val="single" w:sz="4" w:space="0" w:color="auto"/>
              <w:right w:val="single" w:sz="4" w:space="0" w:color="auto"/>
            </w:tcBorders>
            <w:noWrap/>
            <w:vAlign w:val="bottom"/>
            <w:hideMark/>
          </w:tcPr>
          <w:p w14:paraId="6A3DB73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875,495.76</w:t>
            </w:r>
          </w:p>
        </w:tc>
        <w:tc>
          <w:tcPr>
            <w:tcW w:w="1163" w:type="dxa"/>
            <w:tcBorders>
              <w:top w:val="nil"/>
              <w:left w:val="nil"/>
              <w:bottom w:val="single" w:sz="4" w:space="0" w:color="auto"/>
              <w:right w:val="single" w:sz="4" w:space="0" w:color="auto"/>
            </w:tcBorders>
            <w:noWrap/>
            <w:vAlign w:val="bottom"/>
            <w:hideMark/>
          </w:tcPr>
          <w:p w14:paraId="5CAADA7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930,196</w:t>
            </w:r>
          </w:p>
        </w:tc>
        <w:tc>
          <w:tcPr>
            <w:tcW w:w="1316" w:type="dxa"/>
            <w:tcBorders>
              <w:top w:val="nil"/>
              <w:left w:val="nil"/>
              <w:bottom w:val="single" w:sz="4" w:space="0" w:color="auto"/>
              <w:right w:val="single" w:sz="4" w:space="0" w:color="auto"/>
            </w:tcBorders>
            <w:noWrap/>
            <w:vAlign w:val="bottom"/>
            <w:hideMark/>
          </w:tcPr>
          <w:p w14:paraId="218B585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930,196</w:t>
            </w:r>
          </w:p>
        </w:tc>
        <w:tc>
          <w:tcPr>
            <w:tcW w:w="1316" w:type="dxa"/>
            <w:tcBorders>
              <w:top w:val="nil"/>
              <w:left w:val="nil"/>
              <w:bottom w:val="single" w:sz="4" w:space="0" w:color="auto"/>
              <w:right w:val="single" w:sz="4" w:space="0" w:color="auto"/>
            </w:tcBorders>
            <w:noWrap/>
            <w:vAlign w:val="bottom"/>
            <w:hideMark/>
          </w:tcPr>
          <w:p w14:paraId="79C84D3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930,196</w:t>
            </w:r>
          </w:p>
        </w:tc>
        <w:tc>
          <w:tcPr>
            <w:tcW w:w="1316" w:type="dxa"/>
            <w:tcBorders>
              <w:top w:val="nil"/>
              <w:left w:val="nil"/>
              <w:bottom w:val="single" w:sz="4" w:space="0" w:color="auto"/>
              <w:right w:val="single" w:sz="4" w:space="0" w:color="auto"/>
            </w:tcBorders>
            <w:noWrap/>
            <w:vAlign w:val="bottom"/>
            <w:hideMark/>
          </w:tcPr>
          <w:p w14:paraId="1447AB8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930,196</w:t>
            </w:r>
          </w:p>
        </w:tc>
        <w:tc>
          <w:tcPr>
            <w:tcW w:w="1316" w:type="dxa"/>
            <w:tcBorders>
              <w:top w:val="nil"/>
              <w:left w:val="nil"/>
              <w:bottom w:val="single" w:sz="4" w:space="0" w:color="auto"/>
              <w:right w:val="single" w:sz="4" w:space="0" w:color="auto"/>
            </w:tcBorders>
            <w:noWrap/>
            <w:vAlign w:val="bottom"/>
            <w:hideMark/>
          </w:tcPr>
          <w:p w14:paraId="1C8CEEE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930,196</w:t>
            </w:r>
          </w:p>
        </w:tc>
        <w:tc>
          <w:tcPr>
            <w:tcW w:w="1316" w:type="dxa"/>
            <w:tcBorders>
              <w:top w:val="nil"/>
              <w:left w:val="nil"/>
              <w:bottom w:val="single" w:sz="4" w:space="0" w:color="auto"/>
              <w:right w:val="single" w:sz="4" w:space="0" w:color="auto"/>
            </w:tcBorders>
            <w:noWrap/>
            <w:vAlign w:val="bottom"/>
            <w:hideMark/>
          </w:tcPr>
          <w:p w14:paraId="65B5F3F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930,196</w:t>
            </w:r>
          </w:p>
        </w:tc>
      </w:tr>
      <w:tr w:rsidR="00EA0FD7" w:rsidRPr="00EA0FD7" w14:paraId="7CF3D0AC" w14:textId="77777777" w:rsidTr="00EA0FD7">
        <w:trPr>
          <w:trHeight w:val="240"/>
        </w:trPr>
        <w:tc>
          <w:tcPr>
            <w:tcW w:w="1270" w:type="dxa"/>
            <w:tcBorders>
              <w:top w:val="nil"/>
              <w:left w:val="single" w:sz="8" w:space="0" w:color="auto"/>
              <w:bottom w:val="single" w:sz="4" w:space="0" w:color="auto"/>
              <w:right w:val="single" w:sz="4" w:space="0" w:color="auto"/>
            </w:tcBorders>
            <w:noWrap/>
            <w:vAlign w:val="bottom"/>
            <w:hideMark/>
          </w:tcPr>
          <w:p w14:paraId="70C6C91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611200</w:t>
            </w:r>
          </w:p>
        </w:tc>
        <w:tc>
          <w:tcPr>
            <w:tcW w:w="2685" w:type="dxa"/>
            <w:tcBorders>
              <w:top w:val="nil"/>
              <w:left w:val="nil"/>
              <w:bottom w:val="single" w:sz="4" w:space="0" w:color="auto"/>
              <w:right w:val="single" w:sz="4" w:space="0" w:color="auto"/>
            </w:tcBorders>
            <w:vAlign w:val="bottom"/>
            <w:hideMark/>
          </w:tcPr>
          <w:p w14:paraId="151E7139"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273" w:type="dxa"/>
            <w:tcBorders>
              <w:top w:val="nil"/>
              <w:left w:val="nil"/>
              <w:bottom w:val="single" w:sz="4" w:space="0" w:color="auto"/>
              <w:right w:val="single" w:sz="4" w:space="0" w:color="auto"/>
            </w:tcBorders>
            <w:noWrap/>
            <w:vAlign w:val="bottom"/>
            <w:hideMark/>
          </w:tcPr>
          <w:p w14:paraId="4BEA4BC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10,833.00</w:t>
            </w:r>
          </w:p>
        </w:tc>
        <w:tc>
          <w:tcPr>
            <w:tcW w:w="1268" w:type="dxa"/>
            <w:tcBorders>
              <w:top w:val="nil"/>
              <w:left w:val="nil"/>
              <w:bottom w:val="single" w:sz="4" w:space="0" w:color="auto"/>
              <w:right w:val="single" w:sz="4" w:space="0" w:color="auto"/>
            </w:tcBorders>
            <w:noWrap/>
            <w:vAlign w:val="bottom"/>
            <w:hideMark/>
          </w:tcPr>
          <w:p w14:paraId="766A1AB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5,757.52</w:t>
            </w:r>
          </w:p>
        </w:tc>
        <w:tc>
          <w:tcPr>
            <w:tcW w:w="1418" w:type="dxa"/>
            <w:tcBorders>
              <w:top w:val="nil"/>
              <w:left w:val="nil"/>
              <w:bottom w:val="single" w:sz="4" w:space="0" w:color="auto"/>
              <w:right w:val="single" w:sz="4" w:space="0" w:color="auto"/>
            </w:tcBorders>
            <w:noWrap/>
            <w:vAlign w:val="bottom"/>
            <w:hideMark/>
          </w:tcPr>
          <w:p w14:paraId="5F8F96E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52,499.00</w:t>
            </w:r>
          </w:p>
        </w:tc>
        <w:tc>
          <w:tcPr>
            <w:tcW w:w="1163" w:type="dxa"/>
            <w:tcBorders>
              <w:top w:val="nil"/>
              <w:left w:val="nil"/>
              <w:bottom w:val="single" w:sz="4" w:space="0" w:color="auto"/>
              <w:right w:val="single" w:sz="4" w:space="0" w:color="auto"/>
            </w:tcBorders>
            <w:noWrap/>
            <w:vAlign w:val="bottom"/>
            <w:hideMark/>
          </w:tcPr>
          <w:p w14:paraId="229CED3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66,146</w:t>
            </w:r>
          </w:p>
        </w:tc>
        <w:tc>
          <w:tcPr>
            <w:tcW w:w="1316" w:type="dxa"/>
            <w:tcBorders>
              <w:top w:val="nil"/>
              <w:left w:val="nil"/>
              <w:bottom w:val="single" w:sz="4" w:space="0" w:color="auto"/>
              <w:right w:val="single" w:sz="4" w:space="0" w:color="auto"/>
            </w:tcBorders>
            <w:noWrap/>
            <w:vAlign w:val="bottom"/>
            <w:hideMark/>
          </w:tcPr>
          <w:p w14:paraId="794533E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26,160</w:t>
            </w:r>
          </w:p>
        </w:tc>
        <w:tc>
          <w:tcPr>
            <w:tcW w:w="1316" w:type="dxa"/>
            <w:tcBorders>
              <w:top w:val="nil"/>
              <w:left w:val="nil"/>
              <w:bottom w:val="single" w:sz="4" w:space="0" w:color="auto"/>
              <w:right w:val="single" w:sz="4" w:space="0" w:color="auto"/>
            </w:tcBorders>
            <w:noWrap/>
            <w:vAlign w:val="bottom"/>
            <w:hideMark/>
          </w:tcPr>
          <w:p w14:paraId="6EE494A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26,160</w:t>
            </w:r>
          </w:p>
        </w:tc>
        <w:tc>
          <w:tcPr>
            <w:tcW w:w="1316" w:type="dxa"/>
            <w:tcBorders>
              <w:top w:val="nil"/>
              <w:left w:val="nil"/>
              <w:bottom w:val="single" w:sz="4" w:space="0" w:color="auto"/>
              <w:right w:val="single" w:sz="4" w:space="0" w:color="auto"/>
            </w:tcBorders>
            <w:noWrap/>
            <w:vAlign w:val="bottom"/>
            <w:hideMark/>
          </w:tcPr>
          <w:p w14:paraId="5227E15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66,146</w:t>
            </w:r>
          </w:p>
        </w:tc>
        <w:tc>
          <w:tcPr>
            <w:tcW w:w="1316" w:type="dxa"/>
            <w:tcBorders>
              <w:top w:val="nil"/>
              <w:left w:val="nil"/>
              <w:bottom w:val="single" w:sz="4" w:space="0" w:color="auto"/>
              <w:right w:val="single" w:sz="4" w:space="0" w:color="auto"/>
            </w:tcBorders>
            <w:noWrap/>
            <w:vAlign w:val="bottom"/>
            <w:hideMark/>
          </w:tcPr>
          <w:p w14:paraId="5EFCF7F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26,160</w:t>
            </w:r>
          </w:p>
        </w:tc>
        <w:tc>
          <w:tcPr>
            <w:tcW w:w="1316" w:type="dxa"/>
            <w:tcBorders>
              <w:top w:val="nil"/>
              <w:left w:val="nil"/>
              <w:bottom w:val="single" w:sz="4" w:space="0" w:color="auto"/>
              <w:right w:val="single" w:sz="4" w:space="0" w:color="auto"/>
            </w:tcBorders>
            <w:noWrap/>
            <w:vAlign w:val="bottom"/>
            <w:hideMark/>
          </w:tcPr>
          <w:p w14:paraId="29C1700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26,160</w:t>
            </w:r>
          </w:p>
        </w:tc>
      </w:tr>
      <w:tr w:rsidR="00EA0FD7" w:rsidRPr="00EA0FD7" w14:paraId="71E7809A" w14:textId="77777777" w:rsidTr="00EA0FD7">
        <w:trPr>
          <w:trHeight w:val="480"/>
        </w:trPr>
        <w:tc>
          <w:tcPr>
            <w:tcW w:w="1270" w:type="dxa"/>
            <w:tcBorders>
              <w:top w:val="nil"/>
              <w:left w:val="single" w:sz="8" w:space="0" w:color="auto"/>
              <w:bottom w:val="single" w:sz="4" w:space="0" w:color="auto"/>
              <w:right w:val="single" w:sz="4" w:space="0" w:color="auto"/>
            </w:tcBorders>
            <w:noWrap/>
            <w:vAlign w:val="bottom"/>
            <w:hideMark/>
          </w:tcPr>
          <w:p w14:paraId="30995AA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685" w:type="dxa"/>
            <w:tcBorders>
              <w:top w:val="nil"/>
              <w:left w:val="nil"/>
              <w:bottom w:val="single" w:sz="4" w:space="0" w:color="auto"/>
              <w:right w:val="single" w:sz="4" w:space="0" w:color="auto"/>
            </w:tcBorders>
            <w:vAlign w:val="bottom"/>
            <w:hideMark/>
          </w:tcPr>
          <w:p w14:paraId="0637C8C2"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273" w:type="dxa"/>
            <w:tcBorders>
              <w:top w:val="nil"/>
              <w:left w:val="nil"/>
              <w:bottom w:val="single" w:sz="4" w:space="0" w:color="auto"/>
              <w:right w:val="single" w:sz="4" w:space="0" w:color="auto"/>
            </w:tcBorders>
            <w:noWrap/>
            <w:vAlign w:val="bottom"/>
            <w:hideMark/>
          </w:tcPr>
          <w:p w14:paraId="251D794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109,992.00</w:t>
            </w:r>
          </w:p>
        </w:tc>
        <w:tc>
          <w:tcPr>
            <w:tcW w:w="1268" w:type="dxa"/>
            <w:tcBorders>
              <w:top w:val="nil"/>
              <w:left w:val="nil"/>
              <w:bottom w:val="single" w:sz="4" w:space="0" w:color="auto"/>
              <w:right w:val="single" w:sz="4" w:space="0" w:color="auto"/>
            </w:tcBorders>
            <w:noWrap/>
            <w:vAlign w:val="bottom"/>
            <w:hideMark/>
          </w:tcPr>
          <w:p w14:paraId="76C207C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74,954.18</w:t>
            </w:r>
          </w:p>
        </w:tc>
        <w:tc>
          <w:tcPr>
            <w:tcW w:w="1418" w:type="dxa"/>
            <w:tcBorders>
              <w:top w:val="nil"/>
              <w:left w:val="nil"/>
              <w:bottom w:val="single" w:sz="4" w:space="0" w:color="auto"/>
              <w:right w:val="single" w:sz="4" w:space="0" w:color="auto"/>
            </w:tcBorders>
            <w:noWrap/>
            <w:vAlign w:val="bottom"/>
            <w:hideMark/>
          </w:tcPr>
          <w:p w14:paraId="0CB17AF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109,992.00</w:t>
            </w:r>
          </w:p>
        </w:tc>
        <w:tc>
          <w:tcPr>
            <w:tcW w:w="1163" w:type="dxa"/>
            <w:tcBorders>
              <w:top w:val="nil"/>
              <w:left w:val="nil"/>
              <w:bottom w:val="single" w:sz="4" w:space="0" w:color="auto"/>
              <w:right w:val="single" w:sz="4" w:space="0" w:color="auto"/>
            </w:tcBorders>
            <w:noWrap/>
            <w:vAlign w:val="bottom"/>
            <w:hideMark/>
          </w:tcPr>
          <w:p w14:paraId="0FC64FF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109,992</w:t>
            </w:r>
          </w:p>
        </w:tc>
        <w:tc>
          <w:tcPr>
            <w:tcW w:w="1316" w:type="dxa"/>
            <w:tcBorders>
              <w:top w:val="nil"/>
              <w:left w:val="nil"/>
              <w:bottom w:val="single" w:sz="4" w:space="0" w:color="auto"/>
              <w:right w:val="single" w:sz="4" w:space="0" w:color="auto"/>
            </w:tcBorders>
            <w:noWrap/>
            <w:vAlign w:val="bottom"/>
            <w:hideMark/>
          </w:tcPr>
          <w:p w14:paraId="45F7479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115,492</w:t>
            </w:r>
          </w:p>
        </w:tc>
        <w:tc>
          <w:tcPr>
            <w:tcW w:w="1316" w:type="dxa"/>
            <w:tcBorders>
              <w:top w:val="nil"/>
              <w:left w:val="nil"/>
              <w:bottom w:val="single" w:sz="4" w:space="0" w:color="auto"/>
              <w:right w:val="single" w:sz="4" w:space="0" w:color="auto"/>
            </w:tcBorders>
            <w:noWrap/>
            <w:vAlign w:val="bottom"/>
            <w:hideMark/>
          </w:tcPr>
          <w:p w14:paraId="3A8366C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121,267</w:t>
            </w:r>
          </w:p>
        </w:tc>
        <w:tc>
          <w:tcPr>
            <w:tcW w:w="1316" w:type="dxa"/>
            <w:tcBorders>
              <w:top w:val="nil"/>
              <w:left w:val="nil"/>
              <w:bottom w:val="single" w:sz="4" w:space="0" w:color="auto"/>
              <w:right w:val="single" w:sz="4" w:space="0" w:color="auto"/>
            </w:tcBorders>
            <w:noWrap/>
            <w:vAlign w:val="bottom"/>
            <w:hideMark/>
          </w:tcPr>
          <w:p w14:paraId="5E0A5C6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109,992</w:t>
            </w:r>
          </w:p>
        </w:tc>
        <w:tc>
          <w:tcPr>
            <w:tcW w:w="1316" w:type="dxa"/>
            <w:tcBorders>
              <w:top w:val="nil"/>
              <w:left w:val="nil"/>
              <w:bottom w:val="single" w:sz="4" w:space="0" w:color="auto"/>
              <w:right w:val="single" w:sz="4" w:space="0" w:color="auto"/>
            </w:tcBorders>
            <w:noWrap/>
            <w:vAlign w:val="bottom"/>
            <w:hideMark/>
          </w:tcPr>
          <w:p w14:paraId="4E877DC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115,492</w:t>
            </w:r>
          </w:p>
        </w:tc>
        <w:tc>
          <w:tcPr>
            <w:tcW w:w="1316" w:type="dxa"/>
            <w:tcBorders>
              <w:top w:val="nil"/>
              <w:left w:val="nil"/>
              <w:bottom w:val="single" w:sz="4" w:space="0" w:color="auto"/>
              <w:right w:val="single" w:sz="4" w:space="0" w:color="auto"/>
            </w:tcBorders>
            <w:noWrap/>
            <w:vAlign w:val="bottom"/>
            <w:hideMark/>
          </w:tcPr>
          <w:p w14:paraId="3EF2565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121,267</w:t>
            </w:r>
          </w:p>
        </w:tc>
      </w:tr>
      <w:tr w:rsidR="00EA0FD7" w:rsidRPr="00EA0FD7" w14:paraId="75FCD9DC" w14:textId="77777777" w:rsidTr="00EA0FD7">
        <w:trPr>
          <w:trHeight w:val="480"/>
        </w:trPr>
        <w:tc>
          <w:tcPr>
            <w:tcW w:w="1270" w:type="dxa"/>
            <w:tcBorders>
              <w:top w:val="nil"/>
              <w:left w:val="single" w:sz="8" w:space="0" w:color="auto"/>
              <w:bottom w:val="single" w:sz="4" w:space="0" w:color="auto"/>
              <w:right w:val="single" w:sz="4" w:space="0" w:color="auto"/>
            </w:tcBorders>
            <w:vAlign w:val="bottom"/>
            <w:hideMark/>
          </w:tcPr>
          <w:p w14:paraId="593D7FD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lastRenderedPageBreak/>
              <w:t>614000</w:t>
            </w:r>
          </w:p>
        </w:tc>
        <w:tc>
          <w:tcPr>
            <w:tcW w:w="2685" w:type="dxa"/>
            <w:tcBorders>
              <w:top w:val="nil"/>
              <w:left w:val="nil"/>
              <w:bottom w:val="single" w:sz="4" w:space="0" w:color="auto"/>
              <w:right w:val="single" w:sz="4" w:space="0" w:color="auto"/>
            </w:tcBorders>
            <w:vAlign w:val="bottom"/>
            <w:hideMark/>
          </w:tcPr>
          <w:p w14:paraId="275E4A87"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273" w:type="dxa"/>
            <w:tcBorders>
              <w:top w:val="nil"/>
              <w:left w:val="nil"/>
              <w:bottom w:val="single" w:sz="4" w:space="0" w:color="auto"/>
              <w:right w:val="single" w:sz="4" w:space="0" w:color="auto"/>
            </w:tcBorders>
            <w:noWrap/>
            <w:vAlign w:val="bottom"/>
            <w:hideMark/>
          </w:tcPr>
          <w:p w14:paraId="675DD45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15,000.00</w:t>
            </w:r>
          </w:p>
        </w:tc>
        <w:tc>
          <w:tcPr>
            <w:tcW w:w="1268" w:type="dxa"/>
            <w:tcBorders>
              <w:top w:val="nil"/>
              <w:left w:val="nil"/>
              <w:bottom w:val="single" w:sz="4" w:space="0" w:color="auto"/>
              <w:right w:val="single" w:sz="4" w:space="0" w:color="auto"/>
            </w:tcBorders>
            <w:noWrap/>
            <w:vAlign w:val="bottom"/>
            <w:hideMark/>
          </w:tcPr>
          <w:p w14:paraId="15A7E96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15,000.00</w:t>
            </w:r>
          </w:p>
        </w:tc>
        <w:tc>
          <w:tcPr>
            <w:tcW w:w="1418" w:type="dxa"/>
            <w:tcBorders>
              <w:top w:val="nil"/>
              <w:left w:val="nil"/>
              <w:bottom w:val="single" w:sz="4" w:space="0" w:color="auto"/>
              <w:right w:val="single" w:sz="4" w:space="0" w:color="auto"/>
            </w:tcBorders>
            <w:noWrap/>
            <w:vAlign w:val="bottom"/>
            <w:hideMark/>
          </w:tcPr>
          <w:p w14:paraId="65B18EB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15,000.00</w:t>
            </w:r>
          </w:p>
        </w:tc>
        <w:tc>
          <w:tcPr>
            <w:tcW w:w="1163" w:type="dxa"/>
            <w:tcBorders>
              <w:top w:val="nil"/>
              <w:left w:val="nil"/>
              <w:bottom w:val="single" w:sz="4" w:space="0" w:color="auto"/>
              <w:right w:val="single" w:sz="4" w:space="0" w:color="auto"/>
            </w:tcBorders>
            <w:noWrap/>
            <w:vAlign w:val="bottom"/>
            <w:hideMark/>
          </w:tcPr>
          <w:p w14:paraId="67BD308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15,000</w:t>
            </w:r>
          </w:p>
        </w:tc>
        <w:tc>
          <w:tcPr>
            <w:tcW w:w="1316" w:type="dxa"/>
            <w:tcBorders>
              <w:top w:val="nil"/>
              <w:left w:val="nil"/>
              <w:bottom w:val="single" w:sz="4" w:space="0" w:color="auto"/>
              <w:right w:val="single" w:sz="4" w:space="0" w:color="auto"/>
            </w:tcBorders>
            <w:noWrap/>
            <w:vAlign w:val="bottom"/>
            <w:hideMark/>
          </w:tcPr>
          <w:p w14:paraId="5FFBF61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15,000</w:t>
            </w:r>
          </w:p>
        </w:tc>
        <w:tc>
          <w:tcPr>
            <w:tcW w:w="1316" w:type="dxa"/>
            <w:tcBorders>
              <w:top w:val="nil"/>
              <w:left w:val="nil"/>
              <w:bottom w:val="single" w:sz="4" w:space="0" w:color="auto"/>
              <w:right w:val="single" w:sz="4" w:space="0" w:color="auto"/>
            </w:tcBorders>
            <w:noWrap/>
            <w:vAlign w:val="bottom"/>
            <w:hideMark/>
          </w:tcPr>
          <w:p w14:paraId="601D005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15,000</w:t>
            </w:r>
          </w:p>
        </w:tc>
        <w:tc>
          <w:tcPr>
            <w:tcW w:w="1316" w:type="dxa"/>
            <w:tcBorders>
              <w:top w:val="nil"/>
              <w:left w:val="nil"/>
              <w:bottom w:val="single" w:sz="4" w:space="0" w:color="auto"/>
              <w:right w:val="single" w:sz="4" w:space="0" w:color="auto"/>
            </w:tcBorders>
            <w:noWrap/>
            <w:vAlign w:val="bottom"/>
            <w:hideMark/>
          </w:tcPr>
          <w:p w14:paraId="53A3BD1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15,000</w:t>
            </w:r>
          </w:p>
        </w:tc>
        <w:tc>
          <w:tcPr>
            <w:tcW w:w="1316" w:type="dxa"/>
            <w:tcBorders>
              <w:top w:val="nil"/>
              <w:left w:val="nil"/>
              <w:bottom w:val="single" w:sz="4" w:space="0" w:color="auto"/>
              <w:right w:val="single" w:sz="4" w:space="0" w:color="auto"/>
            </w:tcBorders>
            <w:noWrap/>
            <w:vAlign w:val="bottom"/>
            <w:hideMark/>
          </w:tcPr>
          <w:p w14:paraId="4B9AC66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15,000</w:t>
            </w:r>
          </w:p>
        </w:tc>
        <w:tc>
          <w:tcPr>
            <w:tcW w:w="1316" w:type="dxa"/>
            <w:tcBorders>
              <w:top w:val="nil"/>
              <w:left w:val="nil"/>
              <w:bottom w:val="single" w:sz="4" w:space="0" w:color="auto"/>
              <w:right w:val="single" w:sz="4" w:space="0" w:color="auto"/>
            </w:tcBorders>
            <w:noWrap/>
            <w:vAlign w:val="bottom"/>
            <w:hideMark/>
          </w:tcPr>
          <w:p w14:paraId="0BB9E7C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15,000</w:t>
            </w:r>
          </w:p>
        </w:tc>
      </w:tr>
      <w:tr w:rsidR="00EA0FD7" w:rsidRPr="00EA0FD7" w14:paraId="2F3A07F3" w14:textId="77777777" w:rsidTr="00EA0FD7">
        <w:trPr>
          <w:trHeight w:val="240"/>
        </w:trPr>
        <w:tc>
          <w:tcPr>
            <w:tcW w:w="1270" w:type="dxa"/>
            <w:tcBorders>
              <w:top w:val="nil"/>
              <w:left w:val="single" w:sz="8" w:space="0" w:color="auto"/>
              <w:bottom w:val="nil"/>
              <w:right w:val="single" w:sz="4" w:space="0" w:color="auto"/>
            </w:tcBorders>
            <w:vAlign w:val="bottom"/>
            <w:hideMark/>
          </w:tcPr>
          <w:p w14:paraId="003ECBB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615000</w:t>
            </w:r>
          </w:p>
        </w:tc>
        <w:tc>
          <w:tcPr>
            <w:tcW w:w="2685" w:type="dxa"/>
            <w:tcBorders>
              <w:top w:val="nil"/>
              <w:left w:val="nil"/>
              <w:bottom w:val="nil"/>
              <w:right w:val="single" w:sz="4" w:space="0" w:color="auto"/>
            </w:tcBorders>
            <w:vAlign w:val="bottom"/>
            <w:hideMark/>
          </w:tcPr>
          <w:p w14:paraId="041978C2"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273" w:type="dxa"/>
            <w:tcBorders>
              <w:top w:val="nil"/>
              <w:left w:val="nil"/>
              <w:bottom w:val="nil"/>
              <w:right w:val="single" w:sz="4" w:space="0" w:color="auto"/>
            </w:tcBorders>
            <w:noWrap/>
            <w:vAlign w:val="bottom"/>
            <w:hideMark/>
          </w:tcPr>
          <w:p w14:paraId="603A5F1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268" w:type="dxa"/>
            <w:tcBorders>
              <w:top w:val="nil"/>
              <w:left w:val="nil"/>
              <w:bottom w:val="nil"/>
              <w:right w:val="single" w:sz="4" w:space="0" w:color="auto"/>
            </w:tcBorders>
            <w:noWrap/>
            <w:vAlign w:val="bottom"/>
            <w:hideMark/>
          </w:tcPr>
          <w:p w14:paraId="3A5E57B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418" w:type="dxa"/>
            <w:tcBorders>
              <w:top w:val="nil"/>
              <w:left w:val="nil"/>
              <w:bottom w:val="nil"/>
              <w:right w:val="single" w:sz="4" w:space="0" w:color="auto"/>
            </w:tcBorders>
            <w:noWrap/>
            <w:vAlign w:val="bottom"/>
            <w:hideMark/>
          </w:tcPr>
          <w:p w14:paraId="5059070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163" w:type="dxa"/>
            <w:tcBorders>
              <w:top w:val="nil"/>
              <w:left w:val="nil"/>
              <w:bottom w:val="nil"/>
              <w:right w:val="single" w:sz="4" w:space="0" w:color="auto"/>
            </w:tcBorders>
            <w:noWrap/>
            <w:vAlign w:val="bottom"/>
            <w:hideMark/>
          </w:tcPr>
          <w:p w14:paraId="026FDD8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189173A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1F0ECD0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15DD2E1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613EBF7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3F44032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32280DA7" w14:textId="77777777" w:rsidTr="00EA0FD7">
        <w:trPr>
          <w:trHeight w:val="480"/>
        </w:trPr>
        <w:tc>
          <w:tcPr>
            <w:tcW w:w="1270" w:type="dxa"/>
            <w:tcBorders>
              <w:top w:val="single" w:sz="4" w:space="0" w:color="auto"/>
              <w:left w:val="single" w:sz="8" w:space="0" w:color="auto"/>
              <w:bottom w:val="nil"/>
              <w:right w:val="single" w:sz="4" w:space="0" w:color="auto"/>
            </w:tcBorders>
            <w:noWrap/>
            <w:vAlign w:val="bottom"/>
            <w:hideMark/>
          </w:tcPr>
          <w:p w14:paraId="604FB6C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821000</w:t>
            </w:r>
          </w:p>
        </w:tc>
        <w:tc>
          <w:tcPr>
            <w:tcW w:w="2685" w:type="dxa"/>
            <w:tcBorders>
              <w:top w:val="single" w:sz="4" w:space="0" w:color="auto"/>
              <w:left w:val="nil"/>
              <w:bottom w:val="nil"/>
              <w:right w:val="single" w:sz="4" w:space="0" w:color="auto"/>
            </w:tcBorders>
            <w:vAlign w:val="bottom"/>
            <w:hideMark/>
          </w:tcPr>
          <w:p w14:paraId="6D234D99"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273" w:type="dxa"/>
            <w:tcBorders>
              <w:top w:val="single" w:sz="4" w:space="0" w:color="auto"/>
              <w:left w:val="nil"/>
              <w:bottom w:val="nil"/>
              <w:right w:val="single" w:sz="4" w:space="0" w:color="auto"/>
            </w:tcBorders>
            <w:noWrap/>
            <w:vAlign w:val="bottom"/>
            <w:hideMark/>
          </w:tcPr>
          <w:p w14:paraId="7E64E2F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6,000.00</w:t>
            </w:r>
          </w:p>
        </w:tc>
        <w:tc>
          <w:tcPr>
            <w:tcW w:w="1268" w:type="dxa"/>
            <w:tcBorders>
              <w:top w:val="single" w:sz="4" w:space="0" w:color="auto"/>
              <w:left w:val="nil"/>
              <w:bottom w:val="nil"/>
              <w:right w:val="single" w:sz="4" w:space="0" w:color="auto"/>
            </w:tcBorders>
            <w:noWrap/>
            <w:vAlign w:val="bottom"/>
            <w:hideMark/>
          </w:tcPr>
          <w:p w14:paraId="7F63E54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5,916.26</w:t>
            </w:r>
          </w:p>
        </w:tc>
        <w:tc>
          <w:tcPr>
            <w:tcW w:w="1418" w:type="dxa"/>
            <w:tcBorders>
              <w:top w:val="single" w:sz="4" w:space="0" w:color="auto"/>
              <w:left w:val="nil"/>
              <w:bottom w:val="nil"/>
              <w:right w:val="single" w:sz="4" w:space="0" w:color="auto"/>
            </w:tcBorders>
            <w:noWrap/>
            <w:vAlign w:val="bottom"/>
            <w:hideMark/>
          </w:tcPr>
          <w:p w14:paraId="36600D5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11,225.00</w:t>
            </w:r>
          </w:p>
        </w:tc>
        <w:tc>
          <w:tcPr>
            <w:tcW w:w="1163" w:type="dxa"/>
            <w:tcBorders>
              <w:top w:val="single" w:sz="4" w:space="0" w:color="auto"/>
              <w:left w:val="nil"/>
              <w:bottom w:val="nil"/>
              <w:right w:val="single" w:sz="4" w:space="0" w:color="auto"/>
            </w:tcBorders>
            <w:noWrap/>
            <w:vAlign w:val="bottom"/>
            <w:hideMark/>
          </w:tcPr>
          <w:p w14:paraId="1DECAB2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11,225</w:t>
            </w:r>
          </w:p>
        </w:tc>
        <w:tc>
          <w:tcPr>
            <w:tcW w:w="1316" w:type="dxa"/>
            <w:tcBorders>
              <w:top w:val="single" w:sz="4" w:space="0" w:color="auto"/>
              <w:left w:val="nil"/>
              <w:bottom w:val="nil"/>
              <w:right w:val="single" w:sz="4" w:space="0" w:color="auto"/>
            </w:tcBorders>
            <w:noWrap/>
            <w:vAlign w:val="bottom"/>
            <w:hideMark/>
          </w:tcPr>
          <w:p w14:paraId="1B6DF9B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11,225</w:t>
            </w:r>
          </w:p>
        </w:tc>
        <w:tc>
          <w:tcPr>
            <w:tcW w:w="1316" w:type="dxa"/>
            <w:tcBorders>
              <w:top w:val="single" w:sz="4" w:space="0" w:color="auto"/>
              <w:left w:val="nil"/>
              <w:bottom w:val="nil"/>
              <w:right w:val="single" w:sz="4" w:space="0" w:color="auto"/>
            </w:tcBorders>
            <w:noWrap/>
            <w:vAlign w:val="bottom"/>
            <w:hideMark/>
          </w:tcPr>
          <w:p w14:paraId="65129EF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11,225</w:t>
            </w:r>
          </w:p>
        </w:tc>
        <w:tc>
          <w:tcPr>
            <w:tcW w:w="1316" w:type="dxa"/>
            <w:tcBorders>
              <w:top w:val="single" w:sz="4" w:space="0" w:color="auto"/>
              <w:left w:val="nil"/>
              <w:bottom w:val="nil"/>
              <w:right w:val="single" w:sz="4" w:space="0" w:color="auto"/>
            </w:tcBorders>
            <w:noWrap/>
            <w:vAlign w:val="bottom"/>
            <w:hideMark/>
          </w:tcPr>
          <w:p w14:paraId="1668C19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11,225</w:t>
            </w:r>
          </w:p>
        </w:tc>
        <w:tc>
          <w:tcPr>
            <w:tcW w:w="1316" w:type="dxa"/>
            <w:tcBorders>
              <w:top w:val="single" w:sz="4" w:space="0" w:color="auto"/>
              <w:left w:val="nil"/>
              <w:bottom w:val="nil"/>
              <w:right w:val="single" w:sz="4" w:space="0" w:color="auto"/>
            </w:tcBorders>
            <w:noWrap/>
            <w:vAlign w:val="bottom"/>
            <w:hideMark/>
          </w:tcPr>
          <w:p w14:paraId="4BD6CA1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11,225</w:t>
            </w:r>
          </w:p>
        </w:tc>
        <w:tc>
          <w:tcPr>
            <w:tcW w:w="1316" w:type="dxa"/>
            <w:tcBorders>
              <w:top w:val="single" w:sz="4" w:space="0" w:color="auto"/>
              <w:left w:val="nil"/>
              <w:bottom w:val="nil"/>
              <w:right w:val="single" w:sz="4" w:space="0" w:color="auto"/>
            </w:tcBorders>
            <w:noWrap/>
            <w:vAlign w:val="bottom"/>
            <w:hideMark/>
          </w:tcPr>
          <w:p w14:paraId="0A13BC3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11,225</w:t>
            </w:r>
          </w:p>
        </w:tc>
      </w:tr>
      <w:tr w:rsidR="00EA0FD7" w:rsidRPr="00EA0FD7" w14:paraId="79C075D4" w14:textId="77777777" w:rsidTr="00EA0FD7">
        <w:trPr>
          <w:trHeight w:val="285"/>
        </w:trPr>
        <w:tc>
          <w:tcPr>
            <w:tcW w:w="1270" w:type="dxa"/>
            <w:tcBorders>
              <w:top w:val="single" w:sz="8" w:space="0" w:color="auto"/>
              <w:left w:val="single" w:sz="8" w:space="0" w:color="auto"/>
              <w:bottom w:val="single" w:sz="8" w:space="0" w:color="auto"/>
              <w:right w:val="single" w:sz="8" w:space="0" w:color="auto"/>
            </w:tcBorders>
            <w:noWrap/>
            <w:vAlign w:val="bottom"/>
            <w:hideMark/>
          </w:tcPr>
          <w:p w14:paraId="45A095B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685" w:type="dxa"/>
            <w:tcBorders>
              <w:top w:val="single" w:sz="8" w:space="0" w:color="auto"/>
              <w:left w:val="nil"/>
              <w:bottom w:val="single" w:sz="8" w:space="0" w:color="auto"/>
              <w:right w:val="single" w:sz="8" w:space="0" w:color="auto"/>
            </w:tcBorders>
            <w:noWrap/>
            <w:vAlign w:val="bottom"/>
            <w:hideMark/>
          </w:tcPr>
          <w:p w14:paraId="3C9B487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273" w:type="dxa"/>
            <w:tcBorders>
              <w:top w:val="single" w:sz="8" w:space="0" w:color="auto"/>
              <w:left w:val="nil"/>
              <w:bottom w:val="single" w:sz="8" w:space="0" w:color="auto"/>
              <w:right w:val="single" w:sz="8" w:space="0" w:color="auto"/>
            </w:tcBorders>
            <w:noWrap/>
            <w:vAlign w:val="bottom"/>
            <w:hideMark/>
          </w:tcPr>
          <w:p w14:paraId="2C38F58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888,221.75</w:t>
            </w:r>
          </w:p>
        </w:tc>
        <w:tc>
          <w:tcPr>
            <w:tcW w:w="1268" w:type="dxa"/>
            <w:tcBorders>
              <w:top w:val="single" w:sz="8" w:space="0" w:color="auto"/>
              <w:left w:val="nil"/>
              <w:bottom w:val="single" w:sz="8" w:space="0" w:color="auto"/>
              <w:right w:val="single" w:sz="8" w:space="0" w:color="auto"/>
            </w:tcBorders>
            <w:noWrap/>
            <w:vAlign w:val="bottom"/>
            <w:hideMark/>
          </w:tcPr>
          <w:p w14:paraId="202FD0C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787,862.59</w:t>
            </w:r>
          </w:p>
        </w:tc>
        <w:tc>
          <w:tcPr>
            <w:tcW w:w="1418" w:type="dxa"/>
            <w:tcBorders>
              <w:top w:val="single" w:sz="8" w:space="0" w:color="auto"/>
              <w:left w:val="nil"/>
              <w:bottom w:val="single" w:sz="8" w:space="0" w:color="auto"/>
              <w:right w:val="single" w:sz="8" w:space="0" w:color="auto"/>
            </w:tcBorders>
            <w:noWrap/>
            <w:vAlign w:val="bottom"/>
            <w:hideMark/>
          </w:tcPr>
          <w:p w14:paraId="656A080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1,064,211.76</w:t>
            </w:r>
          </w:p>
        </w:tc>
        <w:tc>
          <w:tcPr>
            <w:tcW w:w="1163" w:type="dxa"/>
            <w:tcBorders>
              <w:top w:val="single" w:sz="8" w:space="0" w:color="auto"/>
              <w:left w:val="nil"/>
              <w:bottom w:val="single" w:sz="8" w:space="0" w:color="auto"/>
              <w:right w:val="single" w:sz="8" w:space="0" w:color="auto"/>
            </w:tcBorders>
            <w:noWrap/>
            <w:vAlign w:val="bottom"/>
            <w:hideMark/>
          </w:tcPr>
          <w:p w14:paraId="2FC2362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1,132,559</w:t>
            </w:r>
          </w:p>
        </w:tc>
        <w:tc>
          <w:tcPr>
            <w:tcW w:w="1316" w:type="dxa"/>
            <w:tcBorders>
              <w:top w:val="single" w:sz="8" w:space="0" w:color="auto"/>
              <w:left w:val="nil"/>
              <w:bottom w:val="single" w:sz="8" w:space="0" w:color="auto"/>
              <w:right w:val="single" w:sz="8" w:space="0" w:color="auto"/>
            </w:tcBorders>
            <w:noWrap/>
            <w:vAlign w:val="bottom"/>
            <w:hideMark/>
          </w:tcPr>
          <w:p w14:paraId="48A35E1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1,098,073</w:t>
            </w:r>
          </w:p>
        </w:tc>
        <w:tc>
          <w:tcPr>
            <w:tcW w:w="1316" w:type="dxa"/>
            <w:tcBorders>
              <w:top w:val="single" w:sz="8" w:space="0" w:color="auto"/>
              <w:left w:val="nil"/>
              <w:bottom w:val="single" w:sz="8" w:space="0" w:color="auto"/>
              <w:right w:val="single" w:sz="8" w:space="0" w:color="auto"/>
            </w:tcBorders>
            <w:noWrap/>
            <w:vAlign w:val="bottom"/>
            <w:hideMark/>
          </w:tcPr>
          <w:p w14:paraId="3E5C6FF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1,103,848</w:t>
            </w:r>
          </w:p>
        </w:tc>
        <w:tc>
          <w:tcPr>
            <w:tcW w:w="1316" w:type="dxa"/>
            <w:tcBorders>
              <w:top w:val="single" w:sz="8" w:space="0" w:color="auto"/>
              <w:left w:val="nil"/>
              <w:bottom w:val="single" w:sz="8" w:space="0" w:color="auto"/>
              <w:right w:val="single" w:sz="8" w:space="0" w:color="auto"/>
            </w:tcBorders>
            <w:noWrap/>
            <w:vAlign w:val="bottom"/>
            <w:hideMark/>
          </w:tcPr>
          <w:p w14:paraId="7B41377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1,132,559</w:t>
            </w:r>
          </w:p>
        </w:tc>
        <w:tc>
          <w:tcPr>
            <w:tcW w:w="1316" w:type="dxa"/>
            <w:tcBorders>
              <w:top w:val="single" w:sz="8" w:space="0" w:color="auto"/>
              <w:left w:val="nil"/>
              <w:bottom w:val="single" w:sz="8" w:space="0" w:color="auto"/>
              <w:right w:val="single" w:sz="8" w:space="0" w:color="auto"/>
            </w:tcBorders>
            <w:noWrap/>
            <w:vAlign w:val="bottom"/>
            <w:hideMark/>
          </w:tcPr>
          <w:p w14:paraId="0FFABCE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1,098,073</w:t>
            </w:r>
          </w:p>
        </w:tc>
        <w:tc>
          <w:tcPr>
            <w:tcW w:w="1316" w:type="dxa"/>
            <w:tcBorders>
              <w:top w:val="single" w:sz="8" w:space="0" w:color="auto"/>
              <w:left w:val="nil"/>
              <w:bottom w:val="single" w:sz="8" w:space="0" w:color="auto"/>
              <w:right w:val="single" w:sz="8" w:space="0" w:color="auto"/>
            </w:tcBorders>
            <w:noWrap/>
            <w:vAlign w:val="bottom"/>
            <w:hideMark/>
          </w:tcPr>
          <w:p w14:paraId="212DEBE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1,103,848</w:t>
            </w:r>
          </w:p>
        </w:tc>
      </w:tr>
      <w:tr w:rsidR="00EA0FD7" w:rsidRPr="00EA0FD7" w14:paraId="10028CA4" w14:textId="77777777" w:rsidTr="00EA0FD7">
        <w:trPr>
          <w:trHeight w:val="210"/>
        </w:trPr>
        <w:tc>
          <w:tcPr>
            <w:tcW w:w="1270" w:type="dxa"/>
            <w:tcBorders>
              <w:top w:val="nil"/>
              <w:left w:val="single" w:sz="8" w:space="0" w:color="auto"/>
              <w:bottom w:val="single" w:sz="8" w:space="0" w:color="auto"/>
              <w:right w:val="nil"/>
            </w:tcBorders>
            <w:noWrap/>
            <w:vAlign w:val="bottom"/>
            <w:hideMark/>
          </w:tcPr>
          <w:p w14:paraId="67752F9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685" w:type="dxa"/>
            <w:tcBorders>
              <w:top w:val="nil"/>
              <w:left w:val="nil"/>
              <w:bottom w:val="single" w:sz="8" w:space="0" w:color="auto"/>
              <w:right w:val="nil"/>
            </w:tcBorders>
            <w:noWrap/>
            <w:vAlign w:val="bottom"/>
            <w:hideMark/>
          </w:tcPr>
          <w:p w14:paraId="15AF8B2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73" w:type="dxa"/>
            <w:tcBorders>
              <w:top w:val="nil"/>
              <w:left w:val="nil"/>
              <w:bottom w:val="single" w:sz="8" w:space="0" w:color="auto"/>
              <w:right w:val="nil"/>
            </w:tcBorders>
            <w:noWrap/>
            <w:vAlign w:val="bottom"/>
            <w:hideMark/>
          </w:tcPr>
          <w:p w14:paraId="0A79FBB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68" w:type="dxa"/>
            <w:tcBorders>
              <w:top w:val="nil"/>
              <w:left w:val="nil"/>
              <w:bottom w:val="single" w:sz="8" w:space="0" w:color="auto"/>
              <w:right w:val="nil"/>
            </w:tcBorders>
            <w:noWrap/>
            <w:vAlign w:val="bottom"/>
            <w:hideMark/>
          </w:tcPr>
          <w:p w14:paraId="04BB275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18" w:type="dxa"/>
            <w:tcBorders>
              <w:top w:val="nil"/>
              <w:left w:val="nil"/>
              <w:bottom w:val="single" w:sz="8" w:space="0" w:color="auto"/>
              <w:right w:val="nil"/>
            </w:tcBorders>
            <w:noWrap/>
            <w:vAlign w:val="bottom"/>
            <w:hideMark/>
          </w:tcPr>
          <w:p w14:paraId="1AE1692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63" w:type="dxa"/>
            <w:tcBorders>
              <w:top w:val="nil"/>
              <w:left w:val="nil"/>
              <w:bottom w:val="single" w:sz="8" w:space="0" w:color="auto"/>
              <w:right w:val="nil"/>
            </w:tcBorders>
            <w:noWrap/>
            <w:vAlign w:val="bottom"/>
            <w:hideMark/>
          </w:tcPr>
          <w:p w14:paraId="548D007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4057F7F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09D0F96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30FBC3A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458C8C3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3BED0C6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2944EF91" w14:textId="77777777" w:rsidTr="00EA0FD7">
        <w:trPr>
          <w:trHeight w:val="240"/>
        </w:trPr>
        <w:tc>
          <w:tcPr>
            <w:tcW w:w="1270" w:type="dxa"/>
            <w:tcBorders>
              <w:top w:val="nil"/>
              <w:left w:val="single" w:sz="8" w:space="0" w:color="auto"/>
              <w:bottom w:val="single" w:sz="8" w:space="0" w:color="auto"/>
              <w:right w:val="single" w:sz="8" w:space="0" w:color="auto"/>
            </w:tcBorders>
            <w:noWrap/>
            <w:vAlign w:val="bottom"/>
            <w:hideMark/>
          </w:tcPr>
          <w:p w14:paraId="4CDA174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685" w:type="dxa"/>
            <w:tcBorders>
              <w:top w:val="nil"/>
              <w:left w:val="nil"/>
              <w:bottom w:val="single" w:sz="8" w:space="0" w:color="auto"/>
              <w:right w:val="single" w:sz="8" w:space="0" w:color="auto"/>
            </w:tcBorders>
            <w:noWrap/>
            <w:vAlign w:val="bottom"/>
            <w:hideMark/>
          </w:tcPr>
          <w:p w14:paraId="65BC560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273" w:type="dxa"/>
            <w:tcBorders>
              <w:top w:val="nil"/>
              <w:left w:val="nil"/>
              <w:bottom w:val="single" w:sz="8" w:space="0" w:color="auto"/>
              <w:right w:val="single" w:sz="8" w:space="0" w:color="auto"/>
            </w:tcBorders>
            <w:noWrap/>
            <w:vAlign w:val="bottom"/>
            <w:hideMark/>
          </w:tcPr>
          <w:p w14:paraId="053E780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w:t>
            </w:r>
          </w:p>
        </w:tc>
        <w:tc>
          <w:tcPr>
            <w:tcW w:w="1268" w:type="dxa"/>
            <w:tcBorders>
              <w:top w:val="nil"/>
              <w:left w:val="nil"/>
              <w:bottom w:val="single" w:sz="8" w:space="0" w:color="auto"/>
              <w:right w:val="single" w:sz="8" w:space="0" w:color="auto"/>
            </w:tcBorders>
            <w:noWrap/>
            <w:vAlign w:val="bottom"/>
            <w:hideMark/>
          </w:tcPr>
          <w:p w14:paraId="488FAB0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13</w:t>
            </w:r>
          </w:p>
        </w:tc>
        <w:tc>
          <w:tcPr>
            <w:tcW w:w="1418" w:type="dxa"/>
            <w:tcBorders>
              <w:top w:val="nil"/>
              <w:left w:val="nil"/>
              <w:bottom w:val="single" w:sz="8" w:space="0" w:color="auto"/>
              <w:right w:val="single" w:sz="8" w:space="0" w:color="auto"/>
            </w:tcBorders>
            <w:noWrap/>
            <w:vAlign w:val="bottom"/>
            <w:hideMark/>
          </w:tcPr>
          <w:p w14:paraId="4AA17A3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w:t>
            </w:r>
          </w:p>
        </w:tc>
        <w:tc>
          <w:tcPr>
            <w:tcW w:w="1163" w:type="dxa"/>
            <w:tcBorders>
              <w:top w:val="nil"/>
              <w:left w:val="nil"/>
              <w:bottom w:val="single" w:sz="8" w:space="0" w:color="auto"/>
              <w:right w:val="single" w:sz="8" w:space="0" w:color="auto"/>
            </w:tcBorders>
            <w:noWrap/>
            <w:vAlign w:val="bottom"/>
            <w:hideMark/>
          </w:tcPr>
          <w:p w14:paraId="2FD9A8A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16</w:t>
            </w:r>
          </w:p>
        </w:tc>
        <w:tc>
          <w:tcPr>
            <w:tcW w:w="1316" w:type="dxa"/>
            <w:tcBorders>
              <w:top w:val="nil"/>
              <w:left w:val="nil"/>
              <w:bottom w:val="single" w:sz="8" w:space="0" w:color="auto"/>
              <w:right w:val="single" w:sz="8" w:space="0" w:color="auto"/>
            </w:tcBorders>
            <w:noWrap/>
            <w:vAlign w:val="bottom"/>
            <w:hideMark/>
          </w:tcPr>
          <w:p w14:paraId="4C27FC5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16</w:t>
            </w:r>
          </w:p>
        </w:tc>
        <w:tc>
          <w:tcPr>
            <w:tcW w:w="1316" w:type="dxa"/>
            <w:tcBorders>
              <w:top w:val="nil"/>
              <w:left w:val="nil"/>
              <w:bottom w:val="single" w:sz="8" w:space="0" w:color="auto"/>
              <w:right w:val="single" w:sz="8" w:space="0" w:color="auto"/>
            </w:tcBorders>
            <w:noWrap/>
            <w:vAlign w:val="bottom"/>
            <w:hideMark/>
          </w:tcPr>
          <w:p w14:paraId="350952A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16</w:t>
            </w:r>
          </w:p>
        </w:tc>
        <w:tc>
          <w:tcPr>
            <w:tcW w:w="1316" w:type="dxa"/>
            <w:tcBorders>
              <w:top w:val="nil"/>
              <w:left w:val="nil"/>
              <w:bottom w:val="single" w:sz="8" w:space="0" w:color="auto"/>
              <w:right w:val="single" w:sz="8" w:space="0" w:color="auto"/>
            </w:tcBorders>
            <w:noWrap/>
            <w:vAlign w:val="bottom"/>
            <w:hideMark/>
          </w:tcPr>
          <w:p w14:paraId="41B3B1F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16</w:t>
            </w:r>
          </w:p>
        </w:tc>
        <w:tc>
          <w:tcPr>
            <w:tcW w:w="1316" w:type="dxa"/>
            <w:tcBorders>
              <w:top w:val="nil"/>
              <w:left w:val="nil"/>
              <w:bottom w:val="single" w:sz="8" w:space="0" w:color="auto"/>
              <w:right w:val="single" w:sz="8" w:space="0" w:color="auto"/>
            </w:tcBorders>
            <w:noWrap/>
            <w:vAlign w:val="bottom"/>
            <w:hideMark/>
          </w:tcPr>
          <w:p w14:paraId="25BF5BE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16</w:t>
            </w:r>
          </w:p>
        </w:tc>
        <w:tc>
          <w:tcPr>
            <w:tcW w:w="1316" w:type="dxa"/>
            <w:tcBorders>
              <w:top w:val="nil"/>
              <w:left w:val="nil"/>
              <w:bottom w:val="single" w:sz="8" w:space="0" w:color="auto"/>
              <w:right w:val="single" w:sz="8" w:space="0" w:color="auto"/>
            </w:tcBorders>
            <w:noWrap/>
            <w:vAlign w:val="bottom"/>
            <w:hideMark/>
          </w:tcPr>
          <w:p w14:paraId="39345F9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16</w:t>
            </w:r>
          </w:p>
        </w:tc>
      </w:tr>
    </w:tbl>
    <w:p w14:paraId="54A745DF"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30305EB2"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tbl>
      <w:tblPr>
        <w:tblW w:w="15689" w:type="dxa"/>
        <w:tblInd w:w="108" w:type="dxa"/>
        <w:tblLook w:val="04A0" w:firstRow="1" w:lastRow="0" w:firstColumn="1" w:lastColumn="0" w:noHBand="0" w:noVBand="1"/>
      </w:tblPr>
      <w:tblGrid>
        <w:gridCol w:w="1238"/>
        <w:gridCol w:w="2606"/>
        <w:gridCol w:w="1384"/>
        <w:gridCol w:w="1229"/>
        <w:gridCol w:w="1336"/>
        <w:gridCol w:w="1316"/>
        <w:gridCol w:w="1316"/>
        <w:gridCol w:w="1316"/>
        <w:gridCol w:w="1316"/>
        <w:gridCol w:w="1316"/>
        <w:gridCol w:w="1316"/>
      </w:tblGrid>
      <w:tr w:rsidR="00EA0FD7" w:rsidRPr="00EA0FD7" w14:paraId="1EAC7609" w14:textId="77777777" w:rsidTr="00EA0FD7">
        <w:trPr>
          <w:trHeight w:val="345"/>
        </w:trPr>
        <w:tc>
          <w:tcPr>
            <w:tcW w:w="6457" w:type="dxa"/>
            <w:gridSpan w:val="4"/>
            <w:tcBorders>
              <w:top w:val="nil"/>
              <w:left w:val="nil"/>
              <w:bottom w:val="single" w:sz="8" w:space="0" w:color="auto"/>
              <w:right w:val="nil"/>
            </w:tcBorders>
            <w:noWrap/>
            <w:vAlign w:val="bottom"/>
            <w:hideMark/>
          </w:tcPr>
          <w:p w14:paraId="4AAD8E9B" w14:textId="4C319A89"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31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ОДЈЕЉЕЊЕ ЗА ЕВРОПСКЕ ИНТЕГРАЦИЈЕ И МЕЂУНАРОДНУ САРАДЊУ</w:t>
            </w:r>
          </w:p>
        </w:tc>
        <w:tc>
          <w:tcPr>
            <w:tcW w:w="1336" w:type="dxa"/>
            <w:noWrap/>
            <w:vAlign w:val="bottom"/>
          </w:tcPr>
          <w:p w14:paraId="7F44B622"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0A0C30CA"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10B8615E"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0C7C1E88"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10ABF08C"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2F37D39F"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0BBE4D69"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3D2AF141" w14:textId="77777777" w:rsidTr="00EA0FD7">
        <w:trPr>
          <w:trHeight w:val="300"/>
        </w:trPr>
        <w:tc>
          <w:tcPr>
            <w:tcW w:w="1238" w:type="dxa"/>
            <w:vMerge w:val="restart"/>
            <w:tcBorders>
              <w:top w:val="nil"/>
              <w:left w:val="single" w:sz="8" w:space="0" w:color="auto"/>
              <w:bottom w:val="single" w:sz="8" w:space="0" w:color="000000"/>
              <w:right w:val="single" w:sz="8" w:space="0" w:color="auto"/>
            </w:tcBorders>
            <w:shd w:val="clear" w:color="auto" w:fill="808080"/>
            <w:vAlign w:val="center"/>
            <w:hideMark/>
          </w:tcPr>
          <w:p w14:paraId="5938F648"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606" w:type="dxa"/>
            <w:vMerge w:val="restart"/>
            <w:tcBorders>
              <w:top w:val="nil"/>
              <w:left w:val="single" w:sz="8" w:space="0" w:color="auto"/>
              <w:bottom w:val="single" w:sz="8" w:space="0" w:color="000000"/>
              <w:right w:val="single" w:sz="8" w:space="0" w:color="auto"/>
            </w:tcBorders>
            <w:shd w:val="clear" w:color="auto" w:fill="808080"/>
            <w:vAlign w:val="center"/>
            <w:hideMark/>
          </w:tcPr>
          <w:p w14:paraId="794D1F2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384" w:type="dxa"/>
            <w:vMerge w:val="restart"/>
            <w:tcBorders>
              <w:top w:val="nil"/>
              <w:left w:val="single" w:sz="8" w:space="0" w:color="auto"/>
              <w:bottom w:val="single" w:sz="8" w:space="0" w:color="000000"/>
              <w:right w:val="single" w:sz="8" w:space="0" w:color="auto"/>
            </w:tcBorders>
            <w:shd w:val="clear" w:color="auto" w:fill="808080"/>
            <w:vAlign w:val="center"/>
            <w:hideMark/>
          </w:tcPr>
          <w:p w14:paraId="1EB09301"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229" w:type="dxa"/>
            <w:vMerge w:val="restart"/>
            <w:tcBorders>
              <w:top w:val="nil"/>
              <w:left w:val="single" w:sz="8" w:space="0" w:color="auto"/>
              <w:bottom w:val="single" w:sz="8" w:space="0" w:color="000000"/>
              <w:right w:val="single" w:sz="8" w:space="0" w:color="auto"/>
            </w:tcBorders>
            <w:shd w:val="clear" w:color="auto" w:fill="808080"/>
            <w:vAlign w:val="center"/>
            <w:hideMark/>
          </w:tcPr>
          <w:p w14:paraId="770448A1"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36"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7A633C5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4C0E357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5825CCB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15563C4A"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76189D"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549B1C3F"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5D97753A"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167911D5"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DADD11A"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tcBorders>
              <w:top w:val="nil"/>
              <w:left w:val="nil"/>
              <w:bottom w:val="single" w:sz="8" w:space="0" w:color="auto"/>
              <w:right w:val="single" w:sz="4" w:space="0" w:color="auto"/>
            </w:tcBorders>
            <w:shd w:val="clear" w:color="auto" w:fill="808080"/>
            <w:noWrap/>
            <w:vAlign w:val="center"/>
            <w:hideMark/>
          </w:tcPr>
          <w:p w14:paraId="503B992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19703F2C"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02343D1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tcBorders>
              <w:top w:val="nil"/>
              <w:left w:val="nil"/>
              <w:bottom w:val="single" w:sz="8" w:space="0" w:color="auto"/>
              <w:right w:val="single" w:sz="4" w:space="0" w:color="auto"/>
            </w:tcBorders>
            <w:shd w:val="clear" w:color="auto" w:fill="808080"/>
            <w:noWrap/>
            <w:vAlign w:val="center"/>
            <w:hideMark/>
          </w:tcPr>
          <w:p w14:paraId="2917BD5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0EC6CE3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7BE18272"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39671098" w14:textId="77777777" w:rsidTr="00EA0FD7">
        <w:trPr>
          <w:trHeight w:val="240"/>
        </w:trPr>
        <w:tc>
          <w:tcPr>
            <w:tcW w:w="1238" w:type="dxa"/>
            <w:tcBorders>
              <w:top w:val="single" w:sz="4" w:space="0" w:color="auto"/>
              <w:left w:val="single" w:sz="8" w:space="0" w:color="auto"/>
              <w:bottom w:val="single" w:sz="4" w:space="0" w:color="auto"/>
              <w:right w:val="single" w:sz="4" w:space="0" w:color="auto"/>
            </w:tcBorders>
            <w:noWrap/>
            <w:vAlign w:val="bottom"/>
            <w:hideMark/>
          </w:tcPr>
          <w:p w14:paraId="2853938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606" w:type="dxa"/>
            <w:tcBorders>
              <w:top w:val="nil"/>
              <w:left w:val="nil"/>
              <w:bottom w:val="single" w:sz="4" w:space="0" w:color="auto"/>
              <w:right w:val="single" w:sz="4" w:space="0" w:color="auto"/>
            </w:tcBorders>
            <w:noWrap/>
            <w:vAlign w:val="bottom"/>
            <w:hideMark/>
          </w:tcPr>
          <w:p w14:paraId="294EDE0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384" w:type="dxa"/>
            <w:tcBorders>
              <w:top w:val="single" w:sz="4" w:space="0" w:color="auto"/>
              <w:left w:val="nil"/>
              <w:bottom w:val="single" w:sz="4" w:space="0" w:color="auto"/>
              <w:right w:val="single" w:sz="4" w:space="0" w:color="auto"/>
            </w:tcBorders>
            <w:noWrap/>
            <w:vAlign w:val="bottom"/>
            <w:hideMark/>
          </w:tcPr>
          <w:p w14:paraId="51A7CF4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29" w:type="dxa"/>
            <w:tcBorders>
              <w:top w:val="single" w:sz="4" w:space="0" w:color="auto"/>
              <w:left w:val="nil"/>
              <w:bottom w:val="single" w:sz="4" w:space="0" w:color="auto"/>
              <w:right w:val="single" w:sz="4" w:space="0" w:color="auto"/>
            </w:tcBorders>
            <w:noWrap/>
            <w:vAlign w:val="bottom"/>
            <w:hideMark/>
          </w:tcPr>
          <w:p w14:paraId="2DC723B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tcBorders>
              <w:top w:val="single" w:sz="4" w:space="0" w:color="auto"/>
              <w:left w:val="nil"/>
              <w:bottom w:val="single" w:sz="4" w:space="0" w:color="auto"/>
              <w:right w:val="single" w:sz="4" w:space="0" w:color="auto"/>
            </w:tcBorders>
            <w:noWrap/>
            <w:vAlign w:val="bottom"/>
            <w:hideMark/>
          </w:tcPr>
          <w:p w14:paraId="4BB11BC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6483C9B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2EDEF15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39DE3BE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1DABD7F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6489058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8" w:space="0" w:color="auto"/>
            </w:tcBorders>
            <w:noWrap/>
            <w:vAlign w:val="bottom"/>
            <w:hideMark/>
          </w:tcPr>
          <w:p w14:paraId="77A6145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489BFCAF" w14:textId="77777777" w:rsidTr="00EA0FD7">
        <w:trPr>
          <w:trHeight w:val="480"/>
        </w:trPr>
        <w:tc>
          <w:tcPr>
            <w:tcW w:w="1238" w:type="dxa"/>
            <w:tcBorders>
              <w:top w:val="nil"/>
              <w:left w:val="single" w:sz="8" w:space="0" w:color="auto"/>
              <w:bottom w:val="single" w:sz="4" w:space="0" w:color="auto"/>
              <w:right w:val="single" w:sz="4" w:space="0" w:color="auto"/>
            </w:tcBorders>
            <w:vAlign w:val="bottom"/>
            <w:hideMark/>
          </w:tcPr>
          <w:p w14:paraId="41F459A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611100</w:t>
            </w:r>
            <w:r w:rsidRPr="00EA0FD7">
              <w:rPr>
                <w:rFonts w:ascii="Arial" w:eastAsia="Times New Roman" w:hAnsi="Arial" w:cs="Arial"/>
                <w:sz w:val="17"/>
                <w:szCs w:val="17"/>
                <w:lang w:val="sr-Cyrl-RS"/>
              </w:rPr>
              <w:br/>
              <w:t>612100</w:t>
            </w:r>
          </w:p>
        </w:tc>
        <w:tc>
          <w:tcPr>
            <w:tcW w:w="2606" w:type="dxa"/>
            <w:tcBorders>
              <w:top w:val="nil"/>
              <w:left w:val="nil"/>
              <w:bottom w:val="single" w:sz="4" w:space="0" w:color="auto"/>
              <w:right w:val="single" w:sz="4" w:space="0" w:color="auto"/>
            </w:tcBorders>
            <w:vAlign w:val="bottom"/>
            <w:hideMark/>
          </w:tcPr>
          <w:p w14:paraId="56214678"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Бруто плате и доприноси послодавца</w:t>
            </w:r>
          </w:p>
        </w:tc>
        <w:tc>
          <w:tcPr>
            <w:tcW w:w="1384" w:type="dxa"/>
            <w:tcBorders>
              <w:top w:val="nil"/>
              <w:left w:val="nil"/>
              <w:bottom w:val="single" w:sz="4" w:space="0" w:color="auto"/>
              <w:right w:val="single" w:sz="4" w:space="0" w:color="auto"/>
            </w:tcBorders>
            <w:noWrap/>
            <w:vAlign w:val="bottom"/>
            <w:hideMark/>
          </w:tcPr>
          <w:p w14:paraId="559956C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746,493.64</w:t>
            </w:r>
          </w:p>
        </w:tc>
        <w:tc>
          <w:tcPr>
            <w:tcW w:w="1229" w:type="dxa"/>
            <w:tcBorders>
              <w:top w:val="nil"/>
              <w:left w:val="nil"/>
              <w:bottom w:val="single" w:sz="4" w:space="0" w:color="auto"/>
              <w:right w:val="single" w:sz="4" w:space="0" w:color="auto"/>
            </w:tcBorders>
            <w:noWrap/>
            <w:vAlign w:val="bottom"/>
            <w:hideMark/>
          </w:tcPr>
          <w:p w14:paraId="76A269A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723,351.09</w:t>
            </w:r>
          </w:p>
        </w:tc>
        <w:tc>
          <w:tcPr>
            <w:tcW w:w="1336" w:type="dxa"/>
            <w:tcBorders>
              <w:top w:val="nil"/>
              <w:left w:val="nil"/>
              <w:bottom w:val="single" w:sz="4" w:space="0" w:color="auto"/>
              <w:right w:val="single" w:sz="4" w:space="0" w:color="auto"/>
            </w:tcBorders>
            <w:noWrap/>
            <w:vAlign w:val="bottom"/>
            <w:hideMark/>
          </w:tcPr>
          <w:p w14:paraId="4FBB29D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753,062.63</w:t>
            </w:r>
          </w:p>
        </w:tc>
        <w:tc>
          <w:tcPr>
            <w:tcW w:w="1316" w:type="dxa"/>
            <w:tcBorders>
              <w:top w:val="nil"/>
              <w:left w:val="nil"/>
              <w:bottom w:val="single" w:sz="4" w:space="0" w:color="auto"/>
              <w:right w:val="single" w:sz="4" w:space="0" w:color="auto"/>
            </w:tcBorders>
            <w:noWrap/>
            <w:vAlign w:val="bottom"/>
            <w:hideMark/>
          </w:tcPr>
          <w:p w14:paraId="5A40192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754,321</w:t>
            </w:r>
          </w:p>
        </w:tc>
        <w:tc>
          <w:tcPr>
            <w:tcW w:w="1316" w:type="dxa"/>
            <w:tcBorders>
              <w:top w:val="nil"/>
              <w:left w:val="nil"/>
              <w:bottom w:val="single" w:sz="4" w:space="0" w:color="auto"/>
              <w:right w:val="single" w:sz="4" w:space="0" w:color="auto"/>
            </w:tcBorders>
            <w:noWrap/>
            <w:vAlign w:val="bottom"/>
            <w:hideMark/>
          </w:tcPr>
          <w:p w14:paraId="6811F26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756,535</w:t>
            </w:r>
          </w:p>
        </w:tc>
        <w:tc>
          <w:tcPr>
            <w:tcW w:w="1316" w:type="dxa"/>
            <w:tcBorders>
              <w:top w:val="nil"/>
              <w:left w:val="nil"/>
              <w:bottom w:val="single" w:sz="4" w:space="0" w:color="auto"/>
              <w:right w:val="single" w:sz="4" w:space="0" w:color="auto"/>
            </w:tcBorders>
            <w:noWrap/>
            <w:vAlign w:val="bottom"/>
            <w:hideMark/>
          </w:tcPr>
          <w:p w14:paraId="138CBE8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758,749</w:t>
            </w:r>
          </w:p>
        </w:tc>
        <w:tc>
          <w:tcPr>
            <w:tcW w:w="1316" w:type="dxa"/>
            <w:tcBorders>
              <w:top w:val="nil"/>
              <w:left w:val="nil"/>
              <w:bottom w:val="single" w:sz="4" w:space="0" w:color="auto"/>
              <w:right w:val="single" w:sz="4" w:space="0" w:color="auto"/>
            </w:tcBorders>
            <w:noWrap/>
            <w:vAlign w:val="bottom"/>
            <w:hideMark/>
          </w:tcPr>
          <w:p w14:paraId="1975C62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754,321</w:t>
            </w:r>
          </w:p>
        </w:tc>
        <w:tc>
          <w:tcPr>
            <w:tcW w:w="1316" w:type="dxa"/>
            <w:tcBorders>
              <w:top w:val="nil"/>
              <w:left w:val="nil"/>
              <w:bottom w:val="single" w:sz="4" w:space="0" w:color="auto"/>
              <w:right w:val="single" w:sz="4" w:space="0" w:color="auto"/>
            </w:tcBorders>
            <w:noWrap/>
            <w:vAlign w:val="bottom"/>
            <w:hideMark/>
          </w:tcPr>
          <w:p w14:paraId="563F140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756,535</w:t>
            </w:r>
          </w:p>
        </w:tc>
        <w:tc>
          <w:tcPr>
            <w:tcW w:w="1316" w:type="dxa"/>
            <w:tcBorders>
              <w:top w:val="nil"/>
              <w:left w:val="nil"/>
              <w:bottom w:val="single" w:sz="4" w:space="0" w:color="auto"/>
              <w:right w:val="single" w:sz="4" w:space="0" w:color="auto"/>
            </w:tcBorders>
            <w:noWrap/>
            <w:vAlign w:val="bottom"/>
            <w:hideMark/>
          </w:tcPr>
          <w:p w14:paraId="4CF0AFF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758,749</w:t>
            </w:r>
          </w:p>
        </w:tc>
      </w:tr>
      <w:tr w:rsidR="00EA0FD7" w:rsidRPr="00EA0FD7" w14:paraId="0DC42A32" w14:textId="77777777" w:rsidTr="00EA0FD7">
        <w:trPr>
          <w:trHeight w:val="240"/>
        </w:trPr>
        <w:tc>
          <w:tcPr>
            <w:tcW w:w="1238" w:type="dxa"/>
            <w:tcBorders>
              <w:top w:val="nil"/>
              <w:left w:val="single" w:sz="8" w:space="0" w:color="auto"/>
              <w:bottom w:val="single" w:sz="4" w:space="0" w:color="auto"/>
              <w:right w:val="single" w:sz="4" w:space="0" w:color="auto"/>
            </w:tcBorders>
            <w:noWrap/>
            <w:vAlign w:val="bottom"/>
            <w:hideMark/>
          </w:tcPr>
          <w:p w14:paraId="2339B0E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611200</w:t>
            </w:r>
          </w:p>
        </w:tc>
        <w:tc>
          <w:tcPr>
            <w:tcW w:w="2606" w:type="dxa"/>
            <w:tcBorders>
              <w:top w:val="nil"/>
              <w:left w:val="nil"/>
              <w:bottom w:val="single" w:sz="4" w:space="0" w:color="auto"/>
              <w:right w:val="single" w:sz="4" w:space="0" w:color="auto"/>
            </w:tcBorders>
            <w:vAlign w:val="bottom"/>
            <w:hideMark/>
          </w:tcPr>
          <w:p w14:paraId="7743390B"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Накнаде трошкова запослених</w:t>
            </w:r>
          </w:p>
        </w:tc>
        <w:tc>
          <w:tcPr>
            <w:tcW w:w="1384" w:type="dxa"/>
            <w:tcBorders>
              <w:top w:val="nil"/>
              <w:left w:val="nil"/>
              <w:bottom w:val="single" w:sz="4" w:space="0" w:color="auto"/>
              <w:right w:val="single" w:sz="4" w:space="0" w:color="auto"/>
            </w:tcBorders>
            <w:noWrap/>
            <w:vAlign w:val="bottom"/>
            <w:hideMark/>
          </w:tcPr>
          <w:p w14:paraId="68F0599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18,453.00</w:t>
            </w:r>
          </w:p>
        </w:tc>
        <w:tc>
          <w:tcPr>
            <w:tcW w:w="1229" w:type="dxa"/>
            <w:tcBorders>
              <w:top w:val="nil"/>
              <w:left w:val="nil"/>
              <w:bottom w:val="single" w:sz="4" w:space="0" w:color="auto"/>
              <w:right w:val="single" w:sz="4" w:space="0" w:color="auto"/>
            </w:tcBorders>
            <w:noWrap/>
            <w:vAlign w:val="bottom"/>
            <w:hideMark/>
          </w:tcPr>
          <w:p w14:paraId="67AB281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6,948.40</w:t>
            </w:r>
          </w:p>
        </w:tc>
        <w:tc>
          <w:tcPr>
            <w:tcW w:w="1336" w:type="dxa"/>
            <w:tcBorders>
              <w:top w:val="nil"/>
              <w:left w:val="nil"/>
              <w:bottom w:val="single" w:sz="4" w:space="0" w:color="auto"/>
              <w:right w:val="single" w:sz="4" w:space="0" w:color="auto"/>
            </w:tcBorders>
            <w:noWrap/>
            <w:vAlign w:val="bottom"/>
            <w:hideMark/>
          </w:tcPr>
          <w:p w14:paraId="2C2CDEF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38,620.00</w:t>
            </w:r>
          </w:p>
        </w:tc>
        <w:tc>
          <w:tcPr>
            <w:tcW w:w="1316" w:type="dxa"/>
            <w:tcBorders>
              <w:top w:val="nil"/>
              <w:left w:val="nil"/>
              <w:bottom w:val="single" w:sz="4" w:space="0" w:color="auto"/>
              <w:right w:val="single" w:sz="4" w:space="0" w:color="auto"/>
            </w:tcBorders>
            <w:noWrap/>
            <w:vAlign w:val="bottom"/>
            <w:hideMark/>
          </w:tcPr>
          <w:p w14:paraId="50721B1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38,620</w:t>
            </w:r>
          </w:p>
        </w:tc>
        <w:tc>
          <w:tcPr>
            <w:tcW w:w="1316" w:type="dxa"/>
            <w:tcBorders>
              <w:top w:val="nil"/>
              <w:left w:val="nil"/>
              <w:bottom w:val="single" w:sz="4" w:space="0" w:color="auto"/>
              <w:right w:val="single" w:sz="4" w:space="0" w:color="auto"/>
            </w:tcBorders>
            <w:noWrap/>
            <w:vAlign w:val="bottom"/>
            <w:hideMark/>
          </w:tcPr>
          <w:p w14:paraId="44873DF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38,620</w:t>
            </w:r>
          </w:p>
        </w:tc>
        <w:tc>
          <w:tcPr>
            <w:tcW w:w="1316" w:type="dxa"/>
            <w:tcBorders>
              <w:top w:val="nil"/>
              <w:left w:val="nil"/>
              <w:bottom w:val="single" w:sz="4" w:space="0" w:color="auto"/>
              <w:right w:val="single" w:sz="4" w:space="0" w:color="auto"/>
            </w:tcBorders>
            <w:noWrap/>
            <w:vAlign w:val="bottom"/>
            <w:hideMark/>
          </w:tcPr>
          <w:p w14:paraId="136208E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38,620</w:t>
            </w:r>
          </w:p>
        </w:tc>
        <w:tc>
          <w:tcPr>
            <w:tcW w:w="1316" w:type="dxa"/>
            <w:tcBorders>
              <w:top w:val="nil"/>
              <w:left w:val="nil"/>
              <w:bottom w:val="single" w:sz="4" w:space="0" w:color="auto"/>
              <w:right w:val="single" w:sz="4" w:space="0" w:color="auto"/>
            </w:tcBorders>
            <w:noWrap/>
            <w:vAlign w:val="bottom"/>
            <w:hideMark/>
          </w:tcPr>
          <w:p w14:paraId="32FD22C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38,620</w:t>
            </w:r>
          </w:p>
        </w:tc>
        <w:tc>
          <w:tcPr>
            <w:tcW w:w="1316" w:type="dxa"/>
            <w:tcBorders>
              <w:top w:val="nil"/>
              <w:left w:val="nil"/>
              <w:bottom w:val="single" w:sz="4" w:space="0" w:color="auto"/>
              <w:right w:val="single" w:sz="4" w:space="0" w:color="auto"/>
            </w:tcBorders>
            <w:noWrap/>
            <w:vAlign w:val="bottom"/>
            <w:hideMark/>
          </w:tcPr>
          <w:p w14:paraId="342CB68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38,620</w:t>
            </w:r>
          </w:p>
        </w:tc>
        <w:tc>
          <w:tcPr>
            <w:tcW w:w="1316" w:type="dxa"/>
            <w:tcBorders>
              <w:top w:val="nil"/>
              <w:left w:val="nil"/>
              <w:bottom w:val="single" w:sz="4" w:space="0" w:color="auto"/>
              <w:right w:val="single" w:sz="4" w:space="0" w:color="auto"/>
            </w:tcBorders>
            <w:noWrap/>
            <w:vAlign w:val="bottom"/>
            <w:hideMark/>
          </w:tcPr>
          <w:p w14:paraId="3262A79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38,620</w:t>
            </w:r>
          </w:p>
        </w:tc>
      </w:tr>
      <w:tr w:rsidR="00EA0FD7" w:rsidRPr="00EA0FD7" w14:paraId="1B81BEC6" w14:textId="77777777" w:rsidTr="00EA0FD7">
        <w:trPr>
          <w:trHeight w:val="480"/>
        </w:trPr>
        <w:tc>
          <w:tcPr>
            <w:tcW w:w="1238" w:type="dxa"/>
            <w:tcBorders>
              <w:top w:val="nil"/>
              <w:left w:val="single" w:sz="8" w:space="0" w:color="auto"/>
              <w:bottom w:val="single" w:sz="4" w:space="0" w:color="auto"/>
              <w:right w:val="single" w:sz="4" w:space="0" w:color="auto"/>
            </w:tcBorders>
            <w:noWrap/>
            <w:vAlign w:val="bottom"/>
            <w:hideMark/>
          </w:tcPr>
          <w:p w14:paraId="3993679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613000</w:t>
            </w:r>
          </w:p>
        </w:tc>
        <w:tc>
          <w:tcPr>
            <w:tcW w:w="2606" w:type="dxa"/>
            <w:tcBorders>
              <w:top w:val="nil"/>
              <w:left w:val="nil"/>
              <w:bottom w:val="single" w:sz="4" w:space="0" w:color="auto"/>
              <w:right w:val="single" w:sz="4" w:space="0" w:color="auto"/>
            </w:tcBorders>
            <w:vAlign w:val="bottom"/>
            <w:hideMark/>
          </w:tcPr>
          <w:p w14:paraId="66F96112"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материјал, робе, ситан инвентар и услуге</w:t>
            </w:r>
          </w:p>
        </w:tc>
        <w:tc>
          <w:tcPr>
            <w:tcW w:w="1384" w:type="dxa"/>
            <w:tcBorders>
              <w:top w:val="nil"/>
              <w:left w:val="nil"/>
              <w:bottom w:val="single" w:sz="4" w:space="0" w:color="auto"/>
              <w:right w:val="single" w:sz="4" w:space="0" w:color="auto"/>
            </w:tcBorders>
            <w:noWrap/>
            <w:vAlign w:val="bottom"/>
            <w:hideMark/>
          </w:tcPr>
          <w:p w14:paraId="080DD43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185,389.00</w:t>
            </w:r>
          </w:p>
        </w:tc>
        <w:tc>
          <w:tcPr>
            <w:tcW w:w="1229" w:type="dxa"/>
            <w:tcBorders>
              <w:top w:val="nil"/>
              <w:left w:val="nil"/>
              <w:bottom w:val="single" w:sz="4" w:space="0" w:color="auto"/>
              <w:right w:val="single" w:sz="4" w:space="0" w:color="auto"/>
            </w:tcBorders>
            <w:noWrap/>
            <w:vAlign w:val="bottom"/>
            <w:hideMark/>
          </w:tcPr>
          <w:p w14:paraId="15942D2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139,012.21</w:t>
            </w:r>
          </w:p>
        </w:tc>
        <w:tc>
          <w:tcPr>
            <w:tcW w:w="1336" w:type="dxa"/>
            <w:tcBorders>
              <w:top w:val="nil"/>
              <w:left w:val="nil"/>
              <w:bottom w:val="single" w:sz="4" w:space="0" w:color="auto"/>
              <w:right w:val="single" w:sz="4" w:space="0" w:color="auto"/>
            </w:tcBorders>
            <w:noWrap/>
            <w:vAlign w:val="bottom"/>
            <w:hideMark/>
          </w:tcPr>
          <w:p w14:paraId="7095412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247,401.00</w:t>
            </w:r>
          </w:p>
        </w:tc>
        <w:tc>
          <w:tcPr>
            <w:tcW w:w="1316" w:type="dxa"/>
            <w:tcBorders>
              <w:top w:val="nil"/>
              <w:left w:val="nil"/>
              <w:bottom w:val="single" w:sz="4" w:space="0" w:color="auto"/>
              <w:right w:val="single" w:sz="4" w:space="0" w:color="auto"/>
            </w:tcBorders>
            <w:noWrap/>
            <w:vAlign w:val="bottom"/>
            <w:hideMark/>
          </w:tcPr>
          <w:p w14:paraId="28F25FE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204,012</w:t>
            </w:r>
          </w:p>
        </w:tc>
        <w:tc>
          <w:tcPr>
            <w:tcW w:w="1316" w:type="dxa"/>
            <w:tcBorders>
              <w:top w:val="nil"/>
              <w:left w:val="nil"/>
              <w:bottom w:val="single" w:sz="4" w:space="0" w:color="auto"/>
              <w:right w:val="single" w:sz="4" w:space="0" w:color="auto"/>
            </w:tcBorders>
            <w:noWrap/>
            <w:vAlign w:val="bottom"/>
            <w:hideMark/>
          </w:tcPr>
          <w:p w14:paraId="7555BA7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204,012</w:t>
            </w:r>
          </w:p>
        </w:tc>
        <w:tc>
          <w:tcPr>
            <w:tcW w:w="1316" w:type="dxa"/>
            <w:tcBorders>
              <w:top w:val="nil"/>
              <w:left w:val="nil"/>
              <w:bottom w:val="single" w:sz="4" w:space="0" w:color="auto"/>
              <w:right w:val="single" w:sz="4" w:space="0" w:color="auto"/>
            </w:tcBorders>
            <w:noWrap/>
            <w:vAlign w:val="bottom"/>
            <w:hideMark/>
          </w:tcPr>
          <w:p w14:paraId="74DF651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204,012</w:t>
            </w:r>
          </w:p>
        </w:tc>
        <w:tc>
          <w:tcPr>
            <w:tcW w:w="1316" w:type="dxa"/>
            <w:tcBorders>
              <w:top w:val="nil"/>
              <w:left w:val="nil"/>
              <w:bottom w:val="single" w:sz="4" w:space="0" w:color="auto"/>
              <w:right w:val="single" w:sz="4" w:space="0" w:color="auto"/>
            </w:tcBorders>
            <w:noWrap/>
            <w:vAlign w:val="bottom"/>
            <w:hideMark/>
          </w:tcPr>
          <w:p w14:paraId="3936C30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204,012</w:t>
            </w:r>
          </w:p>
        </w:tc>
        <w:tc>
          <w:tcPr>
            <w:tcW w:w="1316" w:type="dxa"/>
            <w:tcBorders>
              <w:top w:val="nil"/>
              <w:left w:val="nil"/>
              <w:bottom w:val="single" w:sz="4" w:space="0" w:color="auto"/>
              <w:right w:val="single" w:sz="4" w:space="0" w:color="auto"/>
            </w:tcBorders>
            <w:noWrap/>
            <w:vAlign w:val="bottom"/>
            <w:hideMark/>
          </w:tcPr>
          <w:p w14:paraId="04E3E37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204,012</w:t>
            </w:r>
          </w:p>
        </w:tc>
        <w:tc>
          <w:tcPr>
            <w:tcW w:w="1316" w:type="dxa"/>
            <w:tcBorders>
              <w:top w:val="nil"/>
              <w:left w:val="nil"/>
              <w:bottom w:val="single" w:sz="4" w:space="0" w:color="auto"/>
              <w:right w:val="single" w:sz="4" w:space="0" w:color="auto"/>
            </w:tcBorders>
            <w:noWrap/>
            <w:vAlign w:val="bottom"/>
            <w:hideMark/>
          </w:tcPr>
          <w:p w14:paraId="359B225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204,012</w:t>
            </w:r>
          </w:p>
        </w:tc>
      </w:tr>
      <w:tr w:rsidR="00EA0FD7" w:rsidRPr="00EA0FD7" w14:paraId="3A373BAA" w14:textId="77777777" w:rsidTr="00EA0FD7">
        <w:trPr>
          <w:trHeight w:val="480"/>
        </w:trPr>
        <w:tc>
          <w:tcPr>
            <w:tcW w:w="1238" w:type="dxa"/>
            <w:tcBorders>
              <w:top w:val="nil"/>
              <w:left w:val="single" w:sz="8" w:space="0" w:color="auto"/>
              <w:bottom w:val="single" w:sz="4" w:space="0" w:color="auto"/>
              <w:right w:val="single" w:sz="4" w:space="0" w:color="auto"/>
            </w:tcBorders>
            <w:vAlign w:val="bottom"/>
            <w:hideMark/>
          </w:tcPr>
          <w:p w14:paraId="5B8070D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614000</w:t>
            </w:r>
          </w:p>
        </w:tc>
        <w:tc>
          <w:tcPr>
            <w:tcW w:w="2606" w:type="dxa"/>
            <w:tcBorders>
              <w:top w:val="nil"/>
              <w:left w:val="nil"/>
              <w:bottom w:val="single" w:sz="4" w:space="0" w:color="auto"/>
              <w:right w:val="single" w:sz="4" w:space="0" w:color="auto"/>
            </w:tcBorders>
            <w:vAlign w:val="bottom"/>
            <w:hideMark/>
          </w:tcPr>
          <w:p w14:paraId="6976E4AA"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Текући трансфери, донације и субвенције</w:t>
            </w:r>
          </w:p>
        </w:tc>
        <w:tc>
          <w:tcPr>
            <w:tcW w:w="1384" w:type="dxa"/>
            <w:tcBorders>
              <w:top w:val="nil"/>
              <w:left w:val="nil"/>
              <w:bottom w:val="single" w:sz="4" w:space="0" w:color="auto"/>
              <w:right w:val="single" w:sz="4" w:space="0" w:color="auto"/>
            </w:tcBorders>
            <w:noWrap/>
            <w:vAlign w:val="bottom"/>
            <w:hideMark/>
          </w:tcPr>
          <w:p w14:paraId="112F3CC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80,000.00</w:t>
            </w:r>
          </w:p>
        </w:tc>
        <w:tc>
          <w:tcPr>
            <w:tcW w:w="1229" w:type="dxa"/>
            <w:tcBorders>
              <w:top w:val="nil"/>
              <w:left w:val="nil"/>
              <w:bottom w:val="single" w:sz="4" w:space="0" w:color="auto"/>
              <w:right w:val="single" w:sz="4" w:space="0" w:color="auto"/>
            </w:tcBorders>
            <w:noWrap/>
            <w:vAlign w:val="bottom"/>
            <w:hideMark/>
          </w:tcPr>
          <w:p w14:paraId="5C3C65A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46,801.50</w:t>
            </w:r>
          </w:p>
        </w:tc>
        <w:tc>
          <w:tcPr>
            <w:tcW w:w="1336" w:type="dxa"/>
            <w:tcBorders>
              <w:top w:val="nil"/>
              <w:left w:val="nil"/>
              <w:bottom w:val="single" w:sz="4" w:space="0" w:color="auto"/>
              <w:right w:val="single" w:sz="4" w:space="0" w:color="auto"/>
            </w:tcBorders>
            <w:noWrap/>
            <w:vAlign w:val="bottom"/>
            <w:hideMark/>
          </w:tcPr>
          <w:p w14:paraId="1414A81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94,000.00</w:t>
            </w:r>
          </w:p>
        </w:tc>
        <w:tc>
          <w:tcPr>
            <w:tcW w:w="1316" w:type="dxa"/>
            <w:tcBorders>
              <w:top w:val="nil"/>
              <w:left w:val="nil"/>
              <w:bottom w:val="single" w:sz="4" w:space="0" w:color="auto"/>
              <w:right w:val="single" w:sz="4" w:space="0" w:color="auto"/>
            </w:tcBorders>
            <w:noWrap/>
            <w:vAlign w:val="bottom"/>
            <w:hideMark/>
          </w:tcPr>
          <w:p w14:paraId="778032F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150,000</w:t>
            </w:r>
          </w:p>
        </w:tc>
        <w:tc>
          <w:tcPr>
            <w:tcW w:w="1316" w:type="dxa"/>
            <w:tcBorders>
              <w:top w:val="nil"/>
              <w:left w:val="nil"/>
              <w:bottom w:val="single" w:sz="4" w:space="0" w:color="auto"/>
              <w:right w:val="single" w:sz="4" w:space="0" w:color="auto"/>
            </w:tcBorders>
            <w:noWrap/>
            <w:vAlign w:val="bottom"/>
            <w:hideMark/>
          </w:tcPr>
          <w:p w14:paraId="0C30470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150,000</w:t>
            </w:r>
          </w:p>
        </w:tc>
        <w:tc>
          <w:tcPr>
            <w:tcW w:w="1316" w:type="dxa"/>
            <w:tcBorders>
              <w:top w:val="nil"/>
              <w:left w:val="nil"/>
              <w:bottom w:val="single" w:sz="4" w:space="0" w:color="auto"/>
              <w:right w:val="single" w:sz="4" w:space="0" w:color="auto"/>
            </w:tcBorders>
            <w:noWrap/>
            <w:vAlign w:val="bottom"/>
            <w:hideMark/>
          </w:tcPr>
          <w:p w14:paraId="3321F05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150,000</w:t>
            </w:r>
          </w:p>
        </w:tc>
        <w:tc>
          <w:tcPr>
            <w:tcW w:w="1316" w:type="dxa"/>
            <w:tcBorders>
              <w:top w:val="nil"/>
              <w:left w:val="nil"/>
              <w:bottom w:val="single" w:sz="4" w:space="0" w:color="auto"/>
              <w:right w:val="single" w:sz="4" w:space="0" w:color="auto"/>
            </w:tcBorders>
            <w:noWrap/>
            <w:vAlign w:val="bottom"/>
            <w:hideMark/>
          </w:tcPr>
          <w:p w14:paraId="380D61A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150,000</w:t>
            </w:r>
          </w:p>
        </w:tc>
        <w:tc>
          <w:tcPr>
            <w:tcW w:w="1316" w:type="dxa"/>
            <w:tcBorders>
              <w:top w:val="nil"/>
              <w:left w:val="nil"/>
              <w:bottom w:val="single" w:sz="4" w:space="0" w:color="auto"/>
              <w:right w:val="single" w:sz="4" w:space="0" w:color="auto"/>
            </w:tcBorders>
            <w:noWrap/>
            <w:vAlign w:val="bottom"/>
            <w:hideMark/>
          </w:tcPr>
          <w:p w14:paraId="7467A0F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150,000</w:t>
            </w:r>
          </w:p>
        </w:tc>
        <w:tc>
          <w:tcPr>
            <w:tcW w:w="1316" w:type="dxa"/>
            <w:tcBorders>
              <w:top w:val="nil"/>
              <w:left w:val="nil"/>
              <w:bottom w:val="single" w:sz="4" w:space="0" w:color="auto"/>
              <w:right w:val="single" w:sz="4" w:space="0" w:color="auto"/>
            </w:tcBorders>
            <w:noWrap/>
            <w:vAlign w:val="bottom"/>
            <w:hideMark/>
          </w:tcPr>
          <w:p w14:paraId="46976CD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150,000</w:t>
            </w:r>
          </w:p>
        </w:tc>
      </w:tr>
      <w:tr w:rsidR="00EA0FD7" w:rsidRPr="00EA0FD7" w14:paraId="07C4336E" w14:textId="77777777" w:rsidTr="00EA0FD7">
        <w:trPr>
          <w:trHeight w:val="240"/>
        </w:trPr>
        <w:tc>
          <w:tcPr>
            <w:tcW w:w="1238" w:type="dxa"/>
            <w:tcBorders>
              <w:top w:val="nil"/>
              <w:left w:val="single" w:sz="8" w:space="0" w:color="auto"/>
              <w:bottom w:val="nil"/>
              <w:right w:val="single" w:sz="4" w:space="0" w:color="auto"/>
            </w:tcBorders>
            <w:vAlign w:val="bottom"/>
            <w:hideMark/>
          </w:tcPr>
          <w:p w14:paraId="73F8AE2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615000</w:t>
            </w:r>
          </w:p>
        </w:tc>
        <w:tc>
          <w:tcPr>
            <w:tcW w:w="2606" w:type="dxa"/>
            <w:tcBorders>
              <w:top w:val="nil"/>
              <w:left w:val="nil"/>
              <w:bottom w:val="nil"/>
              <w:right w:val="single" w:sz="4" w:space="0" w:color="auto"/>
            </w:tcBorders>
            <w:vAlign w:val="bottom"/>
            <w:hideMark/>
          </w:tcPr>
          <w:p w14:paraId="263D7C90"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Капитални трансфери и донације</w:t>
            </w:r>
          </w:p>
        </w:tc>
        <w:tc>
          <w:tcPr>
            <w:tcW w:w="1384" w:type="dxa"/>
            <w:tcBorders>
              <w:top w:val="nil"/>
              <w:left w:val="nil"/>
              <w:bottom w:val="nil"/>
              <w:right w:val="single" w:sz="4" w:space="0" w:color="auto"/>
            </w:tcBorders>
            <w:noWrap/>
            <w:vAlign w:val="bottom"/>
            <w:hideMark/>
          </w:tcPr>
          <w:p w14:paraId="1FE05FE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29" w:type="dxa"/>
            <w:tcBorders>
              <w:top w:val="nil"/>
              <w:left w:val="nil"/>
              <w:bottom w:val="nil"/>
              <w:right w:val="single" w:sz="4" w:space="0" w:color="auto"/>
            </w:tcBorders>
            <w:noWrap/>
            <w:vAlign w:val="bottom"/>
            <w:hideMark/>
          </w:tcPr>
          <w:p w14:paraId="7DCCE91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36" w:type="dxa"/>
            <w:tcBorders>
              <w:top w:val="nil"/>
              <w:left w:val="nil"/>
              <w:bottom w:val="nil"/>
              <w:right w:val="single" w:sz="4" w:space="0" w:color="auto"/>
            </w:tcBorders>
            <w:noWrap/>
            <w:vAlign w:val="bottom"/>
            <w:hideMark/>
          </w:tcPr>
          <w:p w14:paraId="39177AC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16" w:type="dxa"/>
            <w:tcBorders>
              <w:top w:val="nil"/>
              <w:left w:val="nil"/>
              <w:bottom w:val="nil"/>
              <w:right w:val="single" w:sz="4" w:space="0" w:color="auto"/>
            </w:tcBorders>
            <w:noWrap/>
            <w:vAlign w:val="bottom"/>
            <w:hideMark/>
          </w:tcPr>
          <w:p w14:paraId="54CD6F7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nil"/>
              <w:right w:val="single" w:sz="4" w:space="0" w:color="auto"/>
            </w:tcBorders>
            <w:noWrap/>
            <w:vAlign w:val="bottom"/>
            <w:hideMark/>
          </w:tcPr>
          <w:p w14:paraId="683A264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nil"/>
              <w:right w:val="single" w:sz="4" w:space="0" w:color="auto"/>
            </w:tcBorders>
            <w:noWrap/>
            <w:vAlign w:val="bottom"/>
            <w:hideMark/>
          </w:tcPr>
          <w:p w14:paraId="19DA9FC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nil"/>
              <w:right w:val="single" w:sz="4" w:space="0" w:color="auto"/>
            </w:tcBorders>
            <w:noWrap/>
            <w:vAlign w:val="bottom"/>
            <w:hideMark/>
          </w:tcPr>
          <w:p w14:paraId="732F403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nil"/>
              <w:right w:val="single" w:sz="4" w:space="0" w:color="auto"/>
            </w:tcBorders>
            <w:noWrap/>
            <w:vAlign w:val="bottom"/>
            <w:hideMark/>
          </w:tcPr>
          <w:p w14:paraId="76BEA7E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c>
          <w:tcPr>
            <w:tcW w:w="1316" w:type="dxa"/>
            <w:tcBorders>
              <w:top w:val="nil"/>
              <w:left w:val="nil"/>
              <w:bottom w:val="nil"/>
              <w:right w:val="single" w:sz="4" w:space="0" w:color="auto"/>
            </w:tcBorders>
            <w:noWrap/>
            <w:vAlign w:val="bottom"/>
            <w:hideMark/>
          </w:tcPr>
          <w:p w14:paraId="0B3B94B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w:t>
            </w:r>
          </w:p>
        </w:tc>
      </w:tr>
      <w:tr w:rsidR="00EA0FD7" w:rsidRPr="00EA0FD7" w14:paraId="204CC9C0" w14:textId="77777777" w:rsidTr="00EA0FD7">
        <w:trPr>
          <w:trHeight w:val="480"/>
        </w:trPr>
        <w:tc>
          <w:tcPr>
            <w:tcW w:w="1238" w:type="dxa"/>
            <w:tcBorders>
              <w:top w:val="single" w:sz="4" w:space="0" w:color="auto"/>
              <w:left w:val="single" w:sz="8" w:space="0" w:color="auto"/>
              <w:bottom w:val="nil"/>
              <w:right w:val="single" w:sz="4" w:space="0" w:color="auto"/>
            </w:tcBorders>
            <w:noWrap/>
            <w:vAlign w:val="bottom"/>
            <w:hideMark/>
          </w:tcPr>
          <w:p w14:paraId="0CF5B05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821000</w:t>
            </w:r>
          </w:p>
        </w:tc>
        <w:tc>
          <w:tcPr>
            <w:tcW w:w="2606" w:type="dxa"/>
            <w:tcBorders>
              <w:top w:val="single" w:sz="4" w:space="0" w:color="auto"/>
              <w:left w:val="nil"/>
              <w:bottom w:val="nil"/>
              <w:right w:val="single" w:sz="4" w:space="0" w:color="auto"/>
            </w:tcBorders>
            <w:vAlign w:val="bottom"/>
            <w:hideMark/>
          </w:tcPr>
          <w:p w14:paraId="487BE2D6"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набавку сталних средстава</w:t>
            </w:r>
          </w:p>
        </w:tc>
        <w:tc>
          <w:tcPr>
            <w:tcW w:w="1384" w:type="dxa"/>
            <w:tcBorders>
              <w:top w:val="single" w:sz="4" w:space="0" w:color="auto"/>
              <w:left w:val="nil"/>
              <w:bottom w:val="nil"/>
              <w:right w:val="single" w:sz="4" w:space="0" w:color="auto"/>
            </w:tcBorders>
            <w:noWrap/>
            <w:vAlign w:val="bottom"/>
            <w:hideMark/>
          </w:tcPr>
          <w:p w14:paraId="53B9F9A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29" w:type="dxa"/>
            <w:tcBorders>
              <w:top w:val="single" w:sz="4" w:space="0" w:color="auto"/>
              <w:left w:val="nil"/>
              <w:bottom w:val="nil"/>
              <w:right w:val="single" w:sz="4" w:space="0" w:color="auto"/>
            </w:tcBorders>
            <w:noWrap/>
            <w:vAlign w:val="bottom"/>
            <w:hideMark/>
          </w:tcPr>
          <w:p w14:paraId="20ABEB5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36" w:type="dxa"/>
            <w:tcBorders>
              <w:top w:val="single" w:sz="4" w:space="0" w:color="auto"/>
              <w:left w:val="nil"/>
              <w:bottom w:val="nil"/>
              <w:right w:val="single" w:sz="4" w:space="0" w:color="auto"/>
            </w:tcBorders>
            <w:noWrap/>
            <w:vAlign w:val="bottom"/>
            <w:hideMark/>
          </w:tcPr>
          <w:p w14:paraId="7E712B3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27,800.00</w:t>
            </w:r>
          </w:p>
        </w:tc>
        <w:tc>
          <w:tcPr>
            <w:tcW w:w="1316" w:type="dxa"/>
            <w:tcBorders>
              <w:top w:val="single" w:sz="4" w:space="0" w:color="auto"/>
              <w:left w:val="nil"/>
              <w:bottom w:val="nil"/>
              <w:right w:val="single" w:sz="4" w:space="0" w:color="auto"/>
            </w:tcBorders>
            <w:noWrap/>
            <w:vAlign w:val="bottom"/>
            <w:hideMark/>
          </w:tcPr>
          <w:p w14:paraId="5694EF4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20,000</w:t>
            </w:r>
          </w:p>
        </w:tc>
        <w:tc>
          <w:tcPr>
            <w:tcW w:w="1316" w:type="dxa"/>
            <w:tcBorders>
              <w:top w:val="single" w:sz="4" w:space="0" w:color="auto"/>
              <w:left w:val="nil"/>
              <w:bottom w:val="nil"/>
              <w:right w:val="single" w:sz="4" w:space="0" w:color="auto"/>
            </w:tcBorders>
            <w:noWrap/>
            <w:vAlign w:val="bottom"/>
            <w:hideMark/>
          </w:tcPr>
          <w:p w14:paraId="2AAC0CC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20,000</w:t>
            </w:r>
          </w:p>
        </w:tc>
        <w:tc>
          <w:tcPr>
            <w:tcW w:w="1316" w:type="dxa"/>
            <w:tcBorders>
              <w:top w:val="single" w:sz="4" w:space="0" w:color="auto"/>
              <w:left w:val="nil"/>
              <w:bottom w:val="nil"/>
              <w:right w:val="single" w:sz="4" w:space="0" w:color="auto"/>
            </w:tcBorders>
            <w:noWrap/>
            <w:vAlign w:val="bottom"/>
            <w:hideMark/>
          </w:tcPr>
          <w:p w14:paraId="2571DDB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20,000</w:t>
            </w:r>
          </w:p>
        </w:tc>
        <w:tc>
          <w:tcPr>
            <w:tcW w:w="1316" w:type="dxa"/>
            <w:tcBorders>
              <w:top w:val="single" w:sz="4" w:space="0" w:color="auto"/>
              <w:left w:val="nil"/>
              <w:bottom w:val="nil"/>
              <w:right w:val="single" w:sz="4" w:space="0" w:color="auto"/>
            </w:tcBorders>
            <w:noWrap/>
            <w:vAlign w:val="bottom"/>
            <w:hideMark/>
          </w:tcPr>
          <w:p w14:paraId="1C52B52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20,000</w:t>
            </w:r>
          </w:p>
        </w:tc>
        <w:tc>
          <w:tcPr>
            <w:tcW w:w="1316" w:type="dxa"/>
            <w:tcBorders>
              <w:top w:val="single" w:sz="4" w:space="0" w:color="auto"/>
              <w:left w:val="nil"/>
              <w:bottom w:val="nil"/>
              <w:right w:val="single" w:sz="4" w:space="0" w:color="auto"/>
            </w:tcBorders>
            <w:noWrap/>
            <w:vAlign w:val="bottom"/>
            <w:hideMark/>
          </w:tcPr>
          <w:p w14:paraId="2BFB870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20,000</w:t>
            </w:r>
          </w:p>
        </w:tc>
        <w:tc>
          <w:tcPr>
            <w:tcW w:w="1316" w:type="dxa"/>
            <w:tcBorders>
              <w:top w:val="single" w:sz="4" w:space="0" w:color="auto"/>
              <w:left w:val="nil"/>
              <w:bottom w:val="nil"/>
              <w:right w:val="single" w:sz="4" w:space="0" w:color="auto"/>
            </w:tcBorders>
            <w:noWrap/>
            <w:vAlign w:val="bottom"/>
            <w:hideMark/>
          </w:tcPr>
          <w:p w14:paraId="6B791CA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20,000</w:t>
            </w:r>
          </w:p>
        </w:tc>
      </w:tr>
      <w:tr w:rsidR="00EA0FD7" w:rsidRPr="00EA0FD7" w14:paraId="2D289B02" w14:textId="77777777" w:rsidTr="00EA0FD7">
        <w:trPr>
          <w:trHeight w:val="285"/>
        </w:trPr>
        <w:tc>
          <w:tcPr>
            <w:tcW w:w="1238" w:type="dxa"/>
            <w:tcBorders>
              <w:top w:val="single" w:sz="8" w:space="0" w:color="auto"/>
              <w:left w:val="single" w:sz="8" w:space="0" w:color="auto"/>
              <w:bottom w:val="single" w:sz="8" w:space="0" w:color="auto"/>
              <w:right w:val="single" w:sz="8" w:space="0" w:color="auto"/>
            </w:tcBorders>
            <w:noWrap/>
            <w:vAlign w:val="bottom"/>
            <w:hideMark/>
          </w:tcPr>
          <w:p w14:paraId="3CE47C2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606" w:type="dxa"/>
            <w:tcBorders>
              <w:top w:val="single" w:sz="8" w:space="0" w:color="auto"/>
              <w:left w:val="nil"/>
              <w:bottom w:val="single" w:sz="8" w:space="0" w:color="auto"/>
              <w:right w:val="single" w:sz="8" w:space="0" w:color="auto"/>
            </w:tcBorders>
            <w:noWrap/>
            <w:vAlign w:val="bottom"/>
            <w:hideMark/>
          </w:tcPr>
          <w:p w14:paraId="247ACC5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384" w:type="dxa"/>
            <w:tcBorders>
              <w:top w:val="single" w:sz="8" w:space="0" w:color="auto"/>
              <w:left w:val="nil"/>
              <w:bottom w:val="single" w:sz="8" w:space="0" w:color="auto"/>
              <w:right w:val="single" w:sz="8" w:space="0" w:color="auto"/>
            </w:tcBorders>
            <w:noWrap/>
            <w:vAlign w:val="bottom"/>
            <w:hideMark/>
          </w:tcPr>
          <w:p w14:paraId="15FEE57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1,030,335.64</w:t>
            </w:r>
          </w:p>
        </w:tc>
        <w:tc>
          <w:tcPr>
            <w:tcW w:w="1229" w:type="dxa"/>
            <w:tcBorders>
              <w:top w:val="single" w:sz="8" w:space="0" w:color="auto"/>
              <w:left w:val="nil"/>
              <w:bottom w:val="single" w:sz="8" w:space="0" w:color="auto"/>
              <w:right w:val="single" w:sz="8" w:space="0" w:color="auto"/>
            </w:tcBorders>
            <w:noWrap/>
            <w:vAlign w:val="bottom"/>
            <w:hideMark/>
          </w:tcPr>
          <w:p w14:paraId="6EB63D0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916,113.20</w:t>
            </w:r>
          </w:p>
        </w:tc>
        <w:tc>
          <w:tcPr>
            <w:tcW w:w="1336" w:type="dxa"/>
            <w:tcBorders>
              <w:top w:val="single" w:sz="8" w:space="0" w:color="auto"/>
              <w:left w:val="nil"/>
              <w:bottom w:val="single" w:sz="8" w:space="0" w:color="auto"/>
              <w:right w:val="single" w:sz="8" w:space="0" w:color="auto"/>
            </w:tcBorders>
            <w:noWrap/>
            <w:vAlign w:val="bottom"/>
            <w:hideMark/>
          </w:tcPr>
          <w:p w14:paraId="605123B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1,160,883.63</w:t>
            </w:r>
          </w:p>
        </w:tc>
        <w:tc>
          <w:tcPr>
            <w:tcW w:w="1316" w:type="dxa"/>
            <w:tcBorders>
              <w:top w:val="single" w:sz="8" w:space="0" w:color="auto"/>
              <w:left w:val="nil"/>
              <w:bottom w:val="single" w:sz="8" w:space="0" w:color="auto"/>
              <w:right w:val="single" w:sz="8" w:space="0" w:color="auto"/>
            </w:tcBorders>
            <w:noWrap/>
            <w:vAlign w:val="bottom"/>
            <w:hideMark/>
          </w:tcPr>
          <w:p w14:paraId="23D4176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1,166,953</w:t>
            </w:r>
          </w:p>
        </w:tc>
        <w:tc>
          <w:tcPr>
            <w:tcW w:w="1316" w:type="dxa"/>
            <w:tcBorders>
              <w:top w:val="single" w:sz="8" w:space="0" w:color="auto"/>
              <w:left w:val="nil"/>
              <w:bottom w:val="single" w:sz="8" w:space="0" w:color="auto"/>
              <w:right w:val="single" w:sz="8" w:space="0" w:color="auto"/>
            </w:tcBorders>
            <w:noWrap/>
            <w:vAlign w:val="bottom"/>
            <w:hideMark/>
          </w:tcPr>
          <w:p w14:paraId="1A92577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1,169,167</w:t>
            </w:r>
          </w:p>
        </w:tc>
        <w:tc>
          <w:tcPr>
            <w:tcW w:w="1316" w:type="dxa"/>
            <w:tcBorders>
              <w:top w:val="single" w:sz="8" w:space="0" w:color="auto"/>
              <w:left w:val="nil"/>
              <w:bottom w:val="single" w:sz="8" w:space="0" w:color="auto"/>
              <w:right w:val="single" w:sz="8" w:space="0" w:color="auto"/>
            </w:tcBorders>
            <w:noWrap/>
            <w:vAlign w:val="bottom"/>
            <w:hideMark/>
          </w:tcPr>
          <w:p w14:paraId="7B31EE3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1,171,381</w:t>
            </w:r>
          </w:p>
        </w:tc>
        <w:tc>
          <w:tcPr>
            <w:tcW w:w="1316" w:type="dxa"/>
            <w:tcBorders>
              <w:top w:val="single" w:sz="8" w:space="0" w:color="auto"/>
              <w:left w:val="nil"/>
              <w:bottom w:val="single" w:sz="8" w:space="0" w:color="auto"/>
              <w:right w:val="single" w:sz="8" w:space="0" w:color="auto"/>
            </w:tcBorders>
            <w:noWrap/>
            <w:vAlign w:val="bottom"/>
            <w:hideMark/>
          </w:tcPr>
          <w:p w14:paraId="458C44C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1,166,953</w:t>
            </w:r>
          </w:p>
        </w:tc>
        <w:tc>
          <w:tcPr>
            <w:tcW w:w="1316" w:type="dxa"/>
            <w:tcBorders>
              <w:top w:val="single" w:sz="8" w:space="0" w:color="auto"/>
              <w:left w:val="nil"/>
              <w:bottom w:val="single" w:sz="8" w:space="0" w:color="auto"/>
              <w:right w:val="single" w:sz="8" w:space="0" w:color="auto"/>
            </w:tcBorders>
            <w:noWrap/>
            <w:vAlign w:val="bottom"/>
            <w:hideMark/>
          </w:tcPr>
          <w:p w14:paraId="3136E10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1,169,167</w:t>
            </w:r>
          </w:p>
        </w:tc>
        <w:tc>
          <w:tcPr>
            <w:tcW w:w="1316" w:type="dxa"/>
            <w:tcBorders>
              <w:top w:val="single" w:sz="8" w:space="0" w:color="auto"/>
              <w:left w:val="nil"/>
              <w:bottom w:val="single" w:sz="8" w:space="0" w:color="auto"/>
              <w:right w:val="single" w:sz="8" w:space="0" w:color="auto"/>
            </w:tcBorders>
            <w:noWrap/>
            <w:vAlign w:val="bottom"/>
            <w:hideMark/>
          </w:tcPr>
          <w:p w14:paraId="2164A55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1,171,381</w:t>
            </w:r>
          </w:p>
        </w:tc>
      </w:tr>
      <w:tr w:rsidR="00EA0FD7" w:rsidRPr="00EA0FD7" w14:paraId="26089C48" w14:textId="77777777" w:rsidTr="00EA0FD7">
        <w:trPr>
          <w:trHeight w:val="171"/>
        </w:trPr>
        <w:tc>
          <w:tcPr>
            <w:tcW w:w="1238" w:type="dxa"/>
            <w:tcBorders>
              <w:top w:val="nil"/>
              <w:left w:val="single" w:sz="8" w:space="0" w:color="auto"/>
              <w:bottom w:val="single" w:sz="8" w:space="0" w:color="auto"/>
              <w:right w:val="nil"/>
            </w:tcBorders>
            <w:noWrap/>
            <w:vAlign w:val="bottom"/>
            <w:hideMark/>
          </w:tcPr>
          <w:p w14:paraId="09CF546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606" w:type="dxa"/>
            <w:tcBorders>
              <w:top w:val="nil"/>
              <w:left w:val="nil"/>
              <w:bottom w:val="single" w:sz="8" w:space="0" w:color="auto"/>
              <w:right w:val="nil"/>
            </w:tcBorders>
            <w:noWrap/>
            <w:vAlign w:val="bottom"/>
            <w:hideMark/>
          </w:tcPr>
          <w:p w14:paraId="71E4A6A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84" w:type="dxa"/>
            <w:tcBorders>
              <w:top w:val="nil"/>
              <w:left w:val="nil"/>
              <w:bottom w:val="single" w:sz="8" w:space="0" w:color="auto"/>
              <w:right w:val="nil"/>
            </w:tcBorders>
            <w:noWrap/>
            <w:vAlign w:val="bottom"/>
            <w:hideMark/>
          </w:tcPr>
          <w:p w14:paraId="6BD9AB2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29" w:type="dxa"/>
            <w:tcBorders>
              <w:top w:val="nil"/>
              <w:left w:val="nil"/>
              <w:bottom w:val="single" w:sz="8" w:space="0" w:color="auto"/>
              <w:right w:val="nil"/>
            </w:tcBorders>
            <w:noWrap/>
            <w:vAlign w:val="bottom"/>
            <w:hideMark/>
          </w:tcPr>
          <w:p w14:paraId="188805C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tcBorders>
              <w:top w:val="nil"/>
              <w:left w:val="nil"/>
              <w:bottom w:val="single" w:sz="8" w:space="0" w:color="auto"/>
              <w:right w:val="nil"/>
            </w:tcBorders>
            <w:noWrap/>
            <w:vAlign w:val="bottom"/>
            <w:hideMark/>
          </w:tcPr>
          <w:p w14:paraId="3551B06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19EA345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48E6D94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5B2A534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01CAC15D"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nil"/>
            </w:tcBorders>
            <w:noWrap/>
            <w:vAlign w:val="bottom"/>
            <w:hideMark/>
          </w:tcPr>
          <w:p w14:paraId="5A68C11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single" w:sz="8" w:space="0" w:color="auto"/>
            </w:tcBorders>
            <w:noWrap/>
            <w:vAlign w:val="bottom"/>
            <w:hideMark/>
          </w:tcPr>
          <w:p w14:paraId="7FC43A9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783B7E67" w14:textId="77777777" w:rsidTr="00EA0FD7">
        <w:trPr>
          <w:trHeight w:val="240"/>
        </w:trPr>
        <w:tc>
          <w:tcPr>
            <w:tcW w:w="1238" w:type="dxa"/>
            <w:tcBorders>
              <w:top w:val="nil"/>
              <w:left w:val="single" w:sz="8" w:space="0" w:color="auto"/>
              <w:bottom w:val="single" w:sz="8" w:space="0" w:color="auto"/>
              <w:right w:val="single" w:sz="8" w:space="0" w:color="auto"/>
            </w:tcBorders>
            <w:noWrap/>
            <w:vAlign w:val="bottom"/>
            <w:hideMark/>
          </w:tcPr>
          <w:p w14:paraId="33603F8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606" w:type="dxa"/>
            <w:tcBorders>
              <w:top w:val="nil"/>
              <w:left w:val="nil"/>
              <w:bottom w:val="single" w:sz="8" w:space="0" w:color="auto"/>
              <w:right w:val="single" w:sz="8" w:space="0" w:color="auto"/>
            </w:tcBorders>
            <w:noWrap/>
            <w:vAlign w:val="bottom"/>
            <w:hideMark/>
          </w:tcPr>
          <w:p w14:paraId="0E7157C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384" w:type="dxa"/>
            <w:tcBorders>
              <w:top w:val="nil"/>
              <w:left w:val="nil"/>
              <w:bottom w:val="single" w:sz="8" w:space="0" w:color="auto"/>
              <w:right w:val="single" w:sz="8" w:space="0" w:color="auto"/>
            </w:tcBorders>
            <w:noWrap/>
            <w:vAlign w:val="bottom"/>
            <w:hideMark/>
          </w:tcPr>
          <w:p w14:paraId="2D409F2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22</w:t>
            </w:r>
          </w:p>
        </w:tc>
        <w:tc>
          <w:tcPr>
            <w:tcW w:w="1229" w:type="dxa"/>
            <w:tcBorders>
              <w:top w:val="nil"/>
              <w:left w:val="nil"/>
              <w:bottom w:val="single" w:sz="8" w:space="0" w:color="auto"/>
              <w:right w:val="single" w:sz="8" w:space="0" w:color="auto"/>
            </w:tcBorders>
            <w:noWrap/>
            <w:vAlign w:val="bottom"/>
            <w:hideMark/>
          </w:tcPr>
          <w:p w14:paraId="232616F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15</w:t>
            </w:r>
          </w:p>
        </w:tc>
        <w:tc>
          <w:tcPr>
            <w:tcW w:w="1336" w:type="dxa"/>
            <w:tcBorders>
              <w:top w:val="nil"/>
              <w:left w:val="nil"/>
              <w:bottom w:val="single" w:sz="8" w:space="0" w:color="auto"/>
              <w:right w:val="single" w:sz="8" w:space="0" w:color="auto"/>
            </w:tcBorders>
            <w:noWrap/>
            <w:vAlign w:val="bottom"/>
            <w:hideMark/>
          </w:tcPr>
          <w:p w14:paraId="074C21B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22</w:t>
            </w:r>
          </w:p>
        </w:tc>
        <w:tc>
          <w:tcPr>
            <w:tcW w:w="1316" w:type="dxa"/>
            <w:tcBorders>
              <w:top w:val="nil"/>
              <w:left w:val="nil"/>
              <w:bottom w:val="single" w:sz="8" w:space="0" w:color="auto"/>
              <w:right w:val="single" w:sz="8" w:space="0" w:color="auto"/>
            </w:tcBorders>
            <w:noWrap/>
            <w:vAlign w:val="bottom"/>
            <w:hideMark/>
          </w:tcPr>
          <w:p w14:paraId="0EB5C8A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22</w:t>
            </w:r>
          </w:p>
        </w:tc>
        <w:tc>
          <w:tcPr>
            <w:tcW w:w="1316" w:type="dxa"/>
            <w:tcBorders>
              <w:top w:val="nil"/>
              <w:left w:val="nil"/>
              <w:bottom w:val="single" w:sz="8" w:space="0" w:color="auto"/>
              <w:right w:val="single" w:sz="8" w:space="0" w:color="auto"/>
            </w:tcBorders>
            <w:noWrap/>
            <w:vAlign w:val="bottom"/>
            <w:hideMark/>
          </w:tcPr>
          <w:p w14:paraId="6EDFE62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22</w:t>
            </w:r>
          </w:p>
        </w:tc>
        <w:tc>
          <w:tcPr>
            <w:tcW w:w="1316" w:type="dxa"/>
            <w:tcBorders>
              <w:top w:val="nil"/>
              <w:left w:val="nil"/>
              <w:bottom w:val="single" w:sz="8" w:space="0" w:color="auto"/>
              <w:right w:val="single" w:sz="8" w:space="0" w:color="auto"/>
            </w:tcBorders>
            <w:noWrap/>
            <w:vAlign w:val="bottom"/>
            <w:hideMark/>
          </w:tcPr>
          <w:p w14:paraId="1E8DD33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22</w:t>
            </w:r>
          </w:p>
        </w:tc>
        <w:tc>
          <w:tcPr>
            <w:tcW w:w="1316" w:type="dxa"/>
            <w:tcBorders>
              <w:top w:val="nil"/>
              <w:left w:val="nil"/>
              <w:bottom w:val="single" w:sz="8" w:space="0" w:color="auto"/>
              <w:right w:val="single" w:sz="8" w:space="0" w:color="auto"/>
            </w:tcBorders>
            <w:noWrap/>
            <w:vAlign w:val="bottom"/>
            <w:hideMark/>
          </w:tcPr>
          <w:p w14:paraId="41EDC04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22</w:t>
            </w:r>
          </w:p>
        </w:tc>
        <w:tc>
          <w:tcPr>
            <w:tcW w:w="1316" w:type="dxa"/>
            <w:tcBorders>
              <w:top w:val="nil"/>
              <w:left w:val="nil"/>
              <w:bottom w:val="single" w:sz="8" w:space="0" w:color="auto"/>
              <w:right w:val="single" w:sz="8" w:space="0" w:color="auto"/>
            </w:tcBorders>
            <w:noWrap/>
            <w:vAlign w:val="bottom"/>
            <w:hideMark/>
          </w:tcPr>
          <w:p w14:paraId="58F61399"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22</w:t>
            </w:r>
          </w:p>
        </w:tc>
        <w:tc>
          <w:tcPr>
            <w:tcW w:w="1316" w:type="dxa"/>
            <w:tcBorders>
              <w:top w:val="nil"/>
              <w:left w:val="nil"/>
              <w:bottom w:val="single" w:sz="8" w:space="0" w:color="auto"/>
              <w:right w:val="single" w:sz="8" w:space="0" w:color="auto"/>
            </w:tcBorders>
            <w:noWrap/>
            <w:vAlign w:val="bottom"/>
            <w:hideMark/>
          </w:tcPr>
          <w:p w14:paraId="735AAA1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22</w:t>
            </w:r>
          </w:p>
        </w:tc>
      </w:tr>
    </w:tbl>
    <w:p w14:paraId="1D6D3E04"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tbl>
      <w:tblPr>
        <w:tblW w:w="15688" w:type="dxa"/>
        <w:tblInd w:w="108" w:type="dxa"/>
        <w:tblLook w:val="04A0" w:firstRow="1" w:lastRow="0" w:firstColumn="1" w:lastColumn="0" w:noHBand="0" w:noVBand="1"/>
      </w:tblPr>
      <w:tblGrid>
        <w:gridCol w:w="1263"/>
        <w:gridCol w:w="2668"/>
        <w:gridCol w:w="1265"/>
        <w:gridCol w:w="1260"/>
        <w:gridCol w:w="1336"/>
        <w:gridCol w:w="1316"/>
        <w:gridCol w:w="1316"/>
        <w:gridCol w:w="1316"/>
        <w:gridCol w:w="1316"/>
        <w:gridCol w:w="1316"/>
        <w:gridCol w:w="1316"/>
      </w:tblGrid>
      <w:tr w:rsidR="00EA0FD7" w:rsidRPr="00EA0FD7" w14:paraId="721E2309" w14:textId="77777777" w:rsidTr="00EA0FD7">
        <w:trPr>
          <w:trHeight w:val="345"/>
        </w:trPr>
        <w:tc>
          <w:tcPr>
            <w:tcW w:w="6456" w:type="dxa"/>
            <w:gridSpan w:val="4"/>
            <w:tcBorders>
              <w:top w:val="nil"/>
              <w:left w:val="nil"/>
              <w:bottom w:val="single" w:sz="8" w:space="0" w:color="auto"/>
              <w:right w:val="nil"/>
            </w:tcBorders>
            <w:noWrap/>
            <w:vAlign w:val="bottom"/>
            <w:hideMark/>
          </w:tcPr>
          <w:p w14:paraId="02F0D807" w14:textId="15AECC49"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32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КАНЦЕЛАРИЈА ЗА ПРЕВЕНЦИЈУ КОРУПЦИЈЕ И КООРДИНАЦИЈУ АКТИВНОСТИ НА СУЗБИЈАЊУ КОРУПЦИЈЕ</w:t>
            </w:r>
          </w:p>
        </w:tc>
        <w:tc>
          <w:tcPr>
            <w:tcW w:w="1336" w:type="dxa"/>
            <w:noWrap/>
            <w:vAlign w:val="bottom"/>
          </w:tcPr>
          <w:p w14:paraId="6C9C3D56"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40EA004F"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6C1AAF0A"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56B9F264"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3694C590"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046BF9FC"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3D61F5C4"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7A86B98F" w14:textId="77777777" w:rsidTr="00EA0FD7">
        <w:trPr>
          <w:trHeight w:val="300"/>
        </w:trPr>
        <w:tc>
          <w:tcPr>
            <w:tcW w:w="1263" w:type="dxa"/>
            <w:vMerge w:val="restart"/>
            <w:tcBorders>
              <w:top w:val="nil"/>
              <w:left w:val="single" w:sz="8" w:space="0" w:color="auto"/>
              <w:bottom w:val="single" w:sz="8" w:space="0" w:color="000000"/>
              <w:right w:val="single" w:sz="8" w:space="0" w:color="auto"/>
            </w:tcBorders>
            <w:shd w:val="clear" w:color="auto" w:fill="808080"/>
            <w:vAlign w:val="center"/>
            <w:hideMark/>
          </w:tcPr>
          <w:p w14:paraId="09331160"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668" w:type="dxa"/>
            <w:vMerge w:val="restart"/>
            <w:tcBorders>
              <w:top w:val="nil"/>
              <w:left w:val="single" w:sz="8" w:space="0" w:color="auto"/>
              <w:bottom w:val="single" w:sz="8" w:space="0" w:color="000000"/>
              <w:right w:val="single" w:sz="8" w:space="0" w:color="auto"/>
            </w:tcBorders>
            <w:shd w:val="clear" w:color="auto" w:fill="808080"/>
            <w:vAlign w:val="center"/>
            <w:hideMark/>
          </w:tcPr>
          <w:p w14:paraId="072E4228"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265" w:type="dxa"/>
            <w:vMerge w:val="restart"/>
            <w:tcBorders>
              <w:top w:val="nil"/>
              <w:left w:val="single" w:sz="8" w:space="0" w:color="auto"/>
              <w:bottom w:val="single" w:sz="8" w:space="0" w:color="000000"/>
              <w:right w:val="single" w:sz="8" w:space="0" w:color="auto"/>
            </w:tcBorders>
            <w:shd w:val="clear" w:color="auto" w:fill="808080"/>
            <w:vAlign w:val="center"/>
            <w:hideMark/>
          </w:tcPr>
          <w:p w14:paraId="14ACA770"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260" w:type="dxa"/>
            <w:vMerge w:val="restart"/>
            <w:tcBorders>
              <w:top w:val="nil"/>
              <w:left w:val="single" w:sz="8" w:space="0" w:color="auto"/>
              <w:bottom w:val="single" w:sz="8" w:space="0" w:color="000000"/>
              <w:right w:val="single" w:sz="8" w:space="0" w:color="auto"/>
            </w:tcBorders>
            <w:shd w:val="clear" w:color="auto" w:fill="808080"/>
            <w:vAlign w:val="center"/>
            <w:hideMark/>
          </w:tcPr>
          <w:p w14:paraId="3EA0424A"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36"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251BD91E"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38650B4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176E38D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3BADC5B6" w14:textId="77777777" w:rsidTr="00EA0FD7">
        <w:trPr>
          <w:trHeight w:val="300"/>
        </w:trPr>
        <w:tc>
          <w:tcPr>
            <w:tcW w:w="0" w:type="auto"/>
            <w:vMerge/>
            <w:tcBorders>
              <w:top w:val="nil"/>
              <w:left w:val="single" w:sz="8" w:space="0" w:color="auto"/>
              <w:bottom w:val="single" w:sz="8" w:space="0" w:color="000000"/>
              <w:right w:val="single" w:sz="8" w:space="0" w:color="auto"/>
            </w:tcBorders>
            <w:vAlign w:val="center"/>
            <w:hideMark/>
          </w:tcPr>
          <w:p w14:paraId="1D89AB05"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4572B343"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5C53E003"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18C5C8A8"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6AF8847"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tcBorders>
              <w:top w:val="nil"/>
              <w:left w:val="nil"/>
              <w:bottom w:val="single" w:sz="8" w:space="0" w:color="auto"/>
              <w:right w:val="single" w:sz="4" w:space="0" w:color="auto"/>
            </w:tcBorders>
            <w:shd w:val="clear" w:color="auto" w:fill="808080"/>
            <w:noWrap/>
            <w:vAlign w:val="center"/>
            <w:hideMark/>
          </w:tcPr>
          <w:p w14:paraId="470C154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3599775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5B846566"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tcBorders>
              <w:top w:val="nil"/>
              <w:left w:val="nil"/>
              <w:bottom w:val="single" w:sz="8" w:space="0" w:color="auto"/>
              <w:right w:val="single" w:sz="4" w:space="0" w:color="auto"/>
            </w:tcBorders>
            <w:shd w:val="clear" w:color="auto" w:fill="808080"/>
            <w:noWrap/>
            <w:vAlign w:val="center"/>
            <w:hideMark/>
          </w:tcPr>
          <w:p w14:paraId="0132F29E"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1A9254D8"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7ACD93D8"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5824C2DF" w14:textId="77777777" w:rsidTr="00EA0FD7">
        <w:trPr>
          <w:trHeight w:val="240"/>
        </w:trPr>
        <w:tc>
          <w:tcPr>
            <w:tcW w:w="1263" w:type="dxa"/>
            <w:tcBorders>
              <w:top w:val="single" w:sz="4" w:space="0" w:color="auto"/>
              <w:left w:val="single" w:sz="8" w:space="0" w:color="auto"/>
              <w:bottom w:val="single" w:sz="4" w:space="0" w:color="auto"/>
              <w:right w:val="single" w:sz="4" w:space="0" w:color="auto"/>
            </w:tcBorders>
            <w:noWrap/>
            <w:vAlign w:val="bottom"/>
            <w:hideMark/>
          </w:tcPr>
          <w:p w14:paraId="1486992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668" w:type="dxa"/>
            <w:tcBorders>
              <w:top w:val="nil"/>
              <w:left w:val="nil"/>
              <w:bottom w:val="single" w:sz="4" w:space="0" w:color="auto"/>
              <w:right w:val="single" w:sz="4" w:space="0" w:color="auto"/>
            </w:tcBorders>
            <w:noWrap/>
            <w:vAlign w:val="bottom"/>
            <w:hideMark/>
          </w:tcPr>
          <w:p w14:paraId="0AAD61C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265" w:type="dxa"/>
            <w:tcBorders>
              <w:top w:val="single" w:sz="4" w:space="0" w:color="auto"/>
              <w:left w:val="nil"/>
              <w:bottom w:val="single" w:sz="4" w:space="0" w:color="auto"/>
              <w:right w:val="single" w:sz="4" w:space="0" w:color="auto"/>
            </w:tcBorders>
            <w:noWrap/>
            <w:vAlign w:val="bottom"/>
            <w:hideMark/>
          </w:tcPr>
          <w:p w14:paraId="388DD50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60" w:type="dxa"/>
            <w:tcBorders>
              <w:top w:val="single" w:sz="4" w:space="0" w:color="auto"/>
              <w:left w:val="nil"/>
              <w:bottom w:val="single" w:sz="4" w:space="0" w:color="auto"/>
              <w:right w:val="single" w:sz="4" w:space="0" w:color="auto"/>
            </w:tcBorders>
            <w:noWrap/>
            <w:vAlign w:val="bottom"/>
            <w:hideMark/>
          </w:tcPr>
          <w:p w14:paraId="343177E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tcBorders>
              <w:top w:val="single" w:sz="4" w:space="0" w:color="auto"/>
              <w:left w:val="nil"/>
              <w:bottom w:val="single" w:sz="4" w:space="0" w:color="auto"/>
              <w:right w:val="single" w:sz="4" w:space="0" w:color="auto"/>
            </w:tcBorders>
            <w:noWrap/>
            <w:vAlign w:val="bottom"/>
            <w:hideMark/>
          </w:tcPr>
          <w:p w14:paraId="68D1D26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5480979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6443AF0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139F7EF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68D652C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01333521"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8" w:space="0" w:color="auto"/>
            </w:tcBorders>
            <w:noWrap/>
            <w:vAlign w:val="bottom"/>
            <w:hideMark/>
          </w:tcPr>
          <w:p w14:paraId="2489DE6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5AB06379" w14:textId="77777777" w:rsidTr="00EA0FD7">
        <w:trPr>
          <w:trHeight w:val="480"/>
        </w:trPr>
        <w:tc>
          <w:tcPr>
            <w:tcW w:w="1263" w:type="dxa"/>
            <w:tcBorders>
              <w:top w:val="nil"/>
              <w:left w:val="single" w:sz="8" w:space="0" w:color="auto"/>
              <w:bottom w:val="single" w:sz="4" w:space="0" w:color="auto"/>
              <w:right w:val="single" w:sz="4" w:space="0" w:color="auto"/>
            </w:tcBorders>
            <w:vAlign w:val="bottom"/>
            <w:hideMark/>
          </w:tcPr>
          <w:p w14:paraId="1554BA9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668" w:type="dxa"/>
            <w:tcBorders>
              <w:top w:val="nil"/>
              <w:left w:val="nil"/>
              <w:bottom w:val="single" w:sz="4" w:space="0" w:color="auto"/>
              <w:right w:val="single" w:sz="4" w:space="0" w:color="auto"/>
            </w:tcBorders>
            <w:vAlign w:val="bottom"/>
            <w:hideMark/>
          </w:tcPr>
          <w:p w14:paraId="6E881A36"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265" w:type="dxa"/>
            <w:tcBorders>
              <w:top w:val="nil"/>
              <w:left w:val="nil"/>
              <w:bottom w:val="single" w:sz="4" w:space="0" w:color="auto"/>
              <w:right w:val="single" w:sz="4" w:space="0" w:color="auto"/>
            </w:tcBorders>
            <w:noWrap/>
            <w:vAlign w:val="bottom"/>
            <w:hideMark/>
          </w:tcPr>
          <w:p w14:paraId="7662692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143,176.10</w:t>
            </w:r>
          </w:p>
        </w:tc>
        <w:tc>
          <w:tcPr>
            <w:tcW w:w="1260" w:type="dxa"/>
            <w:tcBorders>
              <w:top w:val="nil"/>
              <w:left w:val="nil"/>
              <w:bottom w:val="single" w:sz="4" w:space="0" w:color="auto"/>
              <w:right w:val="single" w:sz="4" w:space="0" w:color="auto"/>
            </w:tcBorders>
            <w:noWrap/>
            <w:vAlign w:val="bottom"/>
            <w:hideMark/>
          </w:tcPr>
          <w:p w14:paraId="3868C76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126,019.47</w:t>
            </w:r>
          </w:p>
        </w:tc>
        <w:tc>
          <w:tcPr>
            <w:tcW w:w="1336" w:type="dxa"/>
            <w:tcBorders>
              <w:top w:val="nil"/>
              <w:left w:val="nil"/>
              <w:bottom w:val="single" w:sz="4" w:space="0" w:color="auto"/>
              <w:right w:val="single" w:sz="4" w:space="0" w:color="auto"/>
            </w:tcBorders>
            <w:noWrap/>
            <w:vAlign w:val="bottom"/>
            <w:hideMark/>
          </w:tcPr>
          <w:p w14:paraId="26B7546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315,508.11</w:t>
            </w:r>
          </w:p>
        </w:tc>
        <w:tc>
          <w:tcPr>
            <w:tcW w:w="1316" w:type="dxa"/>
            <w:tcBorders>
              <w:top w:val="nil"/>
              <w:left w:val="nil"/>
              <w:bottom w:val="single" w:sz="4" w:space="0" w:color="auto"/>
              <w:right w:val="single" w:sz="4" w:space="0" w:color="auto"/>
            </w:tcBorders>
            <w:noWrap/>
            <w:vAlign w:val="bottom"/>
            <w:hideMark/>
          </w:tcPr>
          <w:p w14:paraId="622CAE0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355,116</w:t>
            </w:r>
          </w:p>
        </w:tc>
        <w:tc>
          <w:tcPr>
            <w:tcW w:w="1316" w:type="dxa"/>
            <w:tcBorders>
              <w:top w:val="nil"/>
              <w:left w:val="nil"/>
              <w:bottom w:val="single" w:sz="4" w:space="0" w:color="auto"/>
              <w:right w:val="single" w:sz="4" w:space="0" w:color="auto"/>
            </w:tcBorders>
            <w:noWrap/>
            <w:vAlign w:val="bottom"/>
            <w:hideMark/>
          </w:tcPr>
          <w:p w14:paraId="671E3E5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355,732</w:t>
            </w:r>
          </w:p>
        </w:tc>
        <w:tc>
          <w:tcPr>
            <w:tcW w:w="1316" w:type="dxa"/>
            <w:tcBorders>
              <w:top w:val="nil"/>
              <w:left w:val="nil"/>
              <w:bottom w:val="single" w:sz="4" w:space="0" w:color="auto"/>
              <w:right w:val="single" w:sz="4" w:space="0" w:color="auto"/>
            </w:tcBorders>
            <w:noWrap/>
            <w:vAlign w:val="bottom"/>
            <w:hideMark/>
          </w:tcPr>
          <w:p w14:paraId="0E4AF8C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356,282</w:t>
            </w:r>
          </w:p>
        </w:tc>
        <w:tc>
          <w:tcPr>
            <w:tcW w:w="1316" w:type="dxa"/>
            <w:tcBorders>
              <w:top w:val="nil"/>
              <w:left w:val="nil"/>
              <w:bottom w:val="single" w:sz="4" w:space="0" w:color="auto"/>
              <w:right w:val="single" w:sz="4" w:space="0" w:color="auto"/>
            </w:tcBorders>
            <w:noWrap/>
            <w:vAlign w:val="bottom"/>
            <w:hideMark/>
          </w:tcPr>
          <w:p w14:paraId="6D36F4A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355,116</w:t>
            </w:r>
          </w:p>
        </w:tc>
        <w:tc>
          <w:tcPr>
            <w:tcW w:w="1316" w:type="dxa"/>
            <w:tcBorders>
              <w:top w:val="nil"/>
              <w:left w:val="nil"/>
              <w:bottom w:val="single" w:sz="4" w:space="0" w:color="auto"/>
              <w:right w:val="single" w:sz="4" w:space="0" w:color="auto"/>
            </w:tcBorders>
            <w:noWrap/>
            <w:vAlign w:val="bottom"/>
            <w:hideMark/>
          </w:tcPr>
          <w:p w14:paraId="7055CA3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355,732</w:t>
            </w:r>
          </w:p>
        </w:tc>
        <w:tc>
          <w:tcPr>
            <w:tcW w:w="1316" w:type="dxa"/>
            <w:tcBorders>
              <w:top w:val="nil"/>
              <w:left w:val="nil"/>
              <w:bottom w:val="single" w:sz="4" w:space="0" w:color="auto"/>
              <w:right w:val="single" w:sz="4" w:space="0" w:color="auto"/>
            </w:tcBorders>
            <w:noWrap/>
            <w:vAlign w:val="bottom"/>
            <w:hideMark/>
          </w:tcPr>
          <w:p w14:paraId="263BAED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356,282</w:t>
            </w:r>
          </w:p>
        </w:tc>
      </w:tr>
      <w:tr w:rsidR="00EA0FD7" w:rsidRPr="00EA0FD7" w14:paraId="290350D9" w14:textId="77777777" w:rsidTr="00EA0FD7">
        <w:trPr>
          <w:trHeight w:val="240"/>
        </w:trPr>
        <w:tc>
          <w:tcPr>
            <w:tcW w:w="1263" w:type="dxa"/>
            <w:tcBorders>
              <w:top w:val="nil"/>
              <w:left w:val="single" w:sz="8" w:space="0" w:color="auto"/>
              <w:bottom w:val="single" w:sz="4" w:space="0" w:color="auto"/>
              <w:right w:val="single" w:sz="4" w:space="0" w:color="auto"/>
            </w:tcBorders>
            <w:noWrap/>
            <w:vAlign w:val="bottom"/>
            <w:hideMark/>
          </w:tcPr>
          <w:p w14:paraId="3BE4F73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lastRenderedPageBreak/>
              <w:t>611200</w:t>
            </w:r>
          </w:p>
        </w:tc>
        <w:tc>
          <w:tcPr>
            <w:tcW w:w="2668" w:type="dxa"/>
            <w:tcBorders>
              <w:top w:val="nil"/>
              <w:left w:val="nil"/>
              <w:bottom w:val="single" w:sz="4" w:space="0" w:color="auto"/>
              <w:right w:val="single" w:sz="4" w:space="0" w:color="auto"/>
            </w:tcBorders>
            <w:vAlign w:val="bottom"/>
            <w:hideMark/>
          </w:tcPr>
          <w:p w14:paraId="59ECE626"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265" w:type="dxa"/>
            <w:tcBorders>
              <w:top w:val="nil"/>
              <w:left w:val="nil"/>
              <w:bottom w:val="single" w:sz="4" w:space="0" w:color="auto"/>
              <w:right w:val="single" w:sz="4" w:space="0" w:color="auto"/>
            </w:tcBorders>
            <w:noWrap/>
            <w:vAlign w:val="bottom"/>
            <w:hideMark/>
          </w:tcPr>
          <w:p w14:paraId="7046329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7,433.00</w:t>
            </w:r>
          </w:p>
        </w:tc>
        <w:tc>
          <w:tcPr>
            <w:tcW w:w="1260" w:type="dxa"/>
            <w:tcBorders>
              <w:top w:val="nil"/>
              <w:left w:val="nil"/>
              <w:bottom w:val="single" w:sz="4" w:space="0" w:color="auto"/>
              <w:right w:val="single" w:sz="4" w:space="0" w:color="auto"/>
            </w:tcBorders>
            <w:noWrap/>
            <w:vAlign w:val="bottom"/>
            <w:hideMark/>
          </w:tcPr>
          <w:p w14:paraId="500FD58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1,350.00</w:t>
            </w:r>
          </w:p>
        </w:tc>
        <w:tc>
          <w:tcPr>
            <w:tcW w:w="1336" w:type="dxa"/>
            <w:tcBorders>
              <w:top w:val="nil"/>
              <w:left w:val="nil"/>
              <w:bottom w:val="single" w:sz="4" w:space="0" w:color="auto"/>
              <w:right w:val="single" w:sz="4" w:space="0" w:color="auto"/>
            </w:tcBorders>
            <w:noWrap/>
            <w:vAlign w:val="bottom"/>
            <w:hideMark/>
          </w:tcPr>
          <w:p w14:paraId="0A803E1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16,150.00</w:t>
            </w:r>
          </w:p>
        </w:tc>
        <w:tc>
          <w:tcPr>
            <w:tcW w:w="1316" w:type="dxa"/>
            <w:tcBorders>
              <w:top w:val="nil"/>
              <w:left w:val="nil"/>
              <w:bottom w:val="single" w:sz="4" w:space="0" w:color="auto"/>
              <w:right w:val="single" w:sz="4" w:space="0" w:color="auto"/>
            </w:tcBorders>
            <w:noWrap/>
            <w:vAlign w:val="bottom"/>
            <w:hideMark/>
          </w:tcPr>
          <w:p w14:paraId="74DAD73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25,208</w:t>
            </w:r>
          </w:p>
        </w:tc>
        <w:tc>
          <w:tcPr>
            <w:tcW w:w="1316" w:type="dxa"/>
            <w:tcBorders>
              <w:top w:val="nil"/>
              <w:left w:val="nil"/>
              <w:bottom w:val="single" w:sz="4" w:space="0" w:color="auto"/>
              <w:right w:val="single" w:sz="4" w:space="0" w:color="auto"/>
            </w:tcBorders>
            <w:noWrap/>
            <w:vAlign w:val="bottom"/>
            <w:hideMark/>
          </w:tcPr>
          <w:p w14:paraId="0A7F312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16,150</w:t>
            </w:r>
          </w:p>
        </w:tc>
        <w:tc>
          <w:tcPr>
            <w:tcW w:w="1316" w:type="dxa"/>
            <w:tcBorders>
              <w:top w:val="nil"/>
              <w:left w:val="nil"/>
              <w:bottom w:val="single" w:sz="4" w:space="0" w:color="auto"/>
              <w:right w:val="single" w:sz="4" w:space="0" w:color="auto"/>
            </w:tcBorders>
            <w:noWrap/>
            <w:vAlign w:val="bottom"/>
            <w:hideMark/>
          </w:tcPr>
          <w:p w14:paraId="4C8E36E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16,150</w:t>
            </w:r>
          </w:p>
        </w:tc>
        <w:tc>
          <w:tcPr>
            <w:tcW w:w="1316" w:type="dxa"/>
            <w:tcBorders>
              <w:top w:val="nil"/>
              <w:left w:val="nil"/>
              <w:bottom w:val="single" w:sz="4" w:space="0" w:color="auto"/>
              <w:right w:val="single" w:sz="4" w:space="0" w:color="auto"/>
            </w:tcBorders>
            <w:noWrap/>
            <w:vAlign w:val="bottom"/>
            <w:hideMark/>
          </w:tcPr>
          <w:p w14:paraId="06DC440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25,208</w:t>
            </w:r>
          </w:p>
        </w:tc>
        <w:tc>
          <w:tcPr>
            <w:tcW w:w="1316" w:type="dxa"/>
            <w:tcBorders>
              <w:top w:val="nil"/>
              <w:left w:val="nil"/>
              <w:bottom w:val="single" w:sz="4" w:space="0" w:color="auto"/>
              <w:right w:val="single" w:sz="4" w:space="0" w:color="auto"/>
            </w:tcBorders>
            <w:noWrap/>
            <w:vAlign w:val="bottom"/>
            <w:hideMark/>
          </w:tcPr>
          <w:p w14:paraId="4B2ACF2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16,150</w:t>
            </w:r>
          </w:p>
        </w:tc>
        <w:tc>
          <w:tcPr>
            <w:tcW w:w="1316" w:type="dxa"/>
            <w:tcBorders>
              <w:top w:val="nil"/>
              <w:left w:val="nil"/>
              <w:bottom w:val="single" w:sz="4" w:space="0" w:color="auto"/>
              <w:right w:val="single" w:sz="4" w:space="0" w:color="auto"/>
            </w:tcBorders>
            <w:noWrap/>
            <w:vAlign w:val="bottom"/>
            <w:hideMark/>
          </w:tcPr>
          <w:p w14:paraId="4459183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16,150</w:t>
            </w:r>
          </w:p>
        </w:tc>
      </w:tr>
      <w:tr w:rsidR="00EA0FD7" w:rsidRPr="00EA0FD7" w14:paraId="446ABC18" w14:textId="77777777" w:rsidTr="00EA0FD7">
        <w:trPr>
          <w:trHeight w:val="480"/>
        </w:trPr>
        <w:tc>
          <w:tcPr>
            <w:tcW w:w="1263" w:type="dxa"/>
            <w:tcBorders>
              <w:top w:val="nil"/>
              <w:left w:val="single" w:sz="8" w:space="0" w:color="auto"/>
              <w:bottom w:val="single" w:sz="4" w:space="0" w:color="auto"/>
              <w:right w:val="single" w:sz="4" w:space="0" w:color="auto"/>
            </w:tcBorders>
            <w:noWrap/>
            <w:vAlign w:val="bottom"/>
            <w:hideMark/>
          </w:tcPr>
          <w:p w14:paraId="7F415E4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668" w:type="dxa"/>
            <w:tcBorders>
              <w:top w:val="nil"/>
              <w:left w:val="nil"/>
              <w:bottom w:val="single" w:sz="4" w:space="0" w:color="auto"/>
              <w:right w:val="single" w:sz="4" w:space="0" w:color="auto"/>
            </w:tcBorders>
            <w:vAlign w:val="bottom"/>
            <w:hideMark/>
          </w:tcPr>
          <w:p w14:paraId="09CA0A7B"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265" w:type="dxa"/>
            <w:tcBorders>
              <w:top w:val="nil"/>
              <w:left w:val="nil"/>
              <w:bottom w:val="single" w:sz="4" w:space="0" w:color="auto"/>
              <w:right w:val="single" w:sz="4" w:space="0" w:color="auto"/>
            </w:tcBorders>
            <w:noWrap/>
            <w:vAlign w:val="bottom"/>
            <w:hideMark/>
          </w:tcPr>
          <w:p w14:paraId="2700D7F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12,360.00</w:t>
            </w:r>
          </w:p>
        </w:tc>
        <w:tc>
          <w:tcPr>
            <w:tcW w:w="1260" w:type="dxa"/>
            <w:tcBorders>
              <w:top w:val="nil"/>
              <w:left w:val="nil"/>
              <w:bottom w:val="single" w:sz="4" w:space="0" w:color="auto"/>
              <w:right w:val="single" w:sz="4" w:space="0" w:color="auto"/>
            </w:tcBorders>
            <w:noWrap/>
            <w:vAlign w:val="bottom"/>
            <w:hideMark/>
          </w:tcPr>
          <w:p w14:paraId="6669086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1,241.90</w:t>
            </w:r>
          </w:p>
        </w:tc>
        <w:tc>
          <w:tcPr>
            <w:tcW w:w="1336" w:type="dxa"/>
            <w:tcBorders>
              <w:top w:val="nil"/>
              <w:left w:val="nil"/>
              <w:bottom w:val="single" w:sz="4" w:space="0" w:color="auto"/>
              <w:right w:val="single" w:sz="4" w:space="0" w:color="auto"/>
            </w:tcBorders>
            <w:noWrap/>
            <w:vAlign w:val="bottom"/>
            <w:hideMark/>
          </w:tcPr>
          <w:p w14:paraId="6675093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71,097.00</w:t>
            </w:r>
          </w:p>
        </w:tc>
        <w:tc>
          <w:tcPr>
            <w:tcW w:w="1316" w:type="dxa"/>
            <w:tcBorders>
              <w:top w:val="nil"/>
              <w:left w:val="nil"/>
              <w:bottom w:val="single" w:sz="4" w:space="0" w:color="auto"/>
              <w:right w:val="single" w:sz="4" w:space="0" w:color="auto"/>
            </w:tcBorders>
            <w:noWrap/>
            <w:vAlign w:val="bottom"/>
            <w:hideMark/>
          </w:tcPr>
          <w:p w14:paraId="32EECDE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19,350</w:t>
            </w:r>
          </w:p>
        </w:tc>
        <w:tc>
          <w:tcPr>
            <w:tcW w:w="1316" w:type="dxa"/>
            <w:tcBorders>
              <w:top w:val="nil"/>
              <w:left w:val="nil"/>
              <w:bottom w:val="single" w:sz="4" w:space="0" w:color="auto"/>
              <w:right w:val="single" w:sz="4" w:space="0" w:color="auto"/>
            </w:tcBorders>
            <w:noWrap/>
            <w:vAlign w:val="bottom"/>
            <w:hideMark/>
          </w:tcPr>
          <w:p w14:paraId="0E5F0C9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19,350</w:t>
            </w:r>
          </w:p>
        </w:tc>
        <w:tc>
          <w:tcPr>
            <w:tcW w:w="1316" w:type="dxa"/>
            <w:tcBorders>
              <w:top w:val="nil"/>
              <w:left w:val="nil"/>
              <w:bottom w:val="single" w:sz="4" w:space="0" w:color="auto"/>
              <w:right w:val="single" w:sz="4" w:space="0" w:color="auto"/>
            </w:tcBorders>
            <w:noWrap/>
            <w:vAlign w:val="bottom"/>
            <w:hideMark/>
          </w:tcPr>
          <w:p w14:paraId="6F72AA4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19,350</w:t>
            </w:r>
          </w:p>
        </w:tc>
        <w:tc>
          <w:tcPr>
            <w:tcW w:w="1316" w:type="dxa"/>
            <w:tcBorders>
              <w:top w:val="nil"/>
              <w:left w:val="nil"/>
              <w:bottom w:val="single" w:sz="4" w:space="0" w:color="auto"/>
              <w:right w:val="single" w:sz="4" w:space="0" w:color="auto"/>
            </w:tcBorders>
            <w:noWrap/>
            <w:vAlign w:val="bottom"/>
            <w:hideMark/>
          </w:tcPr>
          <w:p w14:paraId="1CFAA90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19,350</w:t>
            </w:r>
          </w:p>
        </w:tc>
        <w:tc>
          <w:tcPr>
            <w:tcW w:w="1316" w:type="dxa"/>
            <w:tcBorders>
              <w:top w:val="nil"/>
              <w:left w:val="nil"/>
              <w:bottom w:val="single" w:sz="4" w:space="0" w:color="auto"/>
              <w:right w:val="single" w:sz="4" w:space="0" w:color="auto"/>
            </w:tcBorders>
            <w:noWrap/>
            <w:vAlign w:val="bottom"/>
            <w:hideMark/>
          </w:tcPr>
          <w:p w14:paraId="57333F8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19,350</w:t>
            </w:r>
          </w:p>
        </w:tc>
        <w:tc>
          <w:tcPr>
            <w:tcW w:w="1316" w:type="dxa"/>
            <w:tcBorders>
              <w:top w:val="nil"/>
              <w:left w:val="nil"/>
              <w:bottom w:val="single" w:sz="4" w:space="0" w:color="auto"/>
              <w:right w:val="single" w:sz="4" w:space="0" w:color="auto"/>
            </w:tcBorders>
            <w:noWrap/>
            <w:vAlign w:val="bottom"/>
            <w:hideMark/>
          </w:tcPr>
          <w:p w14:paraId="641994B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19,350</w:t>
            </w:r>
          </w:p>
        </w:tc>
      </w:tr>
      <w:tr w:rsidR="00EA0FD7" w:rsidRPr="00EA0FD7" w14:paraId="76A2B6DC" w14:textId="77777777" w:rsidTr="00EA0FD7">
        <w:trPr>
          <w:trHeight w:val="480"/>
        </w:trPr>
        <w:tc>
          <w:tcPr>
            <w:tcW w:w="1263" w:type="dxa"/>
            <w:tcBorders>
              <w:top w:val="nil"/>
              <w:left w:val="single" w:sz="8" w:space="0" w:color="auto"/>
              <w:bottom w:val="single" w:sz="4" w:space="0" w:color="auto"/>
              <w:right w:val="single" w:sz="4" w:space="0" w:color="auto"/>
            </w:tcBorders>
            <w:vAlign w:val="bottom"/>
            <w:hideMark/>
          </w:tcPr>
          <w:p w14:paraId="4DBEC47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614000</w:t>
            </w:r>
          </w:p>
        </w:tc>
        <w:tc>
          <w:tcPr>
            <w:tcW w:w="2668" w:type="dxa"/>
            <w:tcBorders>
              <w:top w:val="nil"/>
              <w:left w:val="nil"/>
              <w:bottom w:val="single" w:sz="4" w:space="0" w:color="auto"/>
              <w:right w:val="single" w:sz="4" w:space="0" w:color="auto"/>
            </w:tcBorders>
            <w:vAlign w:val="bottom"/>
            <w:hideMark/>
          </w:tcPr>
          <w:p w14:paraId="2A845B68"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265" w:type="dxa"/>
            <w:tcBorders>
              <w:top w:val="nil"/>
              <w:left w:val="nil"/>
              <w:bottom w:val="single" w:sz="4" w:space="0" w:color="auto"/>
              <w:right w:val="single" w:sz="4" w:space="0" w:color="auto"/>
            </w:tcBorders>
            <w:noWrap/>
            <w:vAlign w:val="bottom"/>
            <w:hideMark/>
          </w:tcPr>
          <w:p w14:paraId="32B36B8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260" w:type="dxa"/>
            <w:tcBorders>
              <w:top w:val="nil"/>
              <w:left w:val="nil"/>
              <w:bottom w:val="single" w:sz="4" w:space="0" w:color="auto"/>
              <w:right w:val="single" w:sz="4" w:space="0" w:color="auto"/>
            </w:tcBorders>
            <w:noWrap/>
            <w:vAlign w:val="bottom"/>
            <w:hideMark/>
          </w:tcPr>
          <w:p w14:paraId="28306C6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36" w:type="dxa"/>
            <w:tcBorders>
              <w:top w:val="nil"/>
              <w:left w:val="nil"/>
              <w:bottom w:val="single" w:sz="4" w:space="0" w:color="auto"/>
              <w:right w:val="single" w:sz="4" w:space="0" w:color="auto"/>
            </w:tcBorders>
            <w:noWrap/>
            <w:vAlign w:val="bottom"/>
            <w:hideMark/>
          </w:tcPr>
          <w:p w14:paraId="64BBE09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single" w:sz="4" w:space="0" w:color="auto"/>
              <w:right w:val="single" w:sz="4" w:space="0" w:color="auto"/>
            </w:tcBorders>
            <w:noWrap/>
            <w:vAlign w:val="bottom"/>
            <w:hideMark/>
          </w:tcPr>
          <w:p w14:paraId="16A4090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2DFA206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6FBA4D0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592B2E6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689F623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458767B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5B1DBE27" w14:textId="77777777" w:rsidTr="00EA0FD7">
        <w:trPr>
          <w:trHeight w:val="240"/>
        </w:trPr>
        <w:tc>
          <w:tcPr>
            <w:tcW w:w="1263" w:type="dxa"/>
            <w:tcBorders>
              <w:top w:val="nil"/>
              <w:left w:val="single" w:sz="8" w:space="0" w:color="auto"/>
              <w:bottom w:val="nil"/>
              <w:right w:val="single" w:sz="4" w:space="0" w:color="auto"/>
            </w:tcBorders>
            <w:vAlign w:val="bottom"/>
            <w:hideMark/>
          </w:tcPr>
          <w:p w14:paraId="5B4E1EE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615000</w:t>
            </w:r>
          </w:p>
        </w:tc>
        <w:tc>
          <w:tcPr>
            <w:tcW w:w="2668" w:type="dxa"/>
            <w:tcBorders>
              <w:top w:val="nil"/>
              <w:left w:val="nil"/>
              <w:bottom w:val="nil"/>
              <w:right w:val="single" w:sz="4" w:space="0" w:color="auto"/>
            </w:tcBorders>
            <w:vAlign w:val="bottom"/>
            <w:hideMark/>
          </w:tcPr>
          <w:p w14:paraId="5F03EC2A"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265" w:type="dxa"/>
            <w:tcBorders>
              <w:top w:val="nil"/>
              <w:left w:val="nil"/>
              <w:bottom w:val="nil"/>
              <w:right w:val="single" w:sz="4" w:space="0" w:color="auto"/>
            </w:tcBorders>
            <w:noWrap/>
            <w:vAlign w:val="bottom"/>
            <w:hideMark/>
          </w:tcPr>
          <w:p w14:paraId="3487F13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260" w:type="dxa"/>
            <w:tcBorders>
              <w:top w:val="nil"/>
              <w:left w:val="nil"/>
              <w:bottom w:val="single" w:sz="4" w:space="0" w:color="auto"/>
              <w:right w:val="single" w:sz="4" w:space="0" w:color="auto"/>
            </w:tcBorders>
            <w:noWrap/>
            <w:vAlign w:val="bottom"/>
            <w:hideMark/>
          </w:tcPr>
          <w:p w14:paraId="5E3D51F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36" w:type="dxa"/>
            <w:tcBorders>
              <w:top w:val="nil"/>
              <w:left w:val="nil"/>
              <w:bottom w:val="nil"/>
              <w:right w:val="single" w:sz="4" w:space="0" w:color="auto"/>
            </w:tcBorders>
            <w:noWrap/>
            <w:vAlign w:val="bottom"/>
            <w:hideMark/>
          </w:tcPr>
          <w:p w14:paraId="717DACF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nil"/>
              <w:right w:val="single" w:sz="4" w:space="0" w:color="auto"/>
            </w:tcBorders>
            <w:noWrap/>
            <w:vAlign w:val="bottom"/>
            <w:hideMark/>
          </w:tcPr>
          <w:p w14:paraId="7D6284A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4789038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6E58C5F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5EAFFEA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20C9502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661552F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7C721F4A" w14:textId="77777777" w:rsidTr="00EA0FD7">
        <w:trPr>
          <w:trHeight w:val="480"/>
        </w:trPr>
        <w:tc>
          <w:tcPr>
            <w:tcW w:w="1263" w:type="dxa"/>
            <w:tcBorders>
              <w:top w:val="single" w:sz="4" w:space="0" w:color="auto"/>
              <w:left w:val="single" w:sz="8" w:space="0" w:color="auto"/>
              <w:bottom w:val="nil"/>
              <w:right w:val="single" w:sz="4" w:space="0" w:color="auto"/>
            </w:tcBorders>
            <w:noWrap/>
            <w:vAlign w:val="bottom"/>
            <w:hideMark/>
          </w:tcPr>
          <w:p w14:paraId="1F14BCE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821000</w:t>
            </w:r>
          </w:p>
        </w:tc>
        <w:tc>
          <w:tcPr>
            <w:tcW w:w="2668" w:type="dxa"/>
            <w:tcBorders>
              <w:top w:val="single" w:sz="4" w:space="0" w:color="auto"/>
              <w:left w:val="nil"/>
              <w:bottom w:val="nil"/>
              <w:right w:val="single" w:sz="4" w:space="0" w:color="auto"/>
            </w:tcBorders>
            <w:vAlign w:val="bottom"/>
            <w:hideMark/>
          </w:tcPr>
          <w:p w14:paraId="799ECDFD"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265" w:type="dxa"/>
            <w:tcBorders>
              <w:top w:val="single" w:sz="4" w:space="0" w:color="auto"/>
              <w:left w:val="nil"/>
              <w:bottom w:val="nil"/>
              <w:right w:val="single" w:sz="4" w:space="0" w:color="auto"/>
            </w:tcBorders>
            <w:noWrap/>
            <w:vAlign w:val="bottom"/>
            <w:hideMark/>
          </w:tcPr>
          <w:p w14:paraId="5C51635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130,000.00</w:t>
            </w:r>
          </w:p>
        </w:tc>
        <w:tc>
          <w:tcPr>
            <w:tcW w:w="1260" w:type="dxa"/>
            <w:tcBorders>
              <w:top w:val="nil"/>
              <w:left w:val="nil"/>
              <w:bottom w:val="single" w:sz="4" w:space="0" w:color="auto"/>
              <w:right w:val="single" w:sz="4" w:space="0" w:color="auto"/>
            </w:tcBorders>
            <w:noWrap/>
            <w:vAlign w:val="bottom"/>
            <w:hideMark/>
          </w:tcPr>
          <w:p w14:paraId="395CC0F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36" w:type="dxa"/>
            <w:tcBorders>
              <w:top w:val="single" w:sz="4" w:space="0" w:color="auto"/>
              <w:left w:val="nil"/>
              <w:bottom w:val="nil"/>
              <w:right w:val="single" w:sz="4" w:space="0" w:color="auto"/>
            </w:tcBorders>
            <w:noWrap/>
            <w:vAlign w:val="bottom"/>
            <w:hideMark/>
          </w:tcPr>
          <w:p w14:paraId="3663C50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single" w:sz="4" w:space="0" w:color="auto"/>
              <w:left w:val="nil"/>
              <w:bottom w:val="nil"/>
              <w:right w:val="single" w:sz="4" w:space="0" w:color="auto"/>
            </w:tcBorders>
            <w:noWrap/>
            <w:vAlign w:val="bottom"/>
            <w:hideMark/>
          </w:tcPr>
          <w:p w14:paraId="2C8B978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single" w:sz="4" w:space="0" w:color="auto"/>
              <w:left w:val="nil"/>
              <w:bottom w:val="nil"/>
              <w:right w:val="single" w:sz="4" w:space="0" w:color="auto"/>
            </w:tcBorders>
            <w:noWrap/>
            <w:vAlign w:val="bottom"/>
            <w:hideMark/>
          </w:tcPr>
          <w:p w14:paraId="02420AE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single" w:sz="4" w:space="0" w:color="auto"/>
              <w:left w:val="nil"/>
              <w:bottom w:val="nil"/>
              <w:right w:val="single" w:sz="4" w:space="0" w:color="auto"/>
            </w:tcBorders>
            <w:noWrap/>
            <w:vAlign w:val="bottom"/>
            <w:hideMark/>
          </w:tcPr>
          <w:p w14:paraId="3AA87A4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single" w:sz="4" w:space="0" w:color="auto"/>
              <w:left w:val="nil"/>
              <w:bottom w:val="nil"/>
              <w:right w:val="single" w:sz="4" w:space="0" w:color="auto"/>
            </w:tcBorders>
            <w:noWrap/>
            <w:vAlign w:val="bottom"/>
            <w:hideMark/>
          </w:tcPr>
          <w:p w14:paraId="6C690C5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single" w:sz="4" w:space="0" w:color="auto"/>
              <w:left w:val="nil"/>
              <w:bottom w:val="nil"/>
              <w:right w:val="single" w:sz="4" w:space="0" w:color="auto"/>
            </w:tcBorders>
            <w:noWrap/>
            <w:vAlign w:val="bottom"/>
            <w:hideMark/>
          </w:tcPr>
          <w:p w14:paraId="150BDFD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single" w:sz="4" w:space="0" w:color="auto"/>
              <w:left w:val="nil"/>
              <w:bottom w:val="nil"/>
              <w:right w:val="single" w:sz="4" w:space="0" w:color="auto"/>
            </w:tcBorders>
            <w:noWrap/>
            <w:vAlign w:val="bottom"/>
            <w:hideMark/>
          </w:tcPr>
          <w:p w14:paraId="0398153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3660D762" w14:textId="77777777" w:rsidTr="00EA0FD7">
        <w:trPr>
          <w:trHeight w:val="285"/>
        </w:trPr>
        <w:tc>
          <w:tcPr>
            <w:tcW w:w="1263" w:type="dxa"/>
            <w:tcBorders>
              <w:top w:val="single" w:sz="8" w:space="0" w:color="auto"/>
              <w:left w:val="single" w:sz="8" w:space="0" w:color="auto"/>
              <w:bottom w:val="single" w:sz="8" w:space="0" w:color="auto"/>
              <w:right w:val="single" w:sz="8" w:space="0" w:color="auto"/>
            </w:tcBorders>
            <w:noWrap/>
            <w:vAlign w:val="bottom"/>
            <w:hideMark/>
          </w:tcPr>
          <w:p w14:paraId="41274AF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668" w:type="dxa"/>
            <w:tcBorders>
              <w:top w:val="single" w:sz="8" w:space="0" w:color="auto"/>
              <w:left w:val="nil"/>
              <w:bottom w:val="single" w:sz="8" w:space="0" w:color="auto"/>
              <w:right w:val="single" w:sz="8" w:space="0" w:color="auto"/>
            </w:tcBorders>
            <w:noWrap/>
            <w:vAlign w:val="bottom"/>
            <w:hideMark/>
          </w:tcPr>
          <w:p w14:paraId="1B7329D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265" w:type="dxa"/>
            <w:tcBorders>
              <w:top w:val="single" w:sz="8" w:space="0" w:color="auto"/>
              <w:left w:val="nil"/>
              <w:bottom w:val="single" w:sz="8" w:space="0" w:color="auto"/>
              <w:right w:val="single" w:sz="8" w:space="0" w:color="auto"/>
            </w:tcBorders>
            <w:noWrap/>
            <w:vAlign w:val="bottom"/>
            <w:hideMark/>
          </w:tcPr>
          <w:p w14:paraId="2C19D81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292,969.10</w:t>
            </w:r>
          </w:p>
        </w:tc>
        <w:tc>
          <w:tcPr>
            <w:tcW w:w="1260" w:type="dxa"/>
            <w:tcBorders>
              <w:top w:val="single" w:sz="8" w:space="0" w:color="auto"/>
              <w:left w:val="nil"/>
              <w:bottom w:val="single" w:sz="8" w:space="0" w:color="auto"/>
              <w:right w:val="single" w:sz="8" w:space="0" w:color="auto"/>
            </w:tcBorders>
            <w:noWrap/>
            <w:vAlign w:val="bottom"/>
            <w:hideMark/>
          </w:tcPr>
          <w:p w14:paraId="76844EF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128,611.37</w:t>
            </w:r>
          </w:p>
        </w:tc>
        <w:tc>
          <w:tcPr>
            <w:tcW w:w="1336" w:type="dxa"/>
            <w:tcBorders>
              <w:top w:val="single" w:sz="8" w:space="0" w:color="auto"/>
              <w:left w:val="nil"/>
              <w:bottom w:val="single" w:sz="8" w:space="0" w:color="auto"/>
              <w:right w:val="single" w:sz="8" w:space="0" w:color="auto"/>
            </w:tcBorders>
            <w:noWrap/>
            <w:vAlign w:val="bottom"/>
            <w:hideMark/>
          </w:tcPr>
          <w:p w14:paraId="4CD6145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402,755.11</w:t>
            </w:r>
          </w:p>
        </w:tc>
        <w:tc>
          <w:tcPr>
            <w:tcW w:w="1316" w:type="dxa"/>
            <w:tcBorders>
              <w:top w:val="single" w:sz="8" w:space="0" w:color="auto"/>
              <w:left w:val="nil"/>
              <w:bottom w:val="single" w:sz="8" w:space="0" w:color="auto"/>
              <w:right w:val="single" w:sz="8" w:space="0" w:color="auto"/>
            </w:tcBorders>
            <w:noWrap/>
            <w:vAlign w:val="bottom"/>
            <w:hideMark/>
          </w:tcPr>
          <w:p w14:paraId="4BD68FC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399,674</w:t>
            </w:r>
          </w:p>
        </w:tc>
        <w:tc>
          <w:tcPr>
            <w:tcW w:w="1316" w:type="dxa"/>
            <w:tcBorders>
              <w:top w:val="single" w:sz="8" w:space="0" w:color="auto"/>
              <w:left w:val="nil"/>
              <w:bottom w:val="single" w:sz="8" w:space="0" w:color="auto"/>
              <w:right w:val="single" w:sz="8" w:space="0" w:color="auto"/>
            </w:tcBorders>
            <w:noWrap/>
            <w:vAlign w:val="bottom"/>
            <w:hideMark/>
          </w:tcPr>
          <w:p w14:paraId="015717D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391,232</w:t>
            </w:r>
          </w:p>
        </w:tc>
        <w:tc>
          <w:tcPr>
            <w:tcW w:w="1316" w:type="dxa"/>
            <w:tcBorders>
              <w:top w:val="single" w:sz="8" w:space="0" w:color="auto"/>
              <w:left w:val="nil"/>
              <w:bottom w:val="single" w:sz="8" w:space="0" w:color="auto"/>
              <w:right w:val="single" w:sz="8" w:space="0" w:color="auto"/>
            </w:tcBorders>
            <w:noWrap/>
            <w:vAlign w:val="bottom"/>
            <w:hideMark/>
          </w:tcPr>
          <w:p w14:paraId="053A7CA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391,782</w:t>
            </w:r>
          </w:p>
        </w:tc>
        <w:tc>
          <w:tcPr>
            <w:tcW w:w="1316" w:type="dxa"/>
            <w:tcBorders>
              <w:top w:val="single" w:sz="8" w:space="0" w:color="auto"/>
              <w:left w:val="nil"/>
              <w:bottom w:val="single" w:sz="8" w:space="0" w:color="auto"/>
              <w:right w:val="single" w:sz="8" w:space="0" w:color="auto"/>
            </w:tcBorders>
            <w:noWrap/>
            <w:vAlign w:val="bottom"/>
            <w:hideMark/>
          </w:tcPr>
          <w:p w14:paraId="2FCDF66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399,674</w:t>
            </w:r>
          </w:p>
        </w:tc>
        <w:tc>
          <w:tcPr>
            <w:tcW w:w="1316" w:type="dxa"/>
            <w:tcBorders>
              <w:top w:val="single" w:sz="8" w:space="0" w:color="auto"/>
              <w:left w:val="nil"/>
              <w:bottom w:val="single" w:sz="8" w:space="0" w:color="auto"/>
              <w:right w:val="single" w:sz="8" w:space="0" w:color="auto"/>
            </w:tcBorders>
            <w:noWrap/>
            <w:vAlign w:val="bottom"/>
            <w:hideMark/>
          </w:tcPr>
          <w:p w14:paraId="0B73A96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391,232</w:t>
            </w:r>
          </w:p>
        </w:tc>
        <w:tc>
          <w:tcPr>
            <w:tcW w:w="1316" w:type="dxa"/>
            <w:tcBorders>
              <w:top w:val="single" w:sz="8" w:space="0" w:color="auto"/>
              <w:left w:val="nil"/>
              <w:bottom w:val="single" w:sz="8" w:space="0" w:color="auto"/>
              <w:right w:val="single" w:sz="8" w:space="0" w:color="auto"/>
            </w:tcBorders>
            <w:noWrap/>
            <w:vAlign w:val="bottom"/>
            <w:hideMark/>
          </w:tcPr>
          <w:p w14:paraId="6F37450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391,782</w:t>
            </w:r>
          </w:p>
        </w:tc>
      </w:tr>
      <w:tr w:rsidR="00EA0FD7" w:rsidRPr="00EA0FD7" w14:paraId="0652D5D0" w14:textId="77777777" w:rsidTr="00EA0FD7">
        <w:trPr>
          <w:trHeight w:val="195"/>
        </w:trPr>
        <w:tc>
          <w:tcPr>
            <w:tcW w:w="1263" w:type="dxa"/>
            <w:tcBorders>
              <w:top w:val="nil"/>
              <w:left w:val="single" w:sz="8" w:space="0" w:color="auto"/>
              <w:bottom w:val="single" w:sz="8" w:space="0" w:color="auto"/>
              <w:right w:val="nil"/>
            </w:tcBorders>
            <w:noWrap/>
            <w:vAlign w:val="bottom"/>
            <w:hideMark/>
          </w:tcPr>
          <w:p w14:paraId="3C3389C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668" w:type="dxa"/>
            <w:tcBorders>
              <w:top w:val="nil"/>
              <w:left w:val="nil"/>
              <w:bottom w:val="single" w:sz="8" w:space="0" w:color="auto"/>
              <w:right w:val="nil"/>
            </w:tcBorders>
            <w:noWrap/>
            <w:vAlign w:val="bottom"/>
            <w:hideMark/>
          </w:tcPr>
          <w:p w14:paraId="203902C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65" w:type="dxa"/>
            <w:tcBorders>
              <w:top w:val="nil"/>
              <w:left w:val="nil"/>
              <w:bottom w:val="single" w:sz="8" w:space="0" w:color="auto"/>
              <w:right w:val="nil"/>
            </w:tcBorders>
            <w:noWrap/>
            <w:vAlign w:val="bottom"/>
            <w:hideMark/>
          </w:tcPr>
          <w:p w14:paraId="462BD58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60" w:type="dxa"/>
            <w:tcBorders>
              <w:top w:val="nil"/>
              <w:left w:val="nil"/>
              <w:bottom w:val="single" w:sz="8" w:space="0" w:color="auto"/>
              <w:right w:val="nil"/>
            </w:tcBorders>
            <w:noWrap/>
            <w:vAlign w:val="bottom"/>
            <w:hideMark/>
          </w:tcPr>
          <w:p w14:paraId="1AAB31A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tcBorders>
              <w:top w:val="nil"/>
              <w:left w:val="nil"/>
              <w:bottom w:val="single" w:sz="8" w:space="0" w:color="auto"/>
              <w:right w:val="nil"/>
            </w:tcBorders>
            <w:noWrap/>
            <w:vAlign w:val="bottom"/>
            <w:hideMark/>
          </w:tcPr>
          <w:p w14:paraId="349B869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4D8722E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5453B04B"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299F110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565DF776"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nil"/>
            </w:tcBorders>
            <w:noWrap/>
            <w:vAlign w:val="bottom"/>
            <w:hideMark/>
          </w:tcPr>
          <w:p w14:paraId="6DEB5E9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single" w:sz="8" w:space="0" w:color="auto"/>
            </w:tcBorders>
            <w:noWrap/>
            <w:vAlign w:val="bottom"/>
            <w:hideMark/>
          </w:tcPr>
          <w:p w14:paraId="799939F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5ABC6EFC" w14:textId="77777777" w:rsidTr="00EA0FD7">
        <w:trPr>
          <w:trHeight w:val="240"/>
        </w:trPr>
        <w:tc>
          <w:tcPr>
            <w:tcW w:w="1263" w:type="dxa"/>
            <w:tcBorders>
              <w:top w:val="nil"/>
              <w:left w:val="single" w:sz="8" w:space="0" w:color="auto"/>
              <w:bottom w:val="single" w:sz="8" w:space="0" w:color="auto"/>
              <w:right w:val="single" w:sz="8" w:space="0" w:color="auto"/>
            </w:tcBorders>
            <w:noWrap/>
            <w:vAlign w:val="bottom"/>
            <w:hideMark/>
          </w:tcPr>
          <w:p w14:paraId="32E14EE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668" w:type="dxa"/>
            <w:tcBorders>
              <w:top w:val="nil"/>
              <w:left w:val="nil"/>
              <w:bottom w:val="single" w:sz="8" w:space="0" w:color="auto"/>
              <w:right w:val="single" w:sz="8" w:space="0" w:color="auto"/>
            </w:tcBorders>
            <w:noWrap/>
            <w:vAlign w:val="bottom"/>
            <w:hideMark/>
          </w:tcPr>
          <w:p w14:paraId="089BB7B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265" w:type="dxa"/>
            <w:tcBorders>
              <w:top w:val="nil"/>
              <w:left w:val="nil"/>
              <w:bottom w:val="single" w:sz="8" w:space="0" w:color="auto"/>
              <w:right w:val="single" w:sz="8" w:space="0" w:color="auto"/>
            </w:tcBorders>
            <w:noWrap/>
            <w:vAlign w:val="bottom"/>
            <w:hideMark/>
          </w:tcPr>
          <w:p w14:paraId="58E31D13"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w:t>
            </w:r>
          </w:p>
        </w:tc>
        <w:tc>
          <w:tcPr>
            <w:tcW w:w="1260" w:type="dxa"/>
            <w:tcBorders>
              <w:top w:val="nil"/>
              <w:left w:val="nil"/>
              <w:bottom w:val="single" w:sz="8" w:space="0" w:color="auto"/>
              <w:right w:val="single" w:sz="8" w:space="0" w:color="auto"/>
            </w:tcBorders>
            <w:noWrap/>
            <w:vAlign w:val="bottom"/>
            <w:hideMark/>
          </w:tcPr>
          <w:p w14:paraId="1BDF53F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w:t>
            </w:r>
          </w:p>
        </w:tc>
        <w:tc>
          <w:tcPr>
            <w:tcW w:w="1336" w:type="dxa"/>
            <w:tcBorders>
              <w:top w:val="nil"/>
              <w:left w:val="nil"/>
              <w:bottom w:val="single" w:sz="8" w:space="0" w:color="auto"/>
              <w:right w:val="single" w:sz="8" w:space="0" w:color="auto"/>
            </w:tcBorders>
            <w:noWrap/>
            <w:vAlign w:val="bottom"/>
            <w:hideMark/>
          </w:tcPr>
          <w:p w14:paraId="61A42FE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w:t>
            </w:r>
          </w:p>
        </w:tc>
        <w:tc>
          <w:tcPr>
            <w:tcW w:w="1316" w:type="dxa"/>
            <w:tcBorders>
              <w:top w:val="nil"/>
              <w:left w:val="nil"/>
              <w:bottom w:val="single" w:sz="8" w:space="0" w:color="auto"/>
              <w:right w:val="single" w:sz="8" w:space="0" w:color="auto"/>
            </w:tcBorders>
            <w:noWrap/>
            <w:vAlign w:val="bottom"/>
            <w:hideMark/>
          </w:tcPr>
          <w:p w14:paraId="72CF55B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w:t>
            </w:r>
          </w:p>
        </w:tc>
        <w:tc>
          <w:tcPr>
            <w:tcW w:w="1316" w:type="dxa"/>
            <w:tcBorders>
              <w:top w:val="nil"/>
              <w:left w:val="nil"/>
              <w:bottom w:val="single" w:sz="8" w:space="0" w:color="auto"/>
              <w:right w:val="single" w:sz="8" w:space="0" w:color="auto"/>
            </w:tcBorders>
            <w:noWrap/>
            <w:vAlign w:val="bottom"/>
            <w:hideMark/>
          </w:tcPr>
          <w:p w14:paraId="171907C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w:t>
            </w:r>
          </w:p>
        </w:tc>
        <w:tc>
          <w:tcPr>
            <w:tcW w:w="1316" w:type="dxa"/>
            <w:tcBorders>
              <w:top w:val="nil"/>
              <w:left w:val="nil"/>
              <w:bottom w:val="single" w:sz="8" w:space="0" w:color="auto"/>
              <w:right w:val="single" w:sz="8" w:space="0" w:color="auto"/>
            </w:tcBorders>
            <w:noWrap/>
            <w:vAlign w:val="bottom"/>
            <w:hideMark/>
          </w:tcPr>
          <w:p w14:paraId="364D431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w:t>
            </w:r>
          </w:p>
        </w:tc>
        <w:tc>
          <w:tcPr>
            <w:tcW w:w="1316" w:type="dxa"/>
            <w:tcBorders>
              <w:top w:val="nil"/>
              <w:left w:val="nil"/>
              <w:bottom w:val="single" w:sz="8" w:space="0" w:color="auto"/>
              <w:right w:val="single" w:sz="8" w:space="0" w:color="auto"/>
            </w:tcBorders>
            <w:noWrap/>
            <w:vAlign w:val="bottom"/>
            <w:hideMark/>
          </w:tcPr>
          <w:p w14:paraId="4D13168E"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w:t>
            </w:r>
          </w:p>
        </w:tc>
        <w:tc>
          <w:tcPr>
            <w:tcW w:w="1316" w:type="dxa"/>
            <w:tcBorders>
              <w:top w:val="nil"/>
              <w:left w:val="nil"/>
              <w:bottom w:val="single" w:sz="8" w:space="0" w:color="auto"/>
              <w:right w:val="single" w:sz="8" w:space="0" w:color="auto"/>
            </w:tcBorders>
            <w:noWrap/>
            <w:vAlign w:val="bottom"/>
            <w:hideMark/>
          </w:tcPr>
          <w:p w14:paraId="7055199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w:t>
            </w:r>
          </w:p>
        </w:tc>
        <w:tc>
          <w:tcPr>
            <w:tcW w:w="1316" w:type="dxa"/>
            <w:tcBorders>
              <w:top w:val="nil"/>
              <w:left w:val="nil"/>
              <w:bottom w:val="single" w:sz="8" w:space="0" w:color="auto"/>
              <w:right w:val="single" w:sz="8" w:space="0" w:color="auto"/>
            </w:tcBorders>
            <w:noWrap/>
            <w:vAlign w:val="bottom"/>
            <w:hideMark/>
          </w:tcPr>
          <w:p w14:paraId="0BC3345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w:t>
            </w:r>
          </w:p>
        </w:tc>
      </w:tr>
    </w:tbl>
    <w:p w14:paraId="09FA90EB"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6C9632E7"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tbl>
      <w:tblPr>
        <w:tblW w:w="15688" w:type="dxa"/>
        <w:tblInd w:w="108" w:type="dxa"/>
        <w:tblLook w:val="04A0" w:firstRow="1" w:lastRow="0" w:firstColumn="1" w:lastColumn="0" w:noHBand="0" w:noVBand="1"/>
      </w:tblPr>
      <w:tblGrid>
        <w:gridCol w:w="1280"/>
        <w:gridCol w:w="2710"/>
        <w:gridCol w:w="1286"/>
        <w:gridCol w:w="1180"/>
        <w:gridCol w:w="1336"/>
        <w:gridCol w:w="1316"/>
        <w:gridCol w:w="1316"/>
        <w:gridCol w:w="1316"/>
        <w:gridCol w:w="1316"/>
        <w:gridCol w:w="1316"/>
        <w:gridCol w:w="1316"/>
      </w:tblGrid>
      <w:tr w:rsidR="00EA0FD7" w:rsidRPr="00EA0FD7" w14:paraId="1946C40E" w14:textId="77777777" w:rsidTr="00EA0FD7">
        <w:trPr>
          <w:trHeight w:val="240"/>
        </w:trPr>
        <w:tc>
          <w:tcPr>
            <w:tcW w:w="6456" w:type="dxa"/>
            <w:gridSpan w:val="4"/>
            <w:tcBorders>
              <w:top w:val="nil"/>
              <w:left w:val="nil"/>
              <w:bottom w:val="single" w:sz="8" w:space="0" w:color="auto"/>
              <w:right w:val="nil"/>
            </w:tcBorders>
            <w:noWrap/>
            <w:vAlign w:val="bottom"/>
            <w:hideMark/>
          </w:tcPr>
          <w:p w14:paraId="592BB636" w14:textId="6A038984"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33 </w:t>
            </w:r>
            <w:r w:rsidR="00752F04">
              <w:rPr>
                <w:rFonts w:ascii="Arial" w:eastAsia="Times New Roman" w:hAnsi="Arial" w:cs="Arial"/>
                <w:b/>
                <w:bCs/>
                <w:sz w:val="20"/>
                <w:szCs w:val="20"/>
                <w:lang w:val="sr-Cyrl-RS"/>
              </w:rPr>
              <w:t>–</w:t>
            </w:r>
            <w:r w:rsidRPr="00EA0FD7">
              <w:rPr>
                <w:rFonts w:ascii="Arial" w:eastAsia="Times New Roman" w:hAnsi="Arial" w:cs="Arial"/>
                <w:b/>
                <w:bCs/>
                <w:sz w:val="20"/>
                <w:szCs w:val="20"/>
                <w:lang w:val="sr-Cyrl-RS"/>
              </w:rPr>
              <w:t xml:space="preserve"> КОМИСИЈА ЗА ОДЛУЧИВАЊЕ О СУКОБУ ИНТЕРЕСА</w:t>
            </w:r>
          </w:p>
        </w:tc>
        <w:tc>
          <w:tcPr>
            <w:tcW w:w="1336" w:type="dxa"/>
            <w:noWrap/>
            <w:vAlign w:val="bottom"/>
          </w:tcPr>
          <w:p w14:paraId="7CFA1DD7"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2257B459"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19AE7BE6"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55D3D78F"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3B015AD9"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3E06FEC3"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316" w:type="dxa"/>
            <w:noWrap/>
            <w:vAlign w:val="bottom"/>
          </w:tcPr>
          <w:p w14:paraId="2D686711"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4A300428" w14:textId="77777777" w:rsidTr="00EA0FD7">
        <w:trPr>
          <w:trHeight w:val="240"/>
        </w:trPr>
        <w:tc>
          <w:tcPr>
            <w:tcW w:w="1280" w:type="dxa"/>
            <w:vMerge w:val="restart"/>
            <w:tcBorders>
              <w:top w:val="nil"/>
              <w:left w:val="single" w:sz="8" w:space="0" w:color="auto"/>
              <w:bottom w:val="single" w:sz="8" w:space="0" w:color="000000"/>
              <w:right w:val="single" w:sz="8" w:space="0" w:color="auto"/>
            </w:tcBorders>
            <w:shd w:val="clear" w:color="auto" w:fill="808080"/>
            <w:vAlign w:val="center"/>
            <w:hideMark/>
          </w:tcPr>
          <w:p w14:paraId="4ADC0E7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710" w:type="dxa"/>
            <w:vMerge w:val="restart"/>
            <w:tcBorders>
              <w:top w:val="nil"/>
              <w:left w:val="single" w:sz="8" w:space="0" w:color="auto"/>
              <w:bottom w:val="single" w:sz="8" w:space="0" w:color="000000"/>
              <w:right w:val="single" w:sz="8" w:space="0" w:color="auto"/>
            </w:tcBorders>
            <w:shd w:val="clear" w:color="auto" w:fill="808080"/>
            <w:vAlign w:val="center"/>
            <w:hideMark/>
          </w:tcPr>
          <w:p w14:paraId="77250DE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286" w:type="dxa"/>
            <w:vMerge w:val="restart"/>
            <w:tcBorders>
              <w:top w:val="nil"/>
              <w:left w:val="single" w:sz="8" w:space="0" w:color="auto"/>
              <w:bottom w:val="single" w:sz="8" w:space="0" w:color="000000"/>
              <w:right w:val="single" w:sz="8" w:space="0" w:color="auto"/>
            </w:tcBorders>
            <w:shd w:val="clear" w:color="auto" w:fill="808080"/>
            <w:vAlign w:val="center"/>
            <w:hideMark/>
          </w:tcPr>
          <w:p w14:paraId="63943D9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180" w:type="dxa"/>
            <w:vMerge w:val="restart"/>
            <w:tcBorders>
              <w:top w:val="nil"/>
              <w:left w:val="single" w:sz="8" w:space="0" w:color="auto"/>
              <w:bottom w:val="single" w:sz="8" w:space="0" w:color="000000"/>
              <w:right w:val="single" w:sz="8" w:space="0" w:color="auto"/>
            </w:tcBorders>
            <w:shd w:val="clear" w:color="auto" w:fill="808080"/>
            <w:vAlign w:val="center"/>
            <w:hideMark/>
          </w:tcPr>
          <w:p w14:paraId="490C0434"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336" w:type="dxa"/>
            <w:vMerge w:val="restart"/>
            <w:tcBorders>
              <w:top w:val="single" w:sz="8" w:space="0" w:color="auto"/>
              <w:left w:val="single" w:sz="8" w:space="0" w:color="auto"/>
              <w:bottom w:val="single" w:sz="8" w:space="0" w:color="000000"/>
              <w:right w:val="single" w:sz="8" w:space="0" w:color="auto"/>
            </w:tcBorders>
            <w:shd w:val="clear" w:color="auto" w:fill="808080"/>
            <w:vAlign w:val="center"/>
            <w:hideMark/>
          </w:tcPr>
          <w:p w14:paraId="6D0A0EC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35E540C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36F40351"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EA0FD7" w:rsidRPr="00EA0FD7" w14:paraId="70FED6FD" w14:textId="77777777" w:rsidTr="00EA0FD7">
        <w:trPr>
          <w:trHeight w:val="240"/>
        </w:trPr>
        <w:tc>
          <w:tcPr>
            <w:tcW w:w="0" w:type="auto"/>
            <w:vMerge/>
            <w:tcBorders>
              <w:top w:val="nil"/>
              <w:left w:val="single" w:sz="8" w:space="0" w:color="auto"/>
              <w:bottom w:val="single" w:sz="8" w:space="0" w:color="000000"/>
              <w:right w:val="single" w:sz="8" w:space="0" w:color="auto"/>
            </w:tcBorders>
            <w:vAlign w:val="center"/>
            <w:hideMark/>
          </w:tcPr>
          <w:p w14:paraId="2F1C422E"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6A23BBC5"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77E76555"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032755E2"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7167713" w14:textId="77777777" w:rsidR="00EA0FD7" w:rsidRPr="00EA0FD7" w:rsidRDefault="00EA0FD7" w:rsidP="00EA0FD7">
            <w:pPr>
              <w:spacing w:after="0" w:line="240" w:lineRule="auto"/>
              <w:rPr>
                <w:rFonts w:ascii="Arial" w:eastAsia="Times New Roman" w:hAnsi="Arial" w:cs="Arial"/>
                <w:b/>
                <w:bCs/>
                <w:color w:val="FFFFFF"/>
                <w:sz w:val="18"/>
                <w:szCs w:val="18"/>
                <w:lang w:val="sr-Cyrl-RS"/>
              </w:rPr>
            </w:pPr>
          </w:p>
        </w:tc>
        <w:tc>
          <w:tcPr>
            <w:tcW w:w="1316" w:type="dxa"/>
            <w:tcBorders>
              <w:top w:val="nil"/>
              <w:left w:val="nil"/>
              <w:bottom w:val="single" w:sz="8" w:space="0" w:color="auto"/>
              <w:right w:val="single" w:sz="4" w:space="0" w:color="auto"/>
            </w:tcBorders>
            <w:shd w:val="clear" w:color="auto" w:fill="808080"/>
            <w:noWrap/>
            <w:vAlign w:val="center"/>
            <w:hideMark/>
          </w:tcPr>
          <w:p w14:paraId="53E2E1AE"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41F8AF85"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7C725CF3"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tcBorders>
              <w:top w:val="nil"/>
              <w:left w:val="nil"/>
              <w:bottom w:val="single" w:sz="8" w:space="0" w:color="auto"/>
              <w:right w:val="single" w:sz="4" w:space="0" w:color="auto"/>
            </w:tcBorders>
            <w:shd w:val="clear" w:color="auto" w:fill="808080"/>
            <w:noWrap/>
            <w:vAlign w:val="center"/>
            <w:hideMark/>
          </w:tcPr>
          <w:p w14:paraId="4A64DC19"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1A5C94CF"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6CC587FD" w14:textId="77777777" w:rsidR="00EA0FD7" w:rsidRPr="00EA0FD7" w:rsidRDefault="00EA0FD7" w:rsidP="00EA0FD7">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EA0FD7" w:rsidRPr="00EA0FD7" w14:paraId="010086A0" w14:textId="77777777" w:rsidTr="00EA0FD7">
        <w:trPr>
          <w:trHeight w:val="240"/>
        </w:trPr>
        <w:tc>
          <w:tcPr>
            <w:tcW w:w="1280" w:type="dxa"/>
            <w:tcBorders>
              <w:top w:val="single" w:sz="4" w:space="0" w:color="auto"/>
              <w:left w:val="single" w:sz="8" w:space="0" w:color="auto"/>
              <w:bottom w:val="single" w:sz="4" w:space="0" w:color="auto"/>
              <w:right w:val="single" w:sz="4" w:space="0" w:color="auto"/>
            </w:tcBorders>
            <w:noWrap/>
            <w:vAlign w:val="bottom"/>
            <w:hideMark/>
          </w:tcPr>
          <w:p w14:paraId="7B8A9F4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710" w:type="dxa"/>
            <w:tcBorders>
              <w:top w:val="nil"/>
              <w:left w:val="nil"/>
              <w:bottom w:val="single" w:sz="4" w:space="0" w:color="auto"/>
              <w:right w:val="single" w:sz="4" w:space="0" w:color="auto"/>
            </w:tcBorders>
            <w:noWrap/>
            <w:vAlign w:val="bottom"/>
            <w:hideMark/>
          </w:tcPr>
          <w:p w14:paraId="100D018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286" w:type="dxa"/>
            <w:tcBorders>
              <w:top w:val="single" w:sz="4" w:space="0" w:color="auto"/>
              <w:left w:val="nil"/>
              <w:bottom w:val="single" w:sz="4" w:space="0" w:color="auto"/>
              <w:right w:val="single" w:sz="4" w:space="0" w:color="auto"/>
            </w:tcBorders>
            <w:noWrap/>
            <w:vAlign w:val="bottom"/>
            <w:hideMark/>
          </w:tcPr>
          <w:p w14:paraId="5E01057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80" w:type="dxa"/>
            <w:tcBorders>
              <w:top w:val="single" w:sz="4" w:space="0" w:color="auto"/>
              <w:left w:val="nil"/>
              <w:bottom w:val="single" w:sz="4" w:space="0" w:color="auto"/>
              <w:right w:val="single" w:sz="4" w:space="0" w:color="auto"/>
            </w:tcBorders>
            <w:noWrap/>
            <w:vAlign w:val="bottom"/>
            <w:hideMark/>
          </w:tcPr>
          <w:p w14:paraId="683C7E0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tcBorders>
              <w:top w:val="single" w:sz="4" w:space="0" w:color="auto"/>
              <w:left w:val="nil"/>
              <w:bottom w:val="single" w:sz="4" w:space="0" w:color="auto"/>
              <w:right w:val="single" w:sz="4" w:space="0" w:color="auto"/>
            </w:tcBorders>
            <w:noWrap/>
            <w:vAlign w:val="bottom"/>
            <w:hideMark/>
          </w:tcPr>
          <w:p w14:paraId="73BAADE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5BAF347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6B7C8B4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23F7F8A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7B0B4B8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4" w:space="0" w:color="auto"/>
            </w:tcBorders>
            <w:noWrap/>
            <w:vAlign w:val="bottom"/>
            <w:hideMark/>
          </w:tcPr>
          <w:p w14:paraId="7B5D559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single" w:sz="4" w:space="0" w:color="auto"/>
              <w:left w:val="nil"/>
              <w:bottom w:val="single" w:sz="4" w:space="0" w:color="auto"/>
              <w:right w:val="single" w:sz="8" w:space="0" w:color="auto"/>
            </w:tcBorders>
            <w:noWrap/>
            <w:vAlign w:val="bottom"/>
            <w:hideMark/>
          </w:tcPr>
          <w:p w14:paraId="46A9F3F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54107A9C" w14:textId="77777777" w:rsidTr="00EA0FD7">
        <w:trPr>
          <w:trHeight w:val="480"/>
        </w:trPr>
        <w:tc>
          <w:tcPr>
            <w:tcW w:w="1280" w:type="dxa"/>
            <w:tcBorders>
              <w:top w:val="nil"/>
              <w:left w:val="single" w:sz="8" w:space="0" w:color="auto"/>
              <w:bottom w:val="single" w:sz="4" w:space="0" w:color="auto"/>
              <w:right w:val="single" w:sz="4" w:space="0" w:color="auto"/>
            </w:tcBorders>
            <w:vAlign w:val="bottom"/>
            <w:hideMark/>
          </w:tcPr>
          <w:p w14:paraId="0C39575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710" w:type="dxa"/>
            <w:tcBorders>
              <w:top w:val="nil"/>
              <w:left w:val="nil"/>
              <w:bottom w:val="single" w:sz="4" w:space="0" w:color="auto"/>
              <w:right w:val="single" w:sz="4" w:space="0" w:color="auto"/>
            </w:tcBorders>
            <w:vAlign w:val="bottom"/>
            <w:hideMark/>
          </w:tcPr>
          <w:p w14:paraId="0ED81BFE"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286" w:type="dxa"/>
            <w:tcBorders>
              <w:top w:val="nil"/>
              <w:left w:val="nil"/>
              <w:bottom w:val="single" w:sz="4" w:space="0" w:color="auto"/>
              <w:right w:val="single" w:sz="4" w:space="0" w:color="auto"/>
            </w:tcBorders>
            <w:noWrap/>
            <w:vAlign w:val="bottom"/>
            <w:hideMark/>
          </w:tcPr>
          <w:p w14:paraId="13B6A28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88,360.00</w:t>
            </w:r>
          </w:p>
        </w:tc>
        <w:tc>
          <w:tcPr>
            <w:tcW w:w="1180" w:type="dxa"/>
            <w:tcBorders>
              <w:top w:val="nil"/>
              <w:left w:val="nil"/>
              <w:bottom w:val="single" w:sz="4" w:space="0" w:color="auto"/>
              <w:right w:val="single" w:sz="4" w:space="0" w:color="auto"/>
            </w:tcBorders>
            <w:noWrap/>
            <w:vAlign w:val="bottom"/>
            <w:hideMark/>
          </w:tcPr>
          <w:p w14:paraId="6085B63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85,117.37</w:t>
            </w:r>
          </w:p>
        </w:tc>
        <w:tc>
          <w:tcPr>
            <w:tcW w:w="1336" w:type="dxa"/>
            <w:tcBorders>
              <w:top w:val="nil"/>
              <w:left w:val="nil"/>
              <w:bottom w:val="single" w:sz="4" w:space="0" w:color="auto"/>
              <w:right w:val="single" w:sz="4" w:space="0" w:color="auto"/>
            </w:tcBorders>
            <w:noWrap/>
            <w:vAlign w:val="bottom"/>
            <w:hideMark/>
          </w:tcPr>
          <w:p w14:paraId="04AB979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313,666.20</w:t>
            </w:r>
          </w:p>
        </w:tc>
        <w:tc>
          <w:tcPr>
            <w:tcW w:w="1316" w:type="dxa"/>
            <w:tcBorders>
              <w:top w:val="nil"/>
              <w:left w:val="nil"/>
              <w:bottom w:val="single" w:sz="4" w:space="0" w:color="auto"/>
              <w:right w:val="single" w:sz="4" w:space="0" w:color="auto"/>
            </w:tcBorders>
            <w:noWrap/>
            <w:vAlign w:val="bottom"/>
            <w:hideMark/>
          </w:tcPr>
          <w:p w14:paraId="45E40BF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366,872</w:t>
            </w:r>
          </w:p>
        </w:tc>
        <w:tc>
          <w:tcPr>
            <w:tcW w:w="1316" w:type="dxa"/>
            <w:tcBorders>
              <w:top w:val="nil"/>
              <w:left w:val="nil"/>
              <w:bottom w:val="single" w:sz="4" w:space="0" w:color="auto"/>
              <w:right w:val="single" w:sz="4" w:space="0" w:color="auto"/>
            </w:tcBorders>
            <w:noWrap/>
            <w:vAlign w:val="bottom"/>
            <w:hideMark/>
          </w:tcPr>
          <w:p w14:paraId="58AD04A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366,872</w:t>
            </w:r>
          </w:p>
        </w:tc>
        <w:tc>
          <w:tcPr>
            <w:tcW w:w="1316" w:type="dxa"/>
            <w:tcBorders>
              <w:top w:val="nil"/>
              <w:left w:val="nil"/>
              <w:bottom w:val="single" w:sz="4" w:space="0" w:color="auto"/>
              <w:right w:val="single" w:sz="4" w:space="0" w:color="auto"/>
            </w:tcBorders>
            <w:noWrap/>
            <w:vAlign w:val="bottom"/>
            <w:hideMark/>
          </w:tcPr>
          <w:p w14:paraId="00999F9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366,872</w:t>
            </w:r>
          </w:p>
        </w:tc>
        <w:tc>
          <w:tcPr>
            <w:tcW w:w="1316" w:type="dxa"/>
            <w:tcBorders>
              <w:top w:val="nil"/>
              <w:left w:val="nil"/>
              <w:bottom w:val="single" w:sz="4" w:space="0" w:color="auto"/>
              <w:right w:val="single" w:sz="4" w:space="0" w:color="auto"/>
            </w:tcBorders>
            <w:noWrap/>
            <w:vAlign w:val="bottom"/>
            <w:hideMark/>
          </w:tcPr>
          <w:p w14:paraId="208D356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366,872</w:t>
            </w:r>
          </w:p>
        </w:tc>
        <w:tc>
          <w:tcPr>
            <w:tcW w:w="1316" w:type="dxa"/>
            <w:tcBorders>
              <w:top w:val="nil"/>
              <w:left w:val="nil"/>
              <w:bottom w:val="single" w:sz="4" w:space="0" w:color="auto"/>
              <w:right w:val="single" w:sz="4" w:space="0" w:color="auto"/>
            </w:tcBorders>
            <w:noWrap/>
            <w:vAlign w:val="bottom"/>
            <w:hideMark/>
          </w:tcPr>
          <w:p w14:paraId="6446BBC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366,872</w:t>
            </w:r>
          </w:p>
        </w:tc>
        <w:tc>
          <w:tcPr>
            <w:tcW w:w="1316" w:type="dxa"/>
            <w:tcBorders>
              <w:top w:val="nil"/>
              <w:left w:val="nil"/>
              <w:bottom w:val="single" w:sz="4" w:space="0" w:color="auto"/>
              <w:right w:val="single" w:sz="4" w:space="0" w:color="auto"/>
            </w:tcBorders>
            <w:noWrap/>
            <w:vAlign w:val="bottom"/>
            <w:hideMark/>
          </w:tcPr>
          <w:p w14:paraId="089EEDA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366,872</w:t>
            </w:r>
          </w:p>
        </w:tc>
      </w:tr>
      <w:tr w:rsidR="00EA0FD7" w:rsidRPr="00EA0FD7" w14:paraId="3F4A35BE" w14:textId="77777777" w:rsidTr="00EA0FD7">
        <w:trPr>
          <w:trHeight w:val="240"/>
        </w:trPr>
        <w:tc>
          <w:tcPr>
            <w:tcW w:w="1280" w:type="dxa"/>
            <w:tcBorders>
              <w:top w:val="nil"/>
              <w:left w:val="single" w:sz="8" w:space="0" w:color="auto"/>
              <w:bottom w:val="single" w:sz="4" w:space="0" w:color="auto"/>
              <w:right w:val="single" w:sz="4" w:space="0" w:color="auto"/>
            </w:tcBorders>
            <w:noWrap/>
            <w:vAlign w:val="bottom"/>
            <w:hideMark/>
          </w:tcPr>
          <w:p w14:paraId="173C831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611200</w:t>
            </w:r>
          </w:p>
        </w:tc>
        <w:tc>
          <w:tcPr>
            <w:tcW w:w="2710" w:type="dxa"/>
            <w:tcBorders>
              <w:top w:val="nil"/>
              <w:left w:val="nil"/>
              <w:bottom w:val="single" w:sz="4" w:space="0" w:color="auto"/>
              <w:right w:val="single" w:sz="4" w:space="0" w:color="auto"/>
            </w:tcBorders>
            <w:vAlign w:val="bottom"/>
            <w:hideMark/>
          </w:tcPr>
          <w:p w14:paraId="077D1F8F"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286" w:type="dxa"/>
            <w:tcBorders>
              <w:top w:val="nil"/>
              <w:left w:val="nil"/>
              <w:bottom w:val="single" w:sz="4" w:space="0" w:color="auto"/>
              <w:right w:val="single" w:sz="4" w:space="0" w:color="auto"/>
            </w:tcBorders>
            <w:noWrap/>
            <w:vAlign w:val="bottom"/>
            <w:hideMark/>
          </w:tcPr>
          <w:p w14:paraId="6630788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6,516.00</w:t>
            </w:r>
          </w:p>
        </w:tc>
        <w:tc>
          <w:tcPr>
            <w:tcW w:w="1180" w:type="dxa"/>
            <w:tcBorders>
              <w:top w:val="nil"/>
              <w:left w:val="nil"/>
              <w:bottom w:val="single" w:sz="4" w:space="0" w:color="auto"/>
              <w:right w:val="single" w:sz="4" w:space="0" w:color="auto"/>
            </w:tcBorders>
            <w:noWrap/>
            <w:vAlign w:val="bottom"/>
            <w:hideMark/>
          </w:tcPr>
          <w:p w14:paraId="6C8BD89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3,078.40</w:t>
            </w:r>
          </w:p>
        </w:tc>
        <w:tc>
          <w:tcPr>
            <w:tcW w:w="1336" w:type="dxa"/>
            <w:tcBorders>
              <w:top w:val="nil"/>
              <w:left w:val="nil"/>
              <w:bottom w:val="single" w:sz="4" w:space="0" w:color="auto"/>
              <w:right w:val="single" w:sz="4" w:space="0" w:color="auto"/>
            </w:tcBorders>
            <w:noWrap/>
            <w:vAlign w:val="bottom"/>
            <w:hideMark/>
          </w:tcPr>
          <w:p w14:paraId="4C01BA2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22,181.00</w:t>
            </w:r>
          </w:p>
        </w:tc>
        <w:tc>
          <w:tcPr>
            <w:tcW w:w="1316" w:type="dxa"/>
            <w:tcBorders>
              <w:top w:val="nil"/>
              <w:left w:val="nil"/>
              <w:bottom w:val="single" w:sz="4" w:space="0" w:color="auto"/>
              <w:right w:val="single" w:sz="4" w:space="0" w:color="auto"/>
            </w:tcBorders>
            <w:noWrap/>
            <w:vAlign w:val="bottom"/>
            <w:hideMark/>
          </w:tcPr>
          <w:p w14:paraId="794F502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20,630</w:t>
            </w:r>
          </w:p>
        </w:tc>
        <w:tc>
          <w:tcPr>
            <w:tcW w:w="1316" w:type="dxa"/>
            <w:tcBorders>
              <w:top w:val="nil"/>
              <w:left w:val="nil"/>
              <w:bottom w:val="single" w:sz="4" w:space="0" w:color="auto"/>
              <w:right w:val="single" w:sz="4" w:space="0" w:color="auto"/>
            </w:tcBorders>
            <w:noWrap/>
            <w:vAlign w:val="bottom"/>
            <w:hideMark/>
          </w:tcPr>
          <w:p w14:paraId="72C27D7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20,630</w:t>
            </w:r>
          </w:p>
        </w:tc>
        <w:tc>
          <w:tcPr>
            <w:tcW w:w="1316" w:type="dxa"/>
            <w:tcBorders>
              <w:top w:val="nil"/>
              <w:left w:val="nil"/>
              <w:bottom w:val="single" w:sz="4" w:space="0" w:color="auto"/>
              <w:right w:val="single" w:sz="4" w:space="0" w:color="auto"/>
            </w:tcBorders>
            <w:noWrap/>
            <w:vAlign w:val="bottom"/>
            <w:hideMark/>
          </w:tcPr>
          <w:p w14:paraId="2A536EB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20,630</w:t>
            </w:r>
          </w:p>
        </w:tc>
        <w:tc>
          <w:tcPr>
            <w:tcW w:w="1316" w:type="dxa"/>
            <w:tcBorders>
              <w:top w:val="nil"/>
              <w:left w:val="nil"/>
              <w:bottom w:val="single" w:sz="4" w:space="0" w:color="auto"/>
              <w:right w:val="single" w:sz="4" w:space="0" w:color="auto"/>
            </w:tcBorders>
            <w:noWrap/>
            <w:vAlign w:val="bottom"/>
            <w:hideMark/>
          </w:tcPr>
          <w:p w14:paraId="5DCBE09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20,630</w:t>
            </w:r>
          </w:p>
        </w:tc>
        <w:tc>
          <w:tcPr>
            <w:tcW w:w="1316" w:type="dxa"/>
            <w:tcBorders>
              <w:top w:val="nil"/>
              <w:left w:val="nil"/>
              <w:bottom w:val="single" w:sz="4" w:space="0" w:color="auto"/>
              <w:right w:val="single" w:sz="4" w:space="0" w:color="auto"/>
            </w:tcBorders>
            <w:noWrap/>
            <w:vAlign w:val="bottom"/>
            <w:hideMark/>
          </w:tcPr>
          <w:p w14:paraId="7172CBF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20,630</w:t>
            </w:r>
          </w:p>
        </w:tc>
        <w:tc>
          <w:tcPr>
            <w:tcW w:w="1316" w:type="dxa"/>
            <w:tcBorders>
              <w:top w:val="nil"/>
              <w:left w:val="nil"/>
              <w:bottom w:val="single" w:sz="4" w:space="0" w:color="auto"/>
              <w:right w:val="single" w:sz="4" w:space="0" w:color="auto"/>
            </w:tcBorders>
            <w:noWrap/>
            <w:vAlign w:val="bottom"/>
            <w:hideMark/>
          </w:tcPr>
          <w:p w14:paraId="5C08239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20,630</w:t>
            </w:r>
          </w:p>
        </w:tc>
      </w:tr>
      <w:tr w:rsidR="00EA0FD7" w:rsidRPr="00EA0FD7" w14:paraId="6C39489D" w14:textId="77777777" w:rsidTr="00EA0FD7">
        <w:trPr>
          <w:trHeight w:val="480"/>
        </w:trPr>
        <w:tc>
          <w:tcPr>
            <w:tcW w:w="1280" w:type="dxa"/>
            <w:tcBorders>
              <w:top w:val="nil"/>
              <w:left w:val="single" w:sz="8" w:space="0" w:color="auto"/>
              <w:bottom w:val="single" w:sz="4" w:space="0" w:color="auto"/>
              <w:right w:val="single" w:sz="4" w:space="0" w:color="auto"/>
            </w:tcBorders>
            <w:noWrap/>
            <w:vAlign w:val="bottom"/>
            <w:hideMark/>
          </w:tcPr>
          <w:p w14:paraId="1CFC845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710" w:type="dxa"/>
            <w:tcBorders>
              <w:top w:val="nil"/>
              <w:left w:val="nil"/>
              <w:bottom w:val="single" w:sz="4" w:space="0" w:color="auto"/>
              <w:right w:val="single" w:sz="4" w:space="0" w:color="auto"/>
            </w:tcBorders>
            <w:vAlign w:val="bottom"/>
            <w:hideMark/>
          </w:tcPr>
          <w:p w14:paraId="1E6E51BB"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286" w:type="dxa"/>
            <w:tcBorders>
              <w:top w:val="nil"/>
              <w:left w:val="nil"/>
              <w:bottom w:val="single" w:sz="4" w:space="0" w:color="auto"/>
              <w:right w:val="single" w:sz="4" w:space="0" w:color="auto"/>
            </w:tcBorders>
            <w:noWrap/>
            <w:vAlign w:val="bottom"/>
            <w:hideMark/>
          </w:tcPr>
          <w:p w14:paraId="09422F0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23,100.00</w:t>
            </w:r>
          </w:p>
        </w:tc>
        <w:tc>
          <w:tcPr>
            <w:tcW w:w="1180" w:type="dxa"/>
            <w:tcBorders>
              <w:top w:val="nil"/>
              <w:left w:val="nil"/>
              <w:bottom w:val="single" w:sz="4" w:space="0" w:color="auto"/>
              <w:right w:val="single" w:sz="4" w:space="0" w:color="auto"/>
            </w:tcBorders>
            <w:noWrap/>
            <w:vAlign w:val="bottom"/>
            <w:hideMark/>
          </w:tcPr>
          <w:p w14:paraId="4B12ECF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3,255.80</w:t>
            </w:r>
          </w:p>
        </w:tc>
        <w:tc>
          <w:tcPr>
            <w:tcW w:w="1336" w:type="dxa"/>
            <w:tcBorders>
              <w:top w:val="nil"/>
              <w:left w:val="nil"/>
              <w:bottom w:val="single" w:sz="4" w:space="0" w:color="auto"/>
              <w:right w:val="single" w:sz="4" w:space="0" w:color="auto"/>
            </w:tcBorders>
            <w:noWrap/>
            <w:vAlign w:val="bottom"/>
            <w:hideMark/>
          </w:tcPr>
          <w:p w14:paraId="3018CBB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108,108.00</w:t>
            </w:r>
          </w:p>
        </w:tc>
        <w:tc>
          <w:tcPr>
            <w:tcW w:w="1316" w:type="dxa"/>
            <w:tcBorders>
              <w:top w:val="nil"/>
              <w:left w:val="nil"/>
              <w:bottom w:val="single" w:sz="4" w:space="0" w:color="auto"/>
              <w:right w:val="single" w:sz="4" w:space="0" w:color="auto"/>
            </w:tcBorders>
            <w:noWrap/>
            <w:vAlign w:val="bottom"/>
            <w:hideMark/>
          </w:tcPr>
          <w:p w14:paraId="424D0AF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114,290</w:t>
            </w:r>
          </w:p>
        </w:tc>
        <w:tc>
          <w:tcPr>
            <w:tcW w:w="1316" w:type="dxa"/>
            <w:tcBorders>
              <w:top w:val="nil"/>
              <w:left w:val="nil"/>
              <w:bottom w:val="single" w:sz="4" w:space="0" w:color="auto"/>
              <w:right w:val="single" w:sz="4" w:space="0" w:color="auto"/>
            </w:tcBorders>
            <w:noWrap/>
            <w:vAlign w:val="bottom"/>
            <w:hideMark/>
          </w:tcPr>
          <w:p w14:paraId="20AAA8D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114,290</w:t>
            </w:r>
          </w:p>
        </w:tc>
        <w:tc>
          <w:tcPr>
            <w:tcW w:w="1316" w:type="dxa"/>
            <w:tcBorders>
              <w:top w:val="nil"/>
              <w:left w:val="nil"/>
              <w:bottom w:val="single" w:sz="4" w:space="0" w:color="auto"/>
              <w:right w:val="single" w:sz="4" w:space="0" w:color="auto"/>
            </w:tcBorders>
            <w:noWrap/>
            <w:vAlign w:val="bottom"/>
            <w:hideMark/>
          </w:tcPr>
          <w:p w14:paraId="4E1CAE7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114,290</w:t>
            </w:r>
          </w:p>
        </w:tc>
        <w:tc>
          <w:tcPr>
            <w:tcW w:w="1316" w:type="dxa"/>
            <w:tcBorders>
              <w:top w:val="nil"/>
              <w:left w:val="nil"/>
              <w:bottom w:val="single" w:sz="4" w:space="0" w:color="auto"/>
              <w:right w:val="single" w:sz="4" w:space="0" w:color="auto"/>
            </w:tcBorders>
            <w:noWrap/>
            <w:vAlign w:val="bottom"/>
            <w:hideMark/>
          </w:tcPr>
          <w:p w14:paraId="3D5D6A4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114,290</w:t>
            </w:r>
          </w:p>
        </w:tc>
        <w:tc>
          <w:tcPr>
            <w:tcW w:w="1316" w:type="dxa"/>
            <w:tcBorders>
              <w:top w:val="nil"/>
              <w:left w:val="nil"/>
              <w:bottom w:val="single" w:sz="4" w:space="0" w:color="auto"/>
              <w:right w:val="single" w:sz="4" w:space="0" w:color="auto"/>
            </w:tcBorders>
            <w:noWrap/>
            <w:vAlign w:val="bottom"/>
            <w:hideMark/>
          </w:tcPr>
          <w:p w14:paraId="43C2692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114,290</w:t>
            </w:r>
          </w:p>
        </w:tc>
        <w:tc>
          <w:tcPr>
            <w:tcW w:w="1316" w:type="dxa"/>
            <w:tcBorders>
              <w:top w:val="nil"/>
              <w:left w:val="nil"/>
              <w:bottom w:val="single" w:sz="4" w:space="0" w:color="auto"/>
              <w:right w:val="single" w:sz="4" w:space="0" w:color="auto"/>
            </w:tcBorders>
            <w:noWrap/>
            <w:vAlign w:val="bottom"/>
            <w:hideMark/>
          </w:tcPr>
          <w:p w14:paraId="1449BF3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114,290</w:t>
            </w:r>
          </w:p>
        </w:tc>
      </w:tr>
      <w:tr w:rsidR="00EA0FD7" w:rsidRPr="00EA0FD7" w14:paraId="420CED3C" w14:textId="77777777" w:rsidTr="00EA0FD7">
        <w:trPr>
          <w:trHeight w:val="480"/>
        </w:trPr>
        <w:tc>
          <w:tcPr>
            <w:tcW w:w="1280" w:type="dxa"/>
            <w:tcBorders>
              <w:top w:val="nil"/>
              <w:left w:val="single" w:sz="8" w:space="0" w:color="auto"/>
              <w:bottom w:val="single" w:sz="4" w:space="0" w:color="auto"/>
              <w:right w:val="single" w:sz="4" w:space="0" w:color="auto"/>
            </w:tcBorders>
            <w:vAlign w:val="bottom"/>
            <w:hideMark/>
          </w:tcPr>
          <w:p w14:paraId="6CA3B29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614000</w:t>
            </w:r>
          </w:p>
        </w:tc>
        <w:tc>
          <w:tcPr>
            <w:tcW w:w="2710" w:type="dxa"/>
            <w:tcBorders>
              <w:top w:val="nil"/>
              <w:left w:val="nil"/>
              <w:bottom w:val="single" w:sz="4" w:space="0" w:color="auto"/>
              <w:right w:val="single" w:sz="4" w:space="0" w:color="auto"/>
            </w:tcBorders>
            <w:vAlign w:val="bottom"/>
            <w:hideMark/>
          </w:tcPr>
          <w:p w14:paraId="5F07E303"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286" w:type="dxa"/>
            <w:tcBorders>
              <w:top w:val="nil"/>
              <w:left w:val="nil"/>
              <w:bottom w:val="single" w:sz="4" w:space="0" w:color="auto"/>
              <w:right w:val="single" w:sz="4" w:space="0" w:color="auto"/>
            </w:tcBorders>
            <w:noWrap/>
            <w:vAlign w:val="bottom"/>
            <w:hideMark/>
          </w:tcPr>
          <w:p w14:paraId="4C9CC9E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180" w:type="dxa"/>
            <w:tcBorders>
              <w:top w:val="nil"/>
              <w:left w:val="nil"/>
              <w:bottom w:val="single" w:sz="4" w:space="0" w:color="auto"/>
              <w:right w:val="single" w:sz="4" w:space="0" w:color="auto"/>
            </w:tcBorders>
            <w:noWrap/>
            <w:vAlign w:val="bottom"/>
            <w:hideMark/>
          </w:tcPr>
          <w:p w14:paraId="35FB48C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36" w:type="dxa"/>
            <w:tcBorders>
              <w:top w:val="nil"/>
              <w:left w:val="nil"/>
              <w:bottom w:val="single" w:sz="4" w:space="0" w:color="auto"/>
              <w:right w:val="single" w:sz="4" w:space="0" w:color="auto"/>
            </w:tcBorders>
            <w:noWrap/>
            <w:vAlign w:val="bottom"/>
            <w:hideMark/>
          </w:tcPr>
          <w:p w14:paraId="04242FF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single" w:sz="4" w:space="0" w:color="auto"/>
              <w:right w:val="single" w:sz="4" w:space="0" w:color="auto"/>
            </w:tcBorders>
            <w:noWrap/>
            <w:vAlign w:val="bottom"/>
            <w:hideMark/>
          </w:tcPr>
          <w:p w14:paraId="7B520F7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1628538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241908E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6F7876B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7B6F25A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single" w:sz="4" w:space="0" w:color="auto"/>
              <w:right w:val="single" w:sz="4" w:space="0" w:color="auto"/>
            </w:tcBorders>
            <w:noWrap/>
            <w:vAlign w:val="bottom"/>
            <w:hideMark/>
          </w:tcPr>
          <w:p w14:paraId="7204ED3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5BF70B6C" w14:textId="77777777" w:rsidTr="00EA0FD7">
        <w:trPr>
          <w:trHeight w:val="240"/>
        </w:trPr>
        <w:tc>
          <w:tcPr>
            <w:tcW w:w="1280" w:type="dxa"/>
            <w:tcBorders>
              <w:top w:val="nil"/>
              <w:left w:val="single" w:sz="8" w:space="0" w:color="auto"/>
              <w:bottom w:val="nil"/>
              <w:right w:val="single" w:sz="4" w:space="0" w:color="auto"/>
            </w:tcBorders>
            <w:vAlign w:val="bottom"/>
            <w:hideMark/>
          </w:tcPr>
          <w:p w14:paraId="04F5EEB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615000</w:t>
            </w:r>
          </w:p>
        </w:tc>
        <w:tc>
          <w:tcPr>
            <w:tcW w:w="2710" w:type="dxa"/>
            <w:tcBorders>
              <w:top w:val="nil"/>
              <w:left w:val="nil"/>
              <w:bottom w:val="nil"/>
              <w:right w:val="single" w:sz="4" w:space="0" w:color="auto"/>
            </w:tcBorders>
            <w:vAlign w:val="bottom"/>
            <w:hideMark/>
          </w:tcPr>
          <w:p w14:paraId="69D2B23F"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286" w:type="dxa"/>
            <w:tcBorders>
              <w:top w:val="nil"/>
              <w:left w:val="nil"/>
              <w:bottom w:val="nil"/>
              <w:right w:val="single" w:sz="4" w:space="0" w:color="auto"/>
            </w:tcBorders>
            <w:noWrap/>
            <w:vAlign w:val="bottom"/>
            <w:hideMark/>
          </w:tcPr>
          <w:p w14:paraId="530D12B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180" w:type="dxa"/>
            <w:tcBorders>
              <w:top w:val="nil"/>
              <w:left w:val="nil"/>
              <w:bottom w:val="single" w:sz="4" w:space="0" w:color="auto"/>
              <w:right w:val="single" w:sz="4" w:space="0" w:color="auto"/>
            </w:tcBorders>
            <w:noWrap/>
            <w:vAlign w:val="bottom"/>
            <w:hideMark/>
          </w:tcPr>
          <w:p w14:paraId="3793218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36" w:type="dxa"/>
            <w:tcBorders>
              <w:top w:val="nil"/>
              <w:left w:val="nil"/>
              <w:bottom w:val="nil"/>
              <w:right w:val="single" w:sz="4" w:space="0" w:color="auto"/>
            </w:tcBorders>
            <w:noWrap/>
            <w:vAlign w:val="bottom"/>
            <w:hideMark/>
          </w:tcPr>
          <w:p w14:paraId="2279792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316" w:type="dxa"/>
            <w:tcBorders>
              <w:top w:val="nil"/>
              <w:left w:val="nil"/>
              <w:bottom w:val="nil"/>
              <w:right w:val="single" w:sz="4" w:space="0" w:color="auto"/>
            </w:tcBorders>
            <w:noWrap/>
            <w:vAlign w:val="bottom"/>
            <w:hideMark/>
          </w:tcPr>
          <w:p w14:paraId="292AA45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63EF742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7447A7C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7BFC4C3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1903D7F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316" w:type="dxa"/>
            <w:tcBorders>
              <w:top w:val="nil"/>
              <w:left w:val="nil"/>
              <w:bottom w:val="nil"/>
              <w:right w:val="single" w:sz="4" w:space="0" w:color="auto"/>
            </w:tcBorders>
            <w:noWrap/>
            <w:vAlign w:val="bottom"/>
            <w:hideMark/>
          </w:tcPr>
          <w:p w14:paraId="43818C7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6A4E0CF1" w14:textId="77777777" w:rsidTr="00EA0FD7">
        <w:trPr>
          <w:trHeight w:val="480"/>
        </w:trPr>
        <w:tc>
          <w:tcPr>
            <w:tcW w:w="1280" w:type="dxa"/>
            <w:tcBorders>
              <w:top w:val="single" w:sz="4" w:space="0" w:color="auto"/>
              <w:left w:val="single" w:sz="8" w:space="0" w:color="auto"/>
              <w:bottom w:val="nil"/>
              <w:right w:val="single" w:sz="4" w:space="0" w:color="auto"/>
            </w:tcBorders>
            <w:noWrap/>
            <w:vAlign w:val="bottom"/>
            <w:hideMark/>
          </w:tcPr>
          <w:p w14:paraId="2F7E05A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821000</w:t>
            </w:r>
          </w:p>
        </w:tc>
        <w:tc>
          <w:tcPr>
            <w:tcW w:w="2710" w:type="dxa"/>
            <w:tcBorders>
              <w:top w:val="single" w:sz="4" w:space="0" w:color="auto"/>
              <w:left w:val="nil"/>
              <w:bottom w:val="nil"/>
              <w:right w:val="single" w:sz="4" w:space="0" w:color="auto"/>
            </w:tcBorders>
            <w:vAlign w:val="bottom"/>
            <w:hideMark/>
          </w:tcPr>
          <w:p w14:paraId="10AC96B7"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286" w:type="dxa"/>
            <w:tcBorders>
              <w:top w:val="single" w:sz="4" w:space="0" w:color="auto"/>
              <w:left w:val="nil"/>
              <w:bottom w:val="nil"/>
              <w:right w:val="single" w:sz="4" w:space="0" w:color="auto"/>
            </w:tcBorders>
            <w:noWrap/>
            <w:vAlign w:val="bottom"/>
            <w:hideMark/>
          </w:tcPr>
          <w:p w14:paraId="481EAE4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60,500.00</w:t>
            </w:r>
          </w:p>
        </w:tc>
        <w:tc>
          <w:tcPr>
            <w:tcW w:w="1180" w:type="dxa"/>
            <w:tcBorders>
              <w:top w:val="nil"/>
              <w:left w:val="nil"/>
              <w:bottom w:val="single" w:sz="4" w:space="0" w:color="auto"/>
              <w:right w:val="single" w:sz="4" w:space="0" w:color="auto"/>
            </w:tcBorders>
            <w:noWrap/>
            <w:vAlign w:val="bottom"/>
            <w:hideMark/>
          </w:tcPr>
          <w:p w14:paraId="5C11357B"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w:t>
            </w:r>
          </w:p>
        </w:tc>
        <w:tc>
          <w:tcPr>
            <w:tcW w:w="1336" w:type="dxa"/>
            <w:tcBorders>
              <w:top w:val="single" w:sz="4" w:space="0" w:color="auto"/>
              <w:left w:val="nil"/>
              <w:bottom w:val="nil"/>
              <w:right w:val="single" w:sz="4" w:space="0" w:color="auto"/>
            </w:tcBorders>
            <w:noWrap/>
            <w:vAlign w:val="bottom"/>
            <w:hideMark/>
          </w:tcPr>
          <w:p w14:paraId="1B3D9F6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10,000.00</w:t>
            </w:r>
          </w:p>
        </w:tc>
        <w:tc>
          <w:tcPr>
            <w:tcW w:w="1316" w:type="dxa"/>
            <w:tcBorders>
              <w:top w:val="single" w:sz="4" w:space="0" w:color="auto"/>
              <w:left w:val="nil"/>
              <w:bottom w:val="nil"/>
              <w:right w:val="single" w:sz="4" w:space="0" w:color="auto"/>
            </w:tcBorders>
            <w:noWrap/>
            <w:vAlign w:val="bottom"/>
            <w:hideMark/>
          </w:tcPr>
          <w:p w14:paraId="2619059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10,000</w:t>
            </w:r>
          </w:p>
        </w:tc>
        <w:tc>
          <w:tcPr>
            <w:tcW w:w="1316" w:type="dxa"/>
            <w:tcBorders>
              <w:top w:val="single" w:sz="4" w:space="0" w:color="auto"/>
              <w:left w:val="nil"/>
              <w:bottom w:val="nil"/>
              <w:right w:val="single" w:sz="4" w:space="0" w:color="auto"/>
            </w:tcBorders>
            <w:noWrap/>
            <w:vAlign w:val="bottom"/>
            <w:hideMark/>
          </w:tcPr>
          <w:p w14:paraId="28F83D2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10,000</w:t>
            </w:r>
          </w:p>
        </w:tc>
        <w:tc>
          <w:tcPr>
            <w:tcW w:w="1316" w:type="dxa"/>
            <w:tcBorders>
              <w:top w:val="single" w:sz="4" w:space="0" w:color="auto"/>
              <w:left w:val="nil"/>
              <w:bottom w:val="nil"/>
              <w:right w:val="single" w:sz="4" w:space="0" w:color="auto"/>
            </w:tcBorders>
            <w:noWrap/>
            <w:vAlign w:val="bottom"/>
            <w:hideMark/>
          </w:tcPr>
          <w:p w14:paraId="564F166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10,000</w:t>
            </w:r>
          </w:p>
        </w:tc>
        <w:tc>
          <w:tcPr>
            <w:tcW w:w="1316" w:type="dxa"/>
            <w:tcBorders>
              <w:top w:val="single" w:sz="4" w:space="0" w:color="auto"/>
              <w:left w:val="nil"/>
              <w:bottom w:val="nil"/>
              <w:right w:val="single" w:sz="4" w:space="0" w:color="auto"/>
            </w:tcBorders>
            <w:noWrap/>
            <w:vAlign w:val="bottom"/>
            <w:hideMark/>
          </w:tcPr>
          <w:p w14:paraId="331C26D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10,000</w:t>
            </w:r>
          </w:p>
        </w:tc>
        <w:tc>
          <w:tcPr>
            <w:tcW w:w="1316" w:type="dxa"/>
            <w:tcBorders>
              <w:top w:val="single" w:sz="4" w:space="0" w:color="auto"/>
              <w:left w:val="nil"/>
              <w:bottom w:val="nil"/>
              <w:right w:val="single" w:sz="4" w:space="0" w:color="auto"/>
            </w:tcBorders>
            <w:noWrap/>
            <w:vAlign w:val="bottom"/>
            <w:hideMark/>
          </w:tcPr>
          <w:p w14:paraId="5A0AFEB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10,000</w:t>
            </w:r>
          </w:p>
        </w:tc>
        <w:tc>
          <w:tcPr>
            <w:tcW w:w="1316" w:type="dxa"/>
            <w:tcBorders>
              <w:top w:val="single" w:sz="4" w:space="0" w:color="auto"/>
              <w:left w:val="nil"/>
              <w:bottom w:val="nil"/>
              <w:right w:val="single" w:sz="4" w:space="0" w:color="auto"/>
            </w:tcBorders>
            <w:noWrap/>
            <w:vAlign w:val="bottom"/>
            <w:hideMark/>
          </w:tcPr>
          <w:p w14:paraId="72DB836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10,000</w:t>
            </w:r>
          </w:p>
        </w:tc>
      </w:tr>
      <w:tr w:rsidR="00EA0FD7" w:rsidRPr="00EA0FD7" w14:paraId="470952D6" w14:textId="77777777" w:rsidTr="00EA0FD7">
        <w:trPr>
          <w:trHeight w:val="240"/>
        </w:trPr>
        <w:tc>
          <w:tcPr>
            <w:tcW w:w="1280" w:type="dxa"/>
            <w:tcBorders>
              <w:top w:val="single" w:sz="8" w:space="0" w:color="auto"/>
              <w:left w:val="single" w:sz="8" w:space="0" w:color="auto"/>
              <w:bottom w:val="single" w:sz="8" w:space="0" w:color="auto"/>
              <w:right w:val="single" w:sz="8" w:space="0" w:color="auto"/>
            </w:tcBorders>
            <w:noWrap/>
            <w:vAlign w:val="bottom"/>
            <w:hideMark/>
          </w:tcPr>
          <w:p w14:paraId="4F536EA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710" w:type="dxa"/>
            <w:tcBorders>
              <w:top w:val="single" w:sz="8" w:space="0" w:color="auto"/>
              <w:left w:val="nil"/>
              <w:bottom w:val="single" w:sz="8" w:space="0" w:color="auto"/>
              <w:right w:val="single" w:sz="8" w:space="0" w:color="auto"/>
            </w:tcBorders>
            <w:noWrap/>
            <w:vAlign w:val="bottom"/>
            <w:hideMark/>
          </w:tcPr>
          <w:p w14:paraId="4EC945E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286" w:type="dxa"/>
            <w:tcBorders>
              <w:top w:val="single" w:sz="8" w:space="0" w:color="auto"/>
              <w:left w:val="nil"/>
              <w:bottom w:val="single" w:sz="8" w:space="0" w:color="auto"/>
              <w:right w:val="single" w:sz="8" w:space="0" w:color="auto"/>
            </w:tcBorders>
            <w:noWrap/>
            <w:vAlign w:val="bottom"/>
            <w:hideMark/>
          </w:tcPr>
          <w:p w14:paraId="1A8C6A9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178,476.00</w:t>
            </w:r>
          </w:p>
        </w:tc>
        <w:tc>
          <w:tcPr>
            <w:tcW w:w="1180" w:type="dxa"/>
            <w:tcBorders>
              <w:top w:val="single" w:sz="8" w:space="0" w:color="auto"/>
              <w:left w:val="nil"/>
              <w:bottom w:val="single" w:sz="8" w:space="0" w:color="auto"/>
              <w:right w:val="single" w:sz="8" w:space="0" w:color="auto"/>
            </w:tcBorders>
            <w:noWrap/>
            <w:vAlign w:val="bottom"/>
            <w:hideMark/>
          </w:tcPr>
          <w:p w14:paraId="17E2065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91,451.57</w:t>
            </w:r>
          </w:p>
        </w:tc>
        <w:tc>
          <w:tcPr>
            <w:tcW w:w="1336" w:type="dxa"/>
            <w:tcBorders>
              <w:top w:val="single" w:sz="8" w:space="0" w:color="auto"/>
              <w:left w:val="nil"/>
              <w:bottom w:val="single" w:sz="8" w:space="0" w:color="auto"/>
              <w:right w:val="single" w:sz="8" w:space="0" w:color="auto"/>
            </w:tcBorders>
            <w:noWrap/>
            <w:vAlign w:val="bottom"/>
            <w:hideMark/>
          </w:tcPr>
          <w:p w14:paraId="551AD9A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453,955.20</w:t>
            </w:r>
          </w:p>
        </w:tc>
        <w:tc>
          <w:tcPr>
            <w:tcW w:w="1316" w:type="dxa"/>
            <w:tcBorders>
              <w:top w:val="single" w:sz="8" w:space="0" w:color="auto"/>
              <w:left w:val="nil"/>
              <w:bottom w:val="single" w:sz="8" w:space="0" w:color="auto"/>
              <w:right w:val="single" w:sz="8" w:space="0" w:color="auto"/>
            </w:tcBorders>
            <w:noWrap/>
            <w:vAlign w:val="bottom"/>
            <w:hideMark/>
          </w:tcPr>
          <w:p w14:paraId="021CBA8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511,792</w:t>
            </w:r>
          </w:p>
        </w:tc>
        <w:tc>
          <w:tcPr>
            <w:tcW w:w="1316" w:type="dxa"/>
            <w:tcBorders>
              <w:top w:val="single" w:sz="8" w:space="0" w:color="auto"/>
              <w:left w:val="nil"/>
              <w:bottom w:val="single" w:sz="8" w:space="0" w:color="auto"/>
              <w:right w:val="single" w:sz="8" w:space="0" w:color="auto"/>
            </w:tcBorders>
            <w:noWrap/>
            <w:vAlign w:val="bottom"/>
            <w:hideMark/>
          </w:tcPr>
          <w:p w14:paraId="232CA53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511,792</w:t>
            </w:r>
          </w:p>
        </w:tc>
        <w:tc>
          <w:tcPr>
            <w:tcW w:w="1316" w:type="dxa"/>
            <w:tcBorders>
              <w:top w:val="single" w:sz="8" w:space="0" w:color="auto"/>
              <w:left w:val="nil"/>
              <w:bottom w:val="single" w:sz="8" w:space="0" w:color="auto"/>
              <w:right w:val="single" w:sz="8" w:space="0" w:color="auto"/>
            </w:tcBorders>
            <w:noWrap/>
            <w:vAlign w:val="bottom"/>
            <w:hideMark/>
          </w:tcPr>
          <w:p w14:paraId="02CBC0A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511,792</w:t>
            </w:r>
          </w:p>
        </w:tc>
        <w:tc>
          <w:tcPr>
            <w:tcW w:w="1316" w:type="dxa"/>
            <w:tcBorders>
              <w:top w:val="single" w:sz="8" w:space="0" w:color="auto"/>
              <w:left w:val="nil"/>
              <w:bottom w:val="single" w:sz="8" w:space="0" w:color="auto"/>
              <w:right w:val="single" w:sz="8" w:space="0" w:color="auto"/>
            </w:tcBorders>
            <w:noWrap/>
            <w:vAlign w:val="bottom"/>
            <w:hideMark/>
          </w:tcPr>
          <w:p w14:paraId="5DA96BB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511,792</w:t>
            </w:r>
          </w:p>
        </w:tc>
        <w:tc>
          <w:tcPr>
            <w:tcW w:w="1316" w:type="dxa"/>
            <w:tcBorders>
              <w:top w:val="single" w:sz="8" w:space="0" w:color="auto"/>
              <w:left w:val="nil"/>
              <w:bottom w:val="single" w:sz="8" w:space="0" w:color="auto"/>
              <w:right w:val="single" w:sz="8" w:space="0" w:color="auto"/>
            </w:tcBorders>
            <w:noWrap/>
            <w:vAlign w:val="bottom"/>
            <w:hideMark/>
          </w:tcPr>
          <w:p w14:paraId="4796A1DA"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511,792</w:t>
            </w:r>
          </w:p>
        </w:tc>
        <w:tc>
          <w:tcPr>
            <w:tcW w:w="1316" w:type="dxa"/>
            <w:tcBorders>
              <w:top w:val="single" w:sz="8" w:space="0" w:color="auto"/>
              <w:left w:val="nil"/>
              <w:bottom w:val="single" w:sz="8" w:space="0" w:color="auto"/>
              <w:right w:val="single" w:sz="8" w:space="0" w:color="auto"/>
            </w:tcBorders>
            <w:noWrap/>
            <w:vAlign w:val="bottom"/>
            <w:hideMark/>
          </w:tcPr>
          <w:p w14:paraId="78CC0C8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511,792</w:t>
            </w:r>
          </w:p>
        </w:tc>
      </w:tr>
      <w:tr w:rsidR="00EA0FD7" w:rsidRPr="00EA0FD7" w14:paraId="72FDC3FD" w14:textId="77777777" w:rsidTr="00EA0FD7">
        <w:trPr>
          <w:trHeight w:val="240"/>
        </w:trPr>
        <w:tc>
          <w:tcPr>
            <w:tcW w:w="1280" w:type="dxa"/>
            <w:tcBorders>
              <w:top w:val="nil"/>
              <w:left w:val="single" w:sz="8" w:space="0" w:color="auto"/>
              <w:bottom w:val="single" w:sz="8" w:space="0" w:color="auto"/>
              <w:right w:val="nil"/>
            </w:tcBorders>
            <w:noWrap/>
            <w:vAlign w:val="bottom"/>
            <w:hideMark/>
          </w:tcPr>
          <w:p w14:paraId="4BBBB3C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710" w:type="dxa"/>
            <w:tcBorders>
              <w:top w:val="nil"/>
              <w:left w:val="nil"/>
              <w:bottom w:val="single" w:sz="8" w:space="0" w:color="auto"/>
              <w:right w:val="nil"/>
            </w:tcBorders>
            <w:noWrap/>
            <w:vAlign w:val="bottom"/>
            <w:hideMark/>
          </w:tcPr>
          <w:p w14:paraId="7AECE9E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86" w:type="dxa"/>
            <w:tcBorders>
              <w:top w:val="nil"/>
              <w:left w:val="nil"/>
              <w:bottom w:val="single" w:sz="8" w:space="0" w:color="auto"/>
              <w:right w:val="nil"/>
            </w:tcBorders>
            <w:noWrap/>
            <w:vAlign w:val="bottom"/>
            <w:hideMark/>
          </w:tcPr>
          <w:p w14:paraId="6DD6327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80" w:type="dxa"/>
            <w:tcBorders>
              <w:top w:val="nil"/>
              <w:left w:val="nil"/>
              <w:bottom w:val="single" w:sz="8" w:space="0" w:color="auto"/>
              <w:right w:val="nil"/>
            </w:tcBorders>
            <w:noWrap/>
            <w:vAlign w:val="bottom"/>
            <w:hideMark/>
          </w:tcPr>
          <w:p w14:paraId="4D5BAAB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36" w:type="dxa"/>
            <w:tcBorders>
              <w:top w:val="nil"/>
              <w:left w:val="nil"/>
              <w:bottom w:val="single" w:sz="8" w:space="0" w:color="auto"/>
              <w:right w:val="nil"/>
            </w:tcBorders>
            <w:noWrap/>
            <w:vAlign w:val="bottom"/>
            <w:hideMark/>
          </w:tcPr>
          <w:p w14:paraId="50B12F6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38757FF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0EBA8A30"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2553FF0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226C3E43" w14:textId="77777777" w:rsidR="00EA0FD7" w:rsidRPr="00EA0FD7" w:rsidRDefault="00EA0FD7" w:rsidP="00EA0FD7">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nil"/>
            </w:tcBorders>
            <w:noWrap/>
            <w:vAlign w:val="bottom"/>
            <w:hideMark/>
          </w:tcPr>
          <w:p w14:paraId="2D9D4E1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single" w:sz="8" w:space="0" w:color="auto"/>
            </w:tcBorders>
            <w:noWrap/>
            <w:vAlign w:val="bottom"/>
            <w:hideMark/>
          </w:tcPr>
          <w:p w14:paraId="06C948E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0F141157" w14:textId="77777777" w:rsidTr="00EA0FD7">
        <w:trPr>
          <w:trHeight w:val="240"/>
        </w:trPr>
        <w:tc>
          <w:tcPr>
            <w:tcW w:w="1280" w:type="dxa"/>
            <w:tcBorders>
              <w:top w:val="nil"/>
              <w:left w:val="single" w:sz="8" w:space="0" w:color="auto"/>
              <w:bottom w:val="single" w:sz="8" w:space="0" w:color="auto"/>
              <w:right w:val="single" w:sz="8" w:space="0" w:color="auto"/>
            </w:tcBorders>
            <w:noWrap/>
            <w:vAlign w:val="bottom"/>
            <w:hideMark/>
          </w:tcPr>
          <w:p w14:paraId="0C54C27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710" w:type="dxa"/>
            <w:tcBorders>
              <w:top w:val="nil"/>
              <w:left w:val="nil"/>
              <w:bottom w:val="single" w:sz="8" w:space="0" w:color="auto"/>
              <w:right w:val="single" w:sz="8" w:space="0" w:color="auto"/>
            </w:tcBorders>
            <w:noWrap/>
            <w:vAlign w:val="bottom"/>
            <w:hideMark/>
          </w:tcPr>
          <w:p w14:paraId="2AB504F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286" w:type="dxa"/>
            <w:tcBorders>
              <w:top w:val="nil"/>
              <w:left w:val="nil"/>
              <w:bottom w:val="single" w:sz="8" w:space="0" w:color="auto"/>
              <w:right w:val="single" w:sz="8" w:space="0" w:color="auto"/>
            </w:tcBorders>
            <w:noWrap/>
            <w:vAlign w:val="bottom"/>
            <w:hideMark/>
          </w:tcPr>
          <w:p w14:paraId="7D8BE78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6</w:t>
            </w:r>
          </w:p>
        </w:tc>
        <w:tc>
          <w:tcPr>
            <w:tcW w:w="1180" w:type="dxa"/>
            <w:tcBorders>
              <w:top w:val="nil"/>
              <w:left w:val="nil"/>
              <w:bottom w:val="single" w:sz="8" w:space="0" w:color="auto"/>
              <w:right w:val="single" w:sz="8" w:space="0" w:color="auto"/>
            </w:tcBorders>
            <w:noWrap/>
            <w:vAlign w:val="bottom"/>
            <w:hideMark/>
          </w:tcPr>
          <w:p w14:paraId="7B3EB6B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7</w:t>
            </w:r>
          </w:p>
        </w:tc>
        <w:tc>
          <w:tcPr>
            <w:tcW w:w="1336" w:type="dxa"/>
            <w:tcBorders>
              <w:top w:val="nil"/>
              <w:left w:val="nil"/>
              <w:bottom w:val="single" w:sz="8" w:space="0" w:color="auto"/>
              <w:right w:val="single" w:sz="8" w:space="0" w:color="auto"/>
            </w:tcBorders>
            <w:noWrap/>
            <w:vAlign w:val="bottom"/>
            <w:hideMark/>
          </w:tcPr>
          <w:p w14:paraId="2FF4174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w:t>
            </w:r>
          </w:p>
        </w:tc>
        <w:tc>
          <w:tcPr>
            <w:tcW w:w="1316" w:type="dxa"/>
            <w:tcBorders>
              <w:top w:val="nil"/>
              <w:left w:val="nil"/>
              <w:bottom w:val="single" w:sz="8" w:space="0" w:color="auto"/>
              <w:right w:val="single" w:sz="8" w:space="0" w:color="auto"/>
            </w:tcBorders>
            <w:noWrap/>
            <w:vAlign w:val="bottom"/>
            <w:hideMark/>
          </w:tcPr>
          <w:p w14:paraId="422E747C"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w:t>
            </w:r>
          </w:p>
        </w:tc>
        <w:tc>
          <w:tcPr>
            <w:tcW w:w="1316" w:type="dxa"/>
            <w:tcBorders>
              <w:top w:val="nil"/>
              <w:left w:val="nil"/>
              <w:bottom w:val="single" w:sz="8" w:space="0" w:color="auto"/>
              <w:right w:val="single" w:sz="8" w:space="0" w:color="auto"/>
            </w:tcBorders>
            <w:noWrap/>
            <w:vAlign w:val="bottom"/>
            <w:hideMark/>
          </w:tcPr>
          <w:p w14:paraId="0B378387"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w:t>
            </w:r>
          </w:p>
        </w:tc>
        <w:tc>
          <w:tcPr>
            <w:tcW w:w="1316" w:type="dxa"/>
            <w:tcBorders>
              <w:top w:val="nil"/>
              <w:left w:val="nil"/>
              <w:bottom w:val="single" w:sz="8" w:space="0" w:color="auto"/>
              <w:right w:val="single" w:sz="8" w:space="0" w:color="auto"/>
            </w:tcBorders>
            <w:noWrap/>
            <w:vAlign w:val="bottom"/>
            <w:hideMark/>
          </w:tcPr>
          <w:p w14:paraId="6BBD9AA5"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w:t>
            </w:r>
          </w:p>
        </w:tc>
        <w:tc>
          <w:tcPr>
            <w:tcW w:w="1316" w:type="dxa"/>
            <w:tcBorders>
              <w:top w:val="nil"/>
              <w:left w:val="nil"/>
              <w:bottom w:val="single" w:sz="8" w:space="0" w:color="auto"/>
              <w:right w:val="single" w:sz="8" w:space="0" w:color="auto"/>
            </w:tcBorders>
            <w:noWrap/>
            <w:vAlign w:val="bottom"/>
            <w:hideMark/>
          </w:tcPr>
          <w:p w14:paraId="63E2AC8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w:t>
            </w:r>
          </w:p>
        </w:tc>
        <w:tc>
          <w:tcPr>
            <w:tcW w:w="1316" w:type="dxa"/>
            <w:tcBorders>
              <w:top w:val="nil"/>
              <w:left w:val="nil"/>
              <w:bottom w:val="single" w:sz="8" w:space="0" w:color="auto"/>
              <w:right w:val="single" w:sz="8" w:space="0" w:color="auto"/>
            </w:tcBorders>
            <w:noWrap/>
            <w:vAlign w:val="bottom"/>
            <w:hideMark/>
          </w:tcPr>
          <w:p w14:paraId="0A013878"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w:t>
            </w:r>
          </w:p>
        </w:tc>
        <w:tc>
          <w:tcPr>
            <w:tcW w:w="1316" w:type="dxa"/>
            <w:tcBorders>
              <w:top w:val="nil"/>
              <w:left w:val="nil"/>
              <w:bottom w:val="single" w:sz="8" w:space="0" w:color="auto"/>
              <w:right w:val="single" w:sz="8" w:space="0" w:color="auto"/>
            </w:tcBorders>
            <w:noWrap/>
            <w:vAlign w:val="bottom"/>
            <w:hideMark/>
          </w:tcPr>
          <w:p w14:paraId="6BE01860"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10</w:t>
            </w:r>
          </w:p>
        </w:tc>
      </w:tr>
    </w:tbl>
    <w:p w14:paraId="0FE9F0D4"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1CC8ADAA"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59BB1285"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78C26842"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5526940D"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tbl>
      <w:tblPr>
        <w:tblpPr w:leftFromText="180" w:rightFromText="180" w:vertAnchor="text" w:horzAnchor="margin" w:tblpY="-181"/>
        <w:tblW w:w="15656" w:type="dxa"/>
        <w:tblLook w:val="04A0" w:firstRow="1" w:lastRow="0" w:firstColumn="1" w:lastColumn="0" w:noHBand="0" w:noVBand="1"/>
      </w:tblPr>
      <w:tblGrid>
        <w:gridCol w:w="1250"/>
        <w:gridCol w:w="2897"/>
        <w:gridCol w:w="1237"/>
        <w:gridCol w:w="1232"/>
        <w:gridCol w:w="1232"/>
        <w:gridCol w:w="1228"/>
        <w:gridCol w:w="1316"/>
        <w:gridCol w:w="1316"/>
        <w:gridCol w:w="1316"/>
        <w:gridCol w:w="1316"/>
        <w:gridCol w:w="1316"/>
      </w:tblGrid>
      <w:tr w:rsidR="00752F04" w:rsidRPr="00EA0FD7" w14:paraId="20E344EB" w14:textId="77777777" w:rsidTr="00752F04">
        <w:trPr>
          <w:trHeight w:val="345"/>
        </w:trPr>
        <w:tc>
          <w:tcPr>
            <w:tcW w:w="9076" w:type="dxa"/>
            <w:gridSpan w:val="6"/>
            <w:tcBorders>
              <w:top w:val="nil"/>
              <w:left w:val="nil"/>
              <w:bottom w:val="single" w:sz="8" w:space="0" w:color="auto"/>
              <w:right w:val="nil"/>
            </w:tcBorders>
            <w:noWrap/>
            <w:vAlign w:val="bottom"/>
            <w:hideMark/>
          </w:tcPr>
          <w:p w14:paraId="0C4EE5C1" w14:textId="4B648624" w:rsidR="00752F04" w:rsidRPr="00EA0FD7" w:rsidRDefault="00752F04" w:rsidP="00752F04">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lastRenderedPageBreak/>
              <w:t>ЗБИРНИ ПРЕГЛЕД ЗА СВА ОДЈЕЉЕЊА И ИНСТИТУЦИЈЕ БРЧКО ДИСТРИКТА Б</w:t>
            </w:r>
            <w:r>
              <w:rPr>
                <w:rFonts w:ascii="Arial" w:eastAsia="Times New Roman" w:hAnsi="Arial" w:cs="Arial"/>
                <w:b/>
                <w:bCs/>
                <w:sz w:val="20"/>
                <w:szCs w:val="20"/>
                <w:lang w:val="sr-Cyrl-RS"/>
              </w:rPr>
              <w:t>и</w:t>
            </w:r>
            <w:r w:rsidRPr="00EA0FD7">
              <w:rPr>
                <w:rFonts w:ascii="Arial" w:eastAsia="Times New Roman" w:hAnsi="Arial" w:cs="Arial"/>
                <w:b/>
                <w:bCs/>
                <w:sz w:val="20"/>
                <w:szCs w:val="20"/>
                <w:lang w:val="sr-Cyrl-RS"/>
              </w:rPr>
              <w:t>Х</w:t>
            </w:r>
          </w:p>
        </w:tc>
        <w:tc>
          <w:tcPr>
            <w:tcW w:w="1316" w:type="dxa"/>
            <w:noWrap/>
            <w:vAlign w:val="bottom"/>
          </w:tcPr>
          <w:p w14:paraId="49D0E5F1" w14:textId="77777777" w:rsidR="00752F04" w:rsidRPr="00EA0FD7" w:rsidRDefault="00752F04" w:rsidP="00752F04">
            <w:pPr>
              <w:spacing w:after="0" w:line="240" w:lineRule="auto"/>
              <w:rPr>
                <w:rFonts w:ascii="Arial" w:eastAsia="Times New Roman" w:hAnsi="Arial" w:cs="Arial"/>
                <w:sz w:val="20"/>
                <w:szCs w:val="20"/>
                <w:lang w:val="sr-Cyrl-RS"/>
              </w:rPr>
            </w:pPr>
          </w:p>
        </w:tc>
        <w:tc>
          <w:tcPr>
            <w:tcW w:w="1316" w:type="dxa"/>
            <w:noWrap/>
            <w:vAlign w:val="bottom"/>
          </w:tcPr>
          <w:p w14:paraId="6E123DAB" w14:textId="77777777" w:rsidR="00752F04" w:rsidRPr="00EA0FD7" w:rsidRDefault="00752F04" w:rsidP="00752F04">
            <w:pPr>
              <w:spacing w:after="0" w:line="240" w:lineRule="auto"/>
              <w:rPr>
                <w:rFonts w:ascii="Arial" w:eastAsia="Times New Roman" w:hAnsi="Arial" w:cs="Arial"/>
                <w:sz w:val="20"/>
                <w:szCs w:val="20"/>
                <w:lang w:val="sr-Cyrl-RS"/>
              </w:rPr>
            </w:pPr>
          </w:p>
        </w:tc>
        <w:tc>
          <w:tcPr>
            <w:tcW w:w="1316" w:type="dxa"/>
            <w:noWrap/>
            <w:vAlign w:val="bottom"/>
          </w:tcPr>
          <w:p w14:paraId="4CD4B145" w14:textId="77777777" w:rsidR="00752F04" w:rsidRPr="00EA0FD7" w:rsidRDefault="00752F04" w:rsidP="00752F04">
            <w:pPr>
              <w:spacing w:after="0" w:line="240" w:lineRule="auto"/>
              <w:rPr>
                <w:rFonts w:ascii="Arial" w:eastAsia="Times New Roman" w:hAnsi="Arial" w:cs="Arial"/>
                <w:sz w:val="20"/>
                <w:szCs w:val="20"/>
                <w:lang w:val="sr-Cyrl-RS"/>
              </w:rPr>
            </w:pPr>
          </w:p>
        </w:tc>
        <w:tc>
          <w:tcPr>
            <w:tcW w:w="1316" w:type="dxa"/>
            <w:noWrap/>
            <w:vAlign w:val="bottom"/>
          </w:tcPr>
          <w:p w14:paraId="16A1907E" w14:textId="77777777" w:rsidR="00752F04" w:rsidRPr="00EA0FD7" w:rsidRDefault="00752F04" w:rsidP="00752F04">
            <w:pPr>
              <w:spacing w:after="0" w:line="240" w:lineRule="auto"/>
              <w:rPr>
                <w:rFonts w:ascii="Arial" w:eastAsia="Times New Roman" w:hAnsi="Arial" w:cs="Arial"/>
                <w:sz w:val="20"/>
                <w:szCs w:val="20"/>
                <w:lang w:val="sr-Cyrl-RS"/>
              </w:rPr>
            </w:pPr>
          </w:p>
        </w:tc>
        <w:tc>
          <w:tcPr>
            <w:tcW w:w="1316" w:type="dxa"/>
            <w:noWrap/>
            <w:vAlign w:val="bottom"/>
          </w:tcPr>
          <w:p w14:paraId="4F30DEE1" w14:textId="77777777" w:rsidR="00752F04" w:rsidRPr="00EA0FD7" w:rsidRDefault="00752F04" w:rsidP="00752F04">
            <w:pPr>
              <w:spacing w:after="0" w:line="240" w:lineRule="auto"/>
              <w:rPr>
                <w:rFonts w:ascii="Arial" w:eastAsia="Times New Roman" w:hAnsi="Arial" w:cs="Arial"/>
                <w:sz w:val="20"/>
                <w:szCs w:val="20"/>
                <w:lang w:val="sr-Cyrl-RS"/>
              </w:rPr>
            </w:pPr>
          </w:p>
        </w:tc>
      </w:tr>
      <w:tr w:rsidR="00752F04" w:rsidRPr="00EA0FD7" w14:paraId="10230F42" w14:textId="77777777" w:rsidTr="00752F04">
        <w:trPr>
          <w:trHeight w:val="319"/>
        </w:trPr>
        <w:tc>
          <w:tcPr>
            <w:tcW w:w="1250" w:type="dxa"/>
            <w:vMerge w:val="restart"/>
            <w:tcBorders>
              <w:top w:val="nil"/>
              <w:left w:val="single" w:sz="8" w:space="0" w:color="auto"/>
              <w:bottom w:val="single" w:sz="8" w:space="0" w:color="000000"/>
              <w:right w:val="single" w:sz="8" w:space="0" w:color="auto"/>
            </w:tcBorders>
            <w:shd w:val="clear" w:color="auto" w:fill="808080"/>
            <w:vAlign w:val="center"/>
            <w:hideMark/>
          </w:tcPr>
          <w:p w14:paraId="49D7A36B" w14:textId="77777777" w:rsidR="00752F04" w:rsidRPr="00EA0FD7" w:rsidRDefault="00752F04" w:rsidP="00752F04">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Економски</w:t>
            </w:r>
            <w:r w:rsidRPr="00EA0FD7">
              <w:rPr>
                <w:rFonts w:ascii="Arial" w:eastAsia="Times New Roman" w:hAnsi="Arial" w:cs="Arial"/>
                <w:b/>
                <w:bCs/>
                <w:color w:val="FFFFFF"/>
                <w:sz w:val="18"/>
                <w:szCs w:val="18"/>
                <w:lang w:val="sr-Cyrl-RS"/>
              </w:rPr>
              <w:br/>
              <w:t>код</w:t>
            </w:r>
          </w:p>
        </w:tc>
        <w:tc>
          <w:tcPr>
            <w:tcW w:w="2897" w:type="dxa"/>
            <w:vMerge w:val="restart"/>
            <w:tcBorders>
              <w:top w:val="nil"/>
              <w:left w:val="single" w:sz="8" w:space="0" w:color="auto"/>
              <w:bottom w:val="single" w:sz="8" w:space="0" w:color="000000"/>
              <w:right w:val="single" w:sz="8" w:space="0" w:color="auto"/>
            </w:tcBorders>
            <w:shd w:val="clear" w:color="auto" w:fill="808080"/>
            <w:vAlign w:val="center"/>
            <w:hideMark/>
          </w:tcPr>
          <w:p w14:paraId="70A5149D" w14:textId="77777777" w:rsidR="00752F04" w:rsidRPr="00EA0FD7" w:rsidRDefault="00752F04" w:rsidP="00752F04">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Економска категорија</w:t>
            </w:r>
          </w:p>
        </w:tc>
        <w:tc>
          <w:tcPr>
            <w:tcW w:w="1237" w:type="dxa"/>
            <w:vMerge w:val="restart"/>
            <w:tcBorders>
              <w:top w:val="nil"/>
              <w:left w:val="single" w:sz="8" w:space="0" w:color="auto"/>
              <w:bottom w:val="single" w:sz="8" w:space="0" w:color="000000"/>
              <w:right w:val="single" w:sz="8" w:space="0" w:color="auto"/>
            </w:tcBorders>
            <w:shd w:val="clear" w:color="auto" w:fill="808080"/>
            <w:vAlign w:val="center"/>
            <w:hideMark/>
          </w:tcPr>
          <w:p w14:paraId="0814B596" w14:textId="77777777" w:rsidR="00752F04" w:rsidRPr="00EA0FD7" w:rsidRDefault="00752F04" w:rsidP="00752F04">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2021</w:t>
            </w:r>
          </w:p>
        </w:tc>
        <w:tc>
          <w:tcPr>
            <w:tcW w:w="1232" w:type="dxa"/>
            <w:vMerge w:val="restart"/>
            <w:tcBorders>
              <w:top w:val="nil"/>
              <w:left w:val="single" w:sz="8" w:space="0" w:color="auto"/>
              <w:bottom w:val="single" w:sz="8" w:space="0" w:color="000000"/>
              <w:right w:val="single" w:sz="8" w:space="0" w:color="auto"/>
            </w:tcBorders>
            <w:shd w:val="clear" w:color="auto" w:fill="808080"/>
            <w:vAlign w:val="center"/>
            <w:hideMark/>
          </w:tcPr>
          <w:p w14:paraId="1D86FA5C" w14:textId="77777777" w:rsidR="00752F04" w:rsidRPr="00EA0FD7" w:rsidRDefault="00752F04" w:rsidP="00752F04">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Извршење  </w:t>
            </w:r>
            <w:r w:rsidRPr="00EA0FD7">
              <w:rPr>
                <w:rFonts w:ascii="Arial" w:eastAsia="Times New Roman" w:hAnsi="Arial" w:cs="Arial"/>
                <w:b/>
                <w:bCs/>
                <w:color w:val="FFFFFF"/>
                <w:sz w:val="18"/>
                <w:szCs w:val="18"/>
                <w:lang w:val="sr-Cyrl-RS"/>
              </w:rPr>
              <w:br/>
              <w:t>2021</w:t>
            </w:r>
          </w:p>
        </w:tc>
        <w:tc>
          <w:tcPr>
            <w:tcW w:w="1232" w:type="dxa"/>
            <w:vMerge w:val="restart"/>
            <w:tcBorders>
              <w:top w:val="nil"/>
              <w:left w:val="single" w:sz="8" w:space="0" w:color="auto"/>
              <w:bottom w:val="single" w:sz="8" w:space="0" w:color="000000"/>
              <w:right w:val="single" w:sz="8" w:space="0" w:color="auto"/>
            </w:tcBorders>
            <w:shd w:val="clear" w:color="auto" w:fill="808080"/>
            <w:vAlign w:val="center"/>
            <w:hideMark/>
          </w:tcPr>
          <w:p w14:paraId="5E3F5E1B" w14:textId="77777777" w:rsidR="00752F04" w:rsidRPr="00EA0FD7" w:rsidRDefault="00752F04" w:rsidP="00752F04">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 xml:space="preserve">Буџет </w:t>
            </w:r>
            <w:r w:rsidRPr="00EA0FD7">
              <w:rPr>
                <w:rFonts w:ascii="Arial" w:eastAsia="Times New Roman" w:hAnsi="Arial" w:cs="Arial"/>
                <w:b/>
                <w:bCs/>
                <w:color w:val="FFFFFF"/>
                <w:sz w:val="18"/>
                <w:szCs w:val="18"/>
                <w:lang w:val="sr-Cyrl-RS"/>
              </w:rPr>
              <w:br/>
              <w:t>2022</w:t>
            </w:r>
          </w:p>
        </w:tc>
        <w:tc>
          <w:tcPr>
            <w:tcW w:w="3860"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400A24F9" w14:textId="77777777" w:rsidR="00752F04" w:rsidRPr="00EA0FD7" w:rsidRDefault="00752F04" w:rsidP="00752F04">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Укупан захтјев</w:t>
            </w:r>
          </w:p>
        </w:tc>
        <w:tc>
          <w:tcPr>
            <w:tcW w:w="3948"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60394543" w14:textId="77777777" w:rsidR="00752F04" w:rsidRPr="00EA0FD7" w:rsidRDefault="00752F04" w:rsidP="00752F04">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Горње границе расхода</w:t>
            </w:r>
          </w:p>
        </w:tc>
      </w:tr>
      <w:tr w:rsidR="00752F04" w:rsidRPr="00EA0FD7" w14:paraId="2AFEA00D" w14:textId="77777777" w:rsidTr="00752F04">
        <w:trPr>
          <w:trHeight w:val="319"/>
        </w:trPr>
        <w:tc>
          <w:tcPr>
            <w:tcW w:w="0" w:type="auto"/>
            <w:vMerge/>
            <w:tcBorders>
              <w:top w:val="nil"/>
              <w:left w:val="single" w:sz="8" w:space="0" w:color="auto"/>
              <w:bottom w:val="single" w:sz="8" w:space="0" w:color="000000"/>
              <w:right w:val="single" w:sz="8" w:space="0" w:color="auto"/>
            </w:tcBorders>
            <w:vAlign w:val="center"/>
            <w:hideMark/>
          </w:tcPr>
          <w:p w14:paraId="2C0D0A61" w14:textId="77777777" w:rsidR="00752F04" w:rsidRPr="00EA0FD7" w:rsidRDefault="00752F04" w:rsidP="00752F04">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0B53F5F2" w14:textId="77777777" w:rsidR="00752F04" w:rsidRPr="00EA0FD7" w:rsidRDefault="00752F04" w:rsidP="00752F04">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2F0EFC10" w14:textId="77777777" w:rsidR="00752F04" w:rsidRPr="00EA0FD7" w:rsidRDefault="00752F04" w:rsidP="00752F04">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6CE8BFA9" w14:textId="77777777" w:rsidR="00752F04" w:rsidRPr="00EA0FD7" w:rsidRDefault="00752F04" w:rsidP="00752F04">
            <w:pPr>
              <w:spacing w:after="0" w:line="240" w:lineRule="auto"/>
              <w:rPr>
                <w:rFonts w:ascii="Arial" w:eastAsia="Times New Roman" w:hAnsi="Arial" w:cs="Arial"/>
                <w:b/>
                <w:bCs/>
                <w:color w:val="FFFFFF"/>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380DAC08" w14:textId="77777777" w:rsidR="00752F04" w:rsidRPr="00EA0FD7" w:rsidRDefault="00752F04" w:rsidP="00752F04">
            <w:pPr>
              <w:spacing w:after="0" w:line="240" w:lineRule="auto"/>
              <w:rPr>
                <w:rFonts w:ascii="Arial" w:eastAsia="Times New Roman" w:hAnsi="Arial" w:cs="Arial"/>
                <w:b/>
                <w:bCs/>
                <w:color w:val="FFFFFF"/>
                <w:sz w:val="18"/>
                <w:szCs w:val="18"/>
                <w:lang w:val="sr-Cyrl-RS"/>
              </w:rPr>
            </w:pPr>
          </w:p>
        </w:tc>
        <w:tc>
          <w:tcPr>
            <w:tcW w:w="1228" w:type="dxa"/>
            <w:tcBorders>
              <w:top w:val="nil"/>
              <w:left w:val="nil"/>
              <w:bottom w:val="single" w:sz="8" w:space="0" w:color="auto"/>
              <w:right w:val="single" w:sz="4" w:space="0" w:color="auto"/>
            </w:tcBorders>
            <w:shd w:val="clear" w:color="auto" w:fill="808080"/>
            <w:noWrap/>
            <w:vAlign w:val="center"/>
            <w:hideMark/>
          </w:tcPr>
          <w:p w14:paraId="7F8D8FA3" w14:textId="77777777" w:rsidR="00752F04" w:rsidRPr="00EA0FD7" w:rsidRDefault="00752F04" w:rsidP="00752F04">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74CC4D28" w14:textId="77777777" w:rsidR="00752F04" w:rsidRPr="00EA0FD7" w:rsidRDefault="00752F04" w:rsidP="00752F04">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5CB8FBEE" w14:textId="77777777" w:rsidR="00752F04" w:rsidRPr="00EA0FD7" w:rsidRDefault="00752F04" w:rsidP="00752F04">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c>
          <w:tcPr>
            <w:tcW w:w="1316" w:type="dxa"/>
            <w:tcBorders>
              <w:top w:val="nil"/>
              <w:left w:val="nil"/>
              <w:bottom w:val="single" w:sz="8" w:space="0" w:color="auto"/>
              <w:right w:val="single" w:sz="4" w:space="0" w:color="auto"/>
            </w:tcBorders>
            <w:shd w:val="clear" w:color="auto" w:fill="808080"/>
            <w:noWrap/>
            <w:vAlign w:val="center"/>
            <w:hideMark/>
          </w:tcPr>
          <w:p w14:paraId="3FA5B1CD" w14:textId="77777777" w:rsidR="00752F04" w:rsidRPr="00EA0FD7" w:rsidRDefault="00752F04" w:rsidP="00752F04">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2023</w:t>
            </w:r>
          </w:p>
        </w:tc>
        <w:tc>
          <w:tcPr>
            <w:tcW w:w="1316" w:type="dxa"/>
            <w:tcBorders>
              <w:top w:val="nil"/>
              <w:left w:val="nil"/>
              <w:bottom w:val="single" w:sz="8" w:space="0" w:color="auto"/>
              <w:right w:val="single" w:sz="4" w:space="0" w:color="auto"/>
            </w:tcBorders>
            <w:shd w:val="clear" w:color="auto" w:fill="808080"/>
            <w:noWrap/>
            <w:vAlign w:val="center"/>
            <w:hideMark/>
          </w:tcPr>
          <w:p w14:paraId="52A2E53B" w14:textId="77777777" w:rsidR="00752F04" w:rsidRPr="00EA0FD7" w:rsidRDefault="00752F04" w:rsidP="00752F04">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2024</w:t>
            </w:r>
          </w:p>
        </w:tc>
        <w:tc>
          <w:tcPr>
            <w:tcW w:w="1316" w:type="dxa"/>
            <w:tcBorders>
              <w:top w:val="nil"/>
              <w:left w:val="nil"/>
              <w:bottom w:val="single" w:sz="8" w:space="0" w:color="auto"/>
              <w:right w:val="single" w:sz="8" w:space="0" w:color="auto"/>
            </w:tcBorders>
            <w:shd w:val="clear" w:color="auto" w:fill="808080"/>
            <w:noWrap/>
            <w:vAlign w:val="center"/>
            <w:hideMark/>
          </w:tcPr>
          <w:p w14:paraId="4E40E784" w14:textId="77777777" w:rsidR="00752F04" w:rsidRPr="00EA0FD7" w:rsidRDefault="00752F04" w:rsidP="00752F04">
            <w:pPr>
              <w:spacing w:after="0" w:line="240" w:lineRule="auto"/>
              <w:jc w:val="center"/>
              <w:rPr>
                <w:rFonts w:ascii="Arial" w:eastAsia="Times New Roman" w:hAnsi="Arial" w:cs="Arial"/>
                <w:b/>
                <w:bCs/>
                <w:color w:val="FFFFFF"/>
                <w:sz w:val="18"/>
                <w:szCs w:val="18"/>
                <w:lang w:val="sr-Cyrl-RS"/>
              </w:rPr>
            </w:pPr>
            <w:r w:rsidRPr="00EA0FD7">
              <w:rPr>
                <w:rFonts w:ascii="Arial" w:eastAsia="Times New Roman" w:hAnsi="Arial" w:cs="Arial"/>
                <w:b/>
                <w:bCs/>
                <w:color w:val="FFFFFF"/>
                <w:sz w:val="18"/>
                <w:szCs w:val="18"/>
                <w:lang w:val="sr-Cyrl-RS"/>
              </w:rPr>
              <w:t>2025</w:t>
            </w:r>
          </w:p>
        </w:tc>
      </w:tr>
      <w:tr w:rsidR="00752F04" w:rsidRPr="00EA0FD7" w14:paraId="615E4DDD" w14:textId="77777777" w:rsidTr="00752F04">
        <w:trPr>
          <w:trHeight w:val="240"/>
        </w:trPr>
        <w:tc>
          <w:tcPr>
            <w:tcW w:w="1250" w:type="dxa"/>
            <w:tcBorders>
              <w:top w:val="nil"/>
              <w:left w:val="single" w:sz="8" w:space="0" w:color="auto"/>
              <w:bottom w:val="single" w:sz="4" w:space="0" w:color="auto"/>
              <w:right w:val="single" w:sz="4" w:space="0" w:color="auto"/>
            </w:tcBorders>
            <w:noWrap/>
            <w:vAlign w:val="bottom"/>
            <w:hideMark/>
          </w:tcPr>
          <w:p w14:paraId="054ED82F"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897" w:type="dxa"/>
            <w:tcBorders>
              <w:top w:val="nil"/>
              <w:left w:val="nil"/>
              <w:bottom w:val="single" w:sz="4" w:space="0" w:color="auto"/>
              <w:right w:val="single" w:sz="4" w:space="0" w:color="auto"/>
            </w:tcBorders>
            <w:noWrap/>
            <w:vAlign w:val="bottom"/>
            <w:hideMark/>
          </w:tcPr>
          <w:p w14:paraId="3CC84529"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 И ИЗДАЦИ</w:t>
            </w:r>
          </w:p>
        </w:tc>
        <w:tc>
          <w:tcPr>
            <w:tcW w:w="1237" w:type="dxa"/>
            <w:tcBorders>
              <w:top w:val="nil"/>
              <w:left w:val="nil"/>
              <w:bottom w:val="single" w:sz="4" w:space="0" w:color="auto"/>
              <w:right w:val="single" w:sz="4" w:space="0" w:color="auto"/>
            </w:tcBorders>
            <w:noWrap/>
            <w:vAlign w:val="bottom"/>
            <w:hideMark/>
          </w:tcPr>
          <w:p w14:paraId="6A1217AC"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32" w:type="dxa"/>
            <w:tcBorders>
              <w:top w:val="nil"/>
              <w:left w:val="nil"/>
              <w:bottom w:val="single" w:sz="4" w:space="0" w:color="auto"/>
              <w:right w:val="single" w:sz="4" w:space="0" w:color="auto"/>
            </w:tcBorders>
            <w:noWrap/>
            <w:vAlign w:val="bottom"/>
            <w:hideMark/>
          </w:tcPr>
          <w:p w14:paraId="53232342"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32" w:type="dxa"/>
            <w:tcBorders>
              <w:top w:val="nil"/>
              <w:left w:val="nil"/>
              <w:bottom w:val="single" w:sz="4" w:space="0" w:color="auto"/>
              <w:right w:val="single" w:sz="4" w:space="0" w:color="auto"/>
            </w:tcBorders>
            <w:noWrap/>
            <w:vAlign w:val="bottom"/>
            <w:hideMark/>
          </w:tcPr>
          <w:p w14:paraId="060C8BE6"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28" w:type="dxa"/>
            <w:tcBorders>
              <w:top w:val="nil"/>
              <w:left w:val="nil"/>
              <w:bottom w:val="single" w:sz="4" w:space="0" w:color="auto"/>
              <w:right w:val="single" w:sz="4" w:space="0" w:color="auto"/>
            </w:tcBorders>
            <w:noWrap/>
            <w:vAlign w:val="bottom"/>
            <w:hideMark/>
          </w:tcPr>
          <w:p w14:paraId="2A5F9FC4"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3180F84C"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3BC24A23"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27A2E1FB"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4" w:space="0" w:color="auto"/>
            </w:tcBorders>
            <w:noWrap/>
            <w:vAlign w:val="bottom"/>
            <w:hideMark/>
          </w:tcPr>
          <w:p w14:paraId="2EC415AE"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4" w:space="0" w:color="auto"/>
              <w:right w:val="single" w:sz="8" w:space="0" w:color="auto"/>
            </w:tcBorders>
            <w:noWrap/>
            <w:vAlign w:val="bottom"/>
            <w:hideMark/>
          </w:tcPr>
          <w:p w14:paraId="3380703B"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752F04" w:rsidRPr="00EA0FD7" w14:paraId="49487331" w14:textId="77777777" w:rsidTr="00752F04">
        <w:trPr>
          <w:trHeight w:val="480"/>
        </w:trPr>
        <w:tc>
          <w:tcPr>
            <w:tcW w:w="1250" w:type="dxa"/>
            <w:tcBorders>
              <w:top w:val="nil"/>
              <w:left w:val="single" w:sz="8" w:space="0" w:color="auto"/>
              <w:bottom w:val="single" w:sz="4" w:space="0" w:color="auto"/>
              <w:right w:val="single" w:sz="4" w:space="0" w:color="auto"/>
            </w:tcBorders>
            <w:vAlign w:val="bottom"/>
            <w:hideMark/>
          </w:tcPr>
          <w:p w14:paraId="79DE0D98" w14:textId="77777777" w:rsidR="00752F04" w:rsidRPr="00EA0FD7" w:rsidRDefault="00752F04" w:rsidP="00752F04">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611100</w:t>
            </w:r>
            <w:r w:rsidRPr="00EA0FD7">
              <w:rPr>
                <w:rFonts w:ascii="Arial" w:eastAsia="Times New Roman" w:hAnsi="Arial" w:cs="Arial"/>
                <w:sz w:val="18"/>
                <w:szCs w:val="18"/>
                <w:lang w:val="sr-Cyrl-RS"/>
              </w:rPr>
              <w:br/>
              <w:t>612100</w:t>
            </w:r>
          </w:p>
        </w:tc>
        <w:tc>
          <w:tcPr>
            <w:tcW w:w="2897" w:type="dxa"/>
            <w:tcBorders>
              <w:top w:val="nil"/>
              <w:left w:val="nil"/>
              <w:bottom w:val="single" w:sz="4" w:space="0" w:color="auto"/>
              <w:right w:val="single" w:sz="4" w:space="0" w:color="auto"/>
            </w:tcBorders>
            <w:vAlign w:val="bottom"/>
            <w:hideMark/>
          </w:tcPr>
          <w:p w14:paraId="56BC7927" w14:textId="77777777" w:rsidR="00752F04" w:rsidRPr="00EA0FD7" w:rsidRDefault="00752F04" w:rsidP="00752F04">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Бруто плате и доприноси послодавца</w:t>
            </w:r>
          </w:p>
        </w:tc>
        <w:tc>
          <w:tcPr>
            <w:tcW w:w="1237" w:type="dxa"/>
            <w:tcBorders>
              <w:top w:val="nil"/>
              <w:left w:val="nil"/>
              <w:bottom w:val="single" w:sz="4" w:space="0" w:color="auto"/>
              <w:right w:val="single" w:sz="4" w:space="0" w:color="auto"/>
            </w:tcBorders>
            <w:noWrap/>
            <w:vAlign w:val="bottom"/>
            <w:hideMark/>
          </w:tcPr>
          <w:p w14:paraId="1780AD9A"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85,303,809</w:t>
            </w:r>
          </w:p>
        </w:tc>
        <w:tc>
          <w:tcPr>
            <w:tcW w:w="1232" w:type="dxa"/>
            <w:tcBorders>
              <w:top w:val="nil"/>
              <w:left w:val="nil"/>
              <w:bottom w:val="single" w:sz="4" w:space="0" w:color="auto"/>
              <w:right w:val="single" w:sz="4" w:space="0" w:color="auto"/>
            </w:tcBorders>
            <w:noWrap/>
            <w:vAlign w:val="bottom"/>
            <w:hideMark/>
          </w:tcPr>
          <w:p w14:paraId="3E90BE05"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82,501,443</w:t>
            </w:r>
          </w:p>
        </w:tc>
        <w:tc>
          <w:tcPr>
            <w:tcW w:w="1232" w:type="dxa"/>
            <w:tcBorders>
              <w:top w:val="nil"/>
              <w:left w:val="nil"/>
              <w:bottom w:val="single" w:sz="4" w:space="0" w:color="auto"/>
              <w:right w:val="single" w:sz="4" w:space="0" w:color="auto"/>
            </w:tcBorders>
            <w:noWrap/>
            <w:vAlign w:val="bottom"/>
            <w:hideMark/>
          </w:tcPr>
          <w:p w14:paraId="51D68DD2"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91,295,987</w:t>
            </w:r>
          </w:p>
        </w:tc>
        <w:tc>
          <w:tcPr>
            <w:tcW w:w="1228" w:type="dxa"/>
            <w:tcBorders>
              <w:top w:val="nil"/>
              <w:left w:val="nil"/>
              <w:bottom w:val="single" w:sz="4" w:space="0" w:color="auto"/>
              <w:right w:val="single" w:sz="4" w:space="0" w:color="auto"/>
            </w:tcBorders>
            <w:noWrap/>
            <w:vAlign w:val="bottom"/>
            <w:hideMark/>
          </w:tcPr>
          <w:p w14:paraId="2F0BA07C"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93,488,069</w:t>
            </w:r>
          </w:p>
        </w:tc>
        <w:tc>
          <w:tcPr>
            <w:tcW w:w="1316" w:type="dxa"/>
            <w:tcBorders>
              <w:top w:val="nil"/>
              <w:left w:val="nil"/>
              <w:bottom w:val="single" w:sz="4" w:space="0" w:color="auto"/>
              <w:right w:val="single" w:sz="4" w:space="0" w:color="auto"/>
            </w:tcBorders>
            <w:noWrap/>
            <w:vAlign w:val="bottom"/>
            <w:hideMark/>
          </w:tcPr>
          <w:p w14:paraId="6C187DCD"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93,604,550</w:t>
            </w:r>
          </w:p>
        </w:tc>
        <w:tc>
          <w:tcPr>
            <w:tcW w:w="1316" w:type="dxa"/>
            <w:tcBorders>
              <w:top w:val="nil"/>
              <w:left w:val="nil"/>
              <w:bottom w:val="single" w:sz="4" w:space="0" w:color="auto"/>
              <w:right w:val="single" w:sz="4" w:space="0" w:color="auto"/>
            </w:tcBorders>
            <w:noWrap/>
            <w:vAlign w:val="bottom"/>
            <w:hideMark/>
          </w:tcPr>
          <w:p w14:paraId="029F09A1"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93,808,656</w:t>
            </w:r>
          </w:p>
        </w:tc>
        <w:tc>
          <w:tcPr>
            <w:tcW w:w="1316" w:type="dxa"/>
            <w:tcBorders>
              <w:top w:val="nil"/>
              <w:left w:val="nil"/>
              <w:bottom w:val="single" w:sz="4" w:space="0" w:color="auto"/>
              <w:right w:val="single" w:sz="4" w:space="0" w:color="auto"/>
            </w:tcBorders>
            <w:noWrap/>
            <w:vAlign w:val="bottom"/>
            <w:hideMark/>
          </w:tcPr>
          <w:p w14:paraId="2A41052F"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94,934,128</w:t>
            </w:r>
          </w:p>
        </w:tc>
        <w:tc>
          <w:tcPr>
            <w:tcW w:w="1316" w:type="dxa"/>
            <w:tcBorders>
              <w:top w:val="nil"/>
              <w:left w:val="nil"/>
              <w:bottom w:val="single" w:sz="4" w:space="0" w:color="auto"/>
              <w:right w:val="single" w:sz="4" w:space="0" w:color="auto"/>
            </w:tcBorders>
            <w:noWrap/>
            <w:vAlign w:val="bottom"/>
            <w:hideMark/>
          </w:tcPr>
          <w:p w14:paraId="1B70AF8D"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95,050,608</w:t>
            </w:r>
          </w:p>
        </w:tc>
        <w:tc>
          <w:tcPr>
            <w:tcW w:w="1316" w:type="dxa"/>
            <w:tcBorders>
              <w:top w:val="nil"/>
              <w:left w:val="nil"/>
              <w:bottom w:val="single" w:sz="4" w:space="0" w:color="auto"/>
              <w:right w:val="single" w:sz="4" w:space="0" w:color="auto"/>
            </w:tcBorders>
            <w:noWrap/>
            <w:vAlign w:val="bottom"/>
            <w:hideMark/>
          </w:tcPr>
          <w:p w14:paraId="4D0B65AD"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95,254,714</w:t>
            </w:r>
          </w:p>
        </w:tc>
      </w:tr>
      <w:tr w:rsidR="00752F04" w:rsidRPr="00EA0FD7" w14:paraId="5292D2C5" w14:textId="77777777" w:rsidTr="00752F04">
        <w:trPr>
          <w:trHeight w:val="240"/>
        </w:trPr>
        <w:tc>
          <w:tcPr>
            <w:tcW w:w="1250" w:type="dxa"/>
            <w:tcBorders>
              <w:top w:val="nil"/>
              <w:left w:val="single" w:sz="8" w:space="0" w:color="auto"/>
              <w:bottom w:val="single" w:sz="4" w:space="0" w:color="auto"/>
              <w:right w:val="single" w:sz="4" w:space="0" w:color="auto"/>
            </w:tcBorders>
            <w:noWrap/>
            <w:vAlign w:val="bottom"/>
            <w:hideMark/>
          </w:tcPr>
          <w:p w14:paraId="7B77F45E" w14:textId="77777777" w:rsidR="00752F04" w:rsidRPr="00EA0FD7" w:rsidRDefault="00752F04" w:rsidP="00752F04">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611200</w:t>
            </w:r>
          </w:p>
        </w:tc>
        <w:tc>
          <w:tcPr>
            <w:tcW w:w="2897" w:type="dxa"/>
            <w:tcBorders>
              <w:top w:val="nil"/>
              <w:left w:val="nil"/>
              <w:bottom w:val="single" w:sz="4" w:space="0" w:color="auto"/>
              <w:right w:val="single" w:sz="4" w:space="0" w:color="auto"/>
            </w:tcBorders>
            <w:vAlign w:val="bottom"/>
            <w:hideMark/>
          </w:tcPr>
          <w:p w14:paraId="43E6A49F" w14:textId="77777777" w:rsidR="00752F04" w:rsidRPr="00EA0FD7" w:rsidRDefault="00752F04" w:rsidP="00752F04">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Накнаде трошкова запослених</w:t>
            </w:r>
          </w:p>
        </w:tc>
        <w:tc>
          <w:tcPr>
            <w:tcW w:w="1237" w:type="dxa"/>
            <w:tcBorders>
              <w:top w:val="nil"/>
              <w:left w:val="nil"/>
              <w:bottom w:val="single" w:sz="4" w:space="0" w:color="auto"/>
              <w:right w:val="single" w:sz="4" w:space="0" w:color="auto"/>
            </w:tcBorders>
            <w:noWrap/>
            <w:vAlign w:val="bottom"/>
            <w:hideMark/>
          </w:tcPr>
          <w:p w14:paraId="024645F3"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2,988,964</w:t>
            </w:r>
          </w:p>
        </w:tc>
        <w:tc>
          <w:tcPr>
            <w:tcW w:w="1232" w:type="dxa"/>
            <w:tcBorders>
              <w:top w:val="nil"/>
              <w:left w:val="nil"/>
              <w:bottom w:val="single" w:sz="4" w:space="0" w:color="auto"/>
              <w:right w:val="single" w:sz="4" w:space="0" w:color="auto"/>
            </w:tcBorders>
            <w:noWrap/>
            <w:vAlign w:val="bottom"/>
            <w:hideMark/>
          </w:tcPr>
          <w:p w14:paraId="5CF63B1D"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2,268,725</w:t>
            </w:r>
          </w:p>
        </w:tc>
        <w:tc>
          <w:tcPr>
            <w:tcW w:w="1232" w:type="dxa"/>
            <w:tcBorders>
              <w:top w:val="nil"/>
              <w:left w:val="nil"/>
              <w:bottom w:val="single" w:sz="4" w:space="0" w:color="auto"/>
              <w:right w:val="single" w:sz="4" w:space="0" w:color="auto"/>
            </w:tcBorders>
            <w:noWrap/>
            <w:vAlign w:val="bottom"/>
            <w:hideMark/>
          </w:tcPr>
          <w:p w14:paraId="6D46BE72"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5,921,078</w:t>
            </w:r>
          </w:p>
        </w:tc>
        <w:tc>
          <w:tcPr>
            <w:tcW w:w="1228" w:type="dxa"/>
            <w:tcBorders>
              <w:top w:val="nil"/>
              <w:left w:val="nil"/>
              <w:bottom w:val="single" w:sz="4" w:space="0" w:color="auto"/>
              <w:right w:val="single" w:sz="4" w:space="0" w:color="auto"/>
            </w:tcBorders>
            <w:noWrap/>
            <w:vAlign w:val="bottom"/>
            <w:hideMark/>
          </w:tcPr>
          <w:p w14:paraId="4E05165F"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6,065,286</w:t>
            </w:r>
          </w:p>
        </w:tc>
        <w:tc>
          <w:tcPr>
            <w:tcW w:w="1316" w:type="dxa"/>
            <w:tcBorders>
              <w:top w:val="nil"/>
              <w:left w:val="nil"/>
              <w:bottom w:val="single" w:sz="4" w:space="0" w:color="auto"/>
              <w:right w:val="single" w:sz="4" w:space="0" w:color="auto"/>
            </w:tcBorders>
            <w:noWrap/>
            <w:vAlign w:val="bottom"/>
            <w:hideMark/>
          </w:tcPr>
          <w:p w14:paraId="34381733"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6,067,151</w:t>
            </w:r>
          </w:p>
        </w:tc>
        <w:tc>
          <w:tcPr>
            <w:tcW w:w="1316" w:type="dxa"/>
            <w:tcBorders>
              <w:top w:val="nil"/>
              <w:left w:val="nil"/>
              <w:bottom w:val="single" w:sz="4" w:space="0" w:color="auto"/>
              <w:right w:val="single" w:sz="4" w:space="0" w:color="auto"/>
            </w:tcBorders>
            <w:noWrap/>
            <w:vAlign w:val="bottom"/>
            <w:hideMark/>
          </w:tcPr>
          <w:p w14:paraId="66DECD73"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6,053,098</w:t>
            </w:r>
          </w:p>
        </w:tc>
        <w:tc>
          <w:tcPr>
            <w:tcW w:w="1316" w:type="dxa"/>
            <w:tcBorders>
              <w:top w:val="nil"/>
              <w:left w:val="nil"/>
              <w:bottom w:val="single" w:sz="4" w:space="0" w:color="auto"/>
              <w:right w:val="single" w:sz="4" w:space="0" w:color="auto"/>
            </w:tcBorders>
            <w:noWrap/>
            <w:vAlign w:val="bottom"/>
            <w:hideMark/>
          </w:tcPr>
          <w:p w14:paraId="0C7CB163"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6,180,566</w:t>
            </w:r>
          </w:p>
        </w:tc>
        <w:tc>
          <w:tcPr>
            <w:tcW w:w="1316" w:type="dxa"/>
            <w:tcBorders>
              <w:top w:val="nil"/>
              <w:left w:val="nil"/>
              <w:bottom w:val="single" w:sz="4" w:space="0" w:color="auto"/>
              <w:right w:val="single" w:sz="4" w:space="0" w:color="auto"/>
            </w:tcBorders>
            <w:noWrap/>
            <w:vAlign w:val="bottom"/>
            <w:hideMark/>
          </w:tcPr>
          <w:p w14:paraId="26ADD911"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6,189,031</w:t>
            </w:r>
          </w:p>
        </w:tc>
        <w:tc>
          <w:tcPr>
            <w:tcW w:w="1316" w:type="dxa"/>
            <w:tcBorders>
              <w:top w:val="nil"/>
              <w:left w:val="nil"/>
              <w:bottom w:val="single" w:sz="4" w:space="0" w:color="auto"/>
              <w:right w:val="single" w:sz="4" w:space="0" w:color="auto"/>
            </w:tcBorders>
            <w:noWrap/>
            <w:vAlign w:val="bottom"/>
            <w:hideMark/>
          </w:tcPr>
          <w:p w14:paraId="766D1A31"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6,174,978</w:t>
            </w:r>
          </w:p>
        </w:tc>
      </w:tr>
      <w:tr w:rsidR="00752F04" w:rsidRPr="00EA0FD7" w14:paraId="3B64307E" w14:textId="77777777" w:rsidTr="00752F04">
        <w:trPr>
          <w:trHeight w:val="480"/>
        </w:trPr>
        <w:tc>
          <w:tcPr>
            <w:tcW w:w="1250" w:type="dxa"/>
            <w:tcBorders>
              <w:top w:val="nil"/>
              <w:left w:val="single" w:sz="8" w:space="0" w:color="auto"/>
              <w:bottom w:val="single" w:sz="4" w:space="0" w:color="auto"/>
              <w:right w:val="single" w:sz="4" w:space="0" w:color="auto"/>
            </w:tcBorders>
            <w:noWrap/>
            <w:vAlign w:val="bottom"/>
            <w:hideMark/>
          </w:tcPr>
          <w:p w14:paraId="65ACAAE7" w14:textId="77777777" w:rsidR="00752F04" w:rsidRPr="00EA0FD7" w:rsidRDefault="00752F04" w:rsidP="00752F04">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613000</w:t>
            </w:r>
          </w:p>
        </w:tc>
        <w:tc>
          <w:tcPr>
            <w:tcW w:w="2897" w:type="dxa"/>
            <w:tcBorders>
              <w:top w:val="nil"/>
              <w:left w:val="nil"/>
              <w:bottom w:val="single" w:sz="4" w:space="0" w:color="auto"/>
              <w:right w:val="single" w:sz="4" w:space="0" w:color="auto"/>
            </w:tcBorders>
            <w:vAlign w:val="bottom"/>
            <w:hideMark/>
          </w:tcPr>
          <w:p w14:paraId="2C2549DE" w14:textId="77777777" w:rsidR="00752F04" w:rsidRPr="00EA0FD7" w:rsidRDefault="00752F04" w:rsidP="00752F04">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Расходи за материјал, робе, ситан инвентар и услуге</w:t>
            </w:r>
          </w:p>
        </w:tc>
        <w:tc>
          <w:tcPr>
            <w:tcW w:w="1237" w:type="dxa"/>
            <w:tcBorders>
              <w:top w:val="nil"/>
              <w:left w:val="nil"/>
              <w:bottom w:val="single" w:sz="4" w:space="0" w:color="auto"/>
              <w:right w:val="single" w:sz="4" w:space="0" w:color="auto"/>
            </w:tcBorders>
            <w:noWrap/>
            <w:vAlign w:val="bottom"/>
            <w:hideMark/>
          </w:tcPr>
          <w:p w14:paraId="2D8F9D58"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37,209,503</w:t>
            </w:r>
          </w:p>
        </w:tc>
        <w:tc>
          <w:tcPr>
            <w:tcW w:w="1232" w:type="dxa"/>
            <w:tcBorders>
              <w:top w:val="nil"/>
              <w:left w:val="nil"/>
              <w:bottom w:val="single" w:sz="4" w:space="0" w:color="auto"/>
              <w:right w:val="single" w:sz="4" w:space="0" w:color="auto"/>
            </w:tcBorders>
            <w:noWrap/>
            <w:vAlign w:val="bottom"/>
            <w:hideMark/>
          </w:tcPr>
          <w:p w14:paraId="79940EAF"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32,352,138</w:t>
            </w:r>
          </w:p>
        </w:tc>
        <w:tc>
          <w:tcPr>
            <w:tcW w:w="1232" w:type="dxa"/>
            <w:tcBorders>
              <w:top w:val="nil"/>
              <w:left w:val="nil"/>
              <w:bottom w:val="single" w:sz="4" w:space="0" w:color="auto"/>
              <w:right w:val="single" w:sz="4" w:space="0" w:color="auto"/>
            </w:tcBorders>
            <w:noWrap/>
            <w:vAlign w:val="bottom"/>
            <w:hideMark/>
          </w:tcPr>
          <w:p w14:paraId="400447FC"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36,203,184</w:t>
            </w:r>
          </w:p>
        </w:tc>
        <w:tc>
          <w:tcPr>
            <w:tcW w:w="1228" w:type="dxa"/>
            <w:tcBorders>
              <w:top w:val="nil"/>
              <w:left w:val="nil"/>
              <w:bottom w:val="single" w:sz="4" w:space="0" w:color="auto"/>
              <w:right w:val="single" w:sz="4" w:space="0" w:color="auto"/>
            </w:tcBorders>
            <w:noWrap/>
            <w:vAlign w:val="bottom"/>
            <w:hideMark/>
          </w:tcPr>
          <w:p w14:paraId="7F4A647C"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41,007,001</w:t>
            </w:r>
          </w:p>
        </w:tc>
        <w:tc>
          <w:tcPr>
            <w:tcW w:w="1316" w:type="dxa"/>
            <w:tcBorders>
              <w:top w:val="nil"/>
              <w:left w:val="nil"/>
              <w:bottom w:val="single" w:sz="4" w:space="0" w:color="auto"/>
              <w:right w:val="single" w:sz="4" w:space="0" w:color="auto"/>
            </w:tcBorders>
            <w:noWrap/>
            <w:vAlign w:val="bottom"/>
            <w:hideMark/>
          </w:tcPr>
          <w:p w14:paraId="63FDF65C"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41,186,829</w:t>
            </w:r>
          </w:p>
        </w:tc>
        <w:tc>
          <w:tcPr>
            <w:tcW w:w="1316" w:type="dxa"/>
            <w:tcBorders>
              <w:top w:val="nil"/>
              <w:left w:val="nil"/>
              <w:bottom w:val="single" w:sz="4" w:space="0" w:color="auto"/>
              <w:right w:val="single" w:sz="4" w:space="0" w:color="auto"/>
            </w:tcBorders>
            <w:noWrap/>
            <w:vAlign w:val="bottom"/>
            <w:hideMark/>
          </w:tcPr>
          <w:p w14:paraId="20E11771"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40,861,581</w:t>
            </w:r>
          </w:p>
        </w:tc>
        <w:tc>
          <w:tcPr>
            <w:tcW w:w="1316" w:type="dxa"/>
            <w:tcBorders>
              <w:top w:val="nil"/>
              <w:left w:val="nil"/>
              <w:bottom w:val="single" w:sz="4" w:space="0" w:color="auto"/>
              <w:right w:val="single" w:sz="4" w:space="0" w:color="auto"/>
            </w:tcBorders>
            <w:noWrap/>
            <w:vAlign w:val="bottom"/>
            <w:hideMark/>
          </w:tcPr>
          <w:p w14:paraId="764D12BA"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38,287,685</w:t>
            </w:r>
          </w:p>
        </w:tc>
        <w:tc>
          <w:tcPr>
            <w:tcW w:w="1316" w:type="dxa"/>
            <w:tcBorders>
              <w:top w:val="nil"/>
              <w:left w:val="nil"/>
              <w:bottom w:val="single" w:sz="4" w:space="0" w:color="auto"/>
              <w:right w:val="single" w:sz="4" w:space="0" w:color="auto"/>
            </w:tcBorders>
            <w:noWrap/>
            <w:vAlign w:val="bottom"/>
            <w:hideMark/>
          </w:tcPr>
          <w:p w14:paraId="05D4711F"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41,186,829</w:t>
            </w:r>
          </w:p>
        </w:tc>
        <w:tc>
          <w:tcPr>
            <w:tcW w:w="1316" w:type="dxa"/>
            <w:tcBorders>
              <w:top w:val="nil"/>
              <w:left w:val="nil"/>
              <w:bottom w:val="single" w:sz="4" w:space="0" w:color="auto"/>
              <w:right w:val="single" w:sz="4" w:space="0" w:color="auto"/>
            </w:tcBorders>
            <w:noWrap/>
            <w:vAlign w:val="bottom"/>
            <w:hideMark/>
          </w:tcPr>
          <w:p w14:paraId="42045601"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40,861,581</w:t>
            </w:r>
          </w:p>
        </w:tc>
      </w:tr>
      <w:tr w:rsidR="00752F04" w:rsidRPr="00EA0FD7" w14:paraId="1E9C56DF" w14:textId="77777777" w:rsidTr="00752F04">
        <w:trPr>
          <w:trHeight w:val="480"/>
        </w:trPr>
        <w:tc>
          <w:tcPr>
            <w:tcW w:w="1250" w:type="dxa"/>
            <w:tcBorders>
              <w:top w:val="nil"/>
              <w:left w:val="single" w:sz="8" w:space="0" w:color="auto"/>
              <w:bottom w:val="single" w:sz="4" w:space="0" w:color="auto"/>
              <w:right w:val="single" w:sz="4" w:space="0" w:color="auto"/>
            </w:tcBorders>
            <w:vAlign w:val="bottom"/>
            <w:hideMark/>
          </w:tcPr>
          <w:p w14:paraId="0DA51A3C" w14:textId="77777777" w:rsidR="00752F04" w:rsidRPr="00EA0FD7" w:rsidRDefault="00752F04" w:rsidP="00752F04">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614000</w:t>
            </w:r>
          </w:p>
        </w:tc>
        <w:tc>
          <w:tcPr>
            <w:tcW w:w="2897" w:type="dxa"/>
            <w:tcBorders>
              <w:top w:val="nil"/>
              <w:left w:val="nil"/>
              <w:bottom w:val="single" w:sz="4" w:space="0" w:color="auto"/>
              <w:right w:val="single" w:sz="4" w:space="0" w:color="auto"/>
            </w:tcBorders>
            <w:vAlign w:val="bottom"/>
            <w:hideMark/>
          </w:tcPr>
          <w:p w14:paraId="11EC15B7" w14:textId="77777777" w:rsidR="00752F04" w:rsidRPr="00EA0FD7" w:rsidRDefault="00752F04" w:rsidP="00752F04">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Текући трансфери, донације и субвенције</w:t>
            </w:r>
          </w:p>
        </w:tc>
        <w:tc>
          <w:tcPr>
            <w:tcW w:w="1237" w:type="dxa"/>
            <w:tcBorders>
              <w:top w:val="nil"/>
              <w:left w:val="nil"/>
              <w:bottom w:val="single" w:sz="4" w:space="0" w:color="auto"/>
              <w:right w:val="single" w:sz="4" w:space="0" w:color="auto"/>
            </w:tcBorders>
            <w:noWrap/>
            <w:vAlign w:val="bottom"/>
            <w:hideMark/>
          </w:tcPr>
          <w:p w14:paraId="2909BD83"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91,043,991</w:t>
            </w:r>
          </w:p>
        </w:tc>
        <w:tc>
          <w:tcPr>
            <w:tcW w:w="1232" w:type="dxa"/>
            <w:tcBorders>
              <w:top w:val="nil"/>
              <w:left w:val="nil"/>
              <w:bottom w:val="single" w:sz="4" w:space="0" w:color="auto"/>
              <w:right w:val="single" w:sz="4" w:space="0" w:color="auto"/>
            </w:tcBorders>
            <w:noWrap/>
            <w:vAlign w:val="bottom"/>
            <w:hideMark/>
          </w:tcPr>
          <w:p w14:paraId="75B80E9F"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82,893,933</w:t>
            </w:r>
          </w:p>
        </w:tc>
        <w:tc>
          <w:tcPr>
            <w:tcW w:w="1232" w:type="dxa"/>
            <w:tcBorders>
              <w:top w:val="nil"/>
              <w:left w:val="nil"/>
              <w:bottom w:val="single" w:sz="4" w:space="0" w:color="auto"/>
              <w:right w:val="single" w:sz="4" w:space="0" w:color="auto"/>
            </w:tcBorders>
            <w:noWrap/>
            <w:vAlign w:val="bottom"/>
            <w:hideMark/>
          </w:tcPr>
          <w:p w14:paraId="3115E745"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90,524,144</w:t>
            </w:r>
          </w:p>
        </w:tc>
        <w:tc>
          <w:tcPr>
            <w:tcW w:w="1228" w:type="dxa"/>
            <w:tcBorders>
              <w:top w:val="nil"/>
              <w:left w:val="nil"/>
              <w:bottom w:val="single" w:sz="4" w:space="0" w:color="auto"/>
              <w:right w:val="single" w:sz="4" w:space="0" w:color="auto"/>
            </w:tcBorders>
            <w:noWrap/>
            <w:vAlign w:val="bottom"/>
            <w:hideMark/>
          </w:tcPr>
          <w:p w14:paraId="3055FF22"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91,848,677</w:t>
            </w:r>
          </w:p>
        </w:tc>
        <w:tc>
          <w:tcPr>
            <w:tcW w:w="1316" w:type="dxa"/>
            <w:tcBorders>
              <w:top w:val="nil"/>
              <w:left w:val="nil"/>
              <w:bottom w:val="single" w:sz="4" w:space="0" w:color="auto"/>
              <w:right w:val="single" w:sz="4" w:space="0" w:color="auto"/>
            </w:tcBorders>
            <w:noWrap/>
            <w:vAlign w:val="bottom"/>
            <w:hideMark/>
          </w:tcPr>
          <w:p w14:paraId="6E29969D"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93,978,677</w:t>
            </w:r>
          </w:p>
        </w:tc>
        <w:tc>
          <w:tcPr>
            <w:tcW w:w="1316" w:type="dxa"/>
            <w:tcBorders>
              <w:top w:val="nil"/>
              <w:left w:val="nil"/>
              <w:bottom w:val="single" w:sz="4" w:space="0" w:color="auto"/>
              <w:right w:val="single" w:sz="4" w:space="0" w:color="auto"/>
            </w:tcBorders>
            <w:noWrap/>
            <w:vAlign w:val="bottom"/>
            <w:hideMark/>
          </w:tcPr>
          <w:p w14:paraId="4C83E804"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94,133,677</w:t>
            </w:r>
          </w:p>
        </w:tc>
        <w:tc>
          <w:tcPr>
            <w:tcW w:w="1316" w:type="dxa"/>
            <w:tcBorders>
              <w:top w:val="nil"/>
              <w:left w:val="nil"/>
              <w:bottom w:val="single" w:sz="4" w:space="0" w:color="auto"/>
              <w:right w:val="single" w:sz="4" w:space="0" w:color="auto"/>
            </w:tcBorders>
            <w:noWrap/>
            <w:vAlign w:val="bottom"/>
            <w:hideMark/>
          </w:tcPr>
          <w:p w14:paraId="7B68B957"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86,228,494</w:t>
            </w:r>
          </w:p>
        </w:tc>
        <w:tc>
          <w:tcPr>
            <w:tcW w:w="1316" w:type="dxa"/>
            <w:tcBorders>
              <w:top w:val="nil"/>
              <w:left w:val="nil"/>
              <w:bottom w:val="single" w:sz="4" w:space="0" w:color="auto"/>
              <w:right w:val="single" w:sz="4" w:space="0" w:color="auto"/>
            </w:tcBorders>
            <w:noWrap/>
            <w:vAlign w:val="bottom"/>
            <w:hideMark/>
          </w:tcPr>
          <w:p w14:paraId="7B9B4147"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89,478,677</w:t>
            </w:r>
          </w:p>
        </w:tc>
        <w:tc>
          <w:tcPr>
            <w:tcW w:w="1316" w:type="dxa"/>
            <w:tcBorders>
              <w:top w:val="nil"/>
              <w:left w:val="nil"/>
              <w:bottom w:val="single" w:sz="4" w:space="0" w:color="auto"/>
              <w:right w:val="single" w:sz="4" w:space="0" w:color="auto"/>
            </w:tcBorders>
            <w:noWrap/>
            <w:vAlign w:val="bottom"/>
            <w:hideMark/>
          </w:tcPr>
          <w:p w14:paraId="0E24389B"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94,133,677</w:t>
            </w:r>
          </w:p>
        </w:tc>
      </w:tr>
      <w:tr w:rsidR="00752F04" w:rsidRPr="00EA0FD7" w14:paraId="6F36D25E" w14:textId="77777777" w:rsidTr="00752F04">
        <w:trPr>
          <w:trHeight w:val="240"/>
        </w:trPr>
        <w:tc>
          <w:tcPr>
            <w:tcW w:w="1250" w:type="dxa"/>
            <w:tcBorders>
              <w:top w:val="nil"/>
              <w:left w:val="single" w:sz="8" w:space="0" w:color="auto"/>
              <w:bottom w:val="nil"/>
              <w:right w:val="single" w:sz="4" w:space="0" w:color="auto"/>
            </w:tcBorders>
            <w:vAlign w:val="bottom"/>
            <w:hideMark/>
          </w:tcPr>
          <w:p w14:paraId="6EBD6434" w14:textId="77777777" w:rsidR="00752F04" w:rsidRPr="00EA0FD7" w:rsidRDefault="00752F04" w:rsidP="00752F04">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615000</w:t>
            </w:r>
          </w:p>
        </w:tc>
        <w:tc>
          <w:tcPr>
            <w:tcW w:w="2897" w:type="dxa"/>
            <w:tcBorders>
              <w:top w:val="nil"/>
              <w:left w:val="nil"/>
              <w:bottom w:val="nil"/>
              <w:right w:val="single" w:sz="4" w:space="0" w:color="auto"/>
            </w:tcBorders>
            <w:vAlign w:val="bottom"/>
            <w:hideMark/>
          </w:tcPr>
          <w:p w14:paraId="72BA0BC2" w14:textId="77777777" w:rsidR="00752F04" w:rsidRPr="00EA0FD7" w:rsidRDefault="00752F04" w:rsidP="00752F04">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Капитални трансфери и донације</w:t>
            </w:r>
          </w:p>
        </w:tc>
        <w:tc>
          <w:tcPr>
            <w:tcW w:w="1237" w:type="dxa"/>
            <w:tcBorders>
              <w:top w:val="nil"/>
              <w:left w:val="nil"/>
              <w:bottom w:val="single" w:sz="4" w:space="0" w:color="auto"/>
              <w:right w:val="single" w:sz="4" w:space="0" w:color="auto"/>
            </w:tcBorders>
            <w:noWrap/>
            <w:vAlign w:val="bottom"/>
            <w:hideMark/>
          </w:tcPr>
          <w:p w14:paraId="66620ED4"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1,736,118</w:t>
            </w:r>
          </w:p>
        </w:tc>
        <w:tc>
          <w:tcPr>
            <w:tcW w:w="1232" w:type="dxa"/>
            <w:tcBorders>
              <w:top w:val="nil"/>
              <w:left w:val="nil"/>
              <w:bottom w:val="single" w:sz="4" w:space="0" w:color="auto"/>
              <w:right w:val="single" w:sz="4" w:space="0" w:color="auto"/>
            </w:tcBorders>
            <w:noWrap/>
            <w:vAlign w:val="bottom"/>
            <w:hideMark/>
          </w:tcPr>
          <w:p w14:paraId="5ADFD6DF"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1,573,700</w:t>
            </w:r>
          </w:p>
        </w:tc>
        <w:tc>
          <w:tcPr>
            <w:tcW w:w="1232" w:type="dxa"/>
            <w:tcBorders>
              <w:top w:val="nil"/>
              <w:left w:val="nil"/>
              <w:bottom w:val="single" w:sz="4" w:space="0" w:color="auto"/>
              <w:right w:val="single" w:sz="4" w:space="0" w:color="auto"/>
            </w:tcBorders>
            <w:noWrap/>
            <w:vAlign w:val="bottom"/>
            <w:hideMark/>
          </w:tcPr>
          <w:p w14:paraId="58430C84"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2,590,660</w:t>
            </w:r>
          </w:p>
        </w:tc>
        <w:tc>
          <w:tcPr>
            <w:tcW w:w="1228" w:type="dxa"/>
            <w:tcBorders>
              <w:top w:val="nil"/>
              <w:left w:val="nil"/>
              <w:bottom w:val="single" w:sz="4" w:space="0" w:color="auto"/>
              <w:right w:val="single" w:sz="4" w:space="0" w:color="auto"/>
            </w:tcBorders>
            <w:noWrap/>
            <w:vAlign w:val="bottom"/>
            <w:hideMark/>
          </w:tcPr>
          <w:p w14:paraId="1F440630"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7,783,374</w:t>
            </w:r>
          </w:p>
        </w:tc>
        <w:tc>
          <w:tcPr>
            <w:tcW w:w="1316" w:type="dxa"/>
            <w:tcBorders>
              <w:top w:val="nil"/>
              <w:left w:val="nil"/>
              <w:bottom w:val="single" w:sz="4" w:space="0" w:color="auto"/>
              <w:right w:val="single" w:sz="4" w:space="0" w:color="auto"/>
            </w:tcBorders>
            <w:noWrap/>
            <w:vAlign w:val="bottom"/>
            <w:hideMark/>
          </w:tcPr>
          <w:p w14:paraId="0FAE17F0"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4,803,374</w:t>
            </w:r>
          </w:p>
        </w:tc>
        <w:tc>
          <w:tcPr>
            <w:tcW w:w="1316" w:type="dxa"/>
            <w:tcBorders>
              <w:top w:val="nil"/>
              <w:left w:val="nil"/>
              <w:bottom w:val="single" w:sz="4" w:space="0" w:color="auto"/>
              <w:right w:val="single" w:sz="4" w:space="0" w:color="auto"/>
            </w:tcBorders>
            <w:noWrap/>
            <w:vAlign w:val="bottom"/>
            <w:hideMark/>
          </w:tcPr>
          <w:p w14:paraId="24D90404"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4,250,374</w:t>
            </w:r>
          </w:p>
        </w:tc>
        <w:tc>
          <w:tcPr>
            <w:tcW w:w="1316" w:type="dxa"/>
            <w:tcBorders>
              <w:top w:val="nil"/>
              <w:left w:val="nil"/>
              <w:bottom w:val="single" w:sz="4" w:space="0" w:color="auto"/>
              <w:right w:val="single" w:sz="4" w:space="0" w:color="auto"/>
            </w:tcBorders>
            <w:noWrap/>
            <w:vAlign w:val="bottom"/>
            <w:hideMark/>
          </w:tcPr>
          <w:p w14:paraId="347BDF47"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4,498,374</w:t>
            </w:r>
          </w:p>
        </w:tc>
        <w:tc>
          <w:tcPr>
            <w:tcW w:w="1316" w:type="dxa"/>
            <w:tcBorders>
              <w:top w:val="nil"/>
              <w:left w:val="nil"/>
              <w:bottom w:val="single" w:sz="4" w:space="0" w:color="auto"/>
              <w:right w:val="single" w:sz="4" w:space="0" w:color="auto"/>
            </w:tcBorders>
            <w:noWrap/>
            <w:vAlign w:val="bottom"/>
            <w:hideMark/>
          </w:tcPr>
          <w:p w14:paraId="0F3167C2"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4,803,374</w:t>
            </w:r>
          </w:p>
        </w:tc>
        <w:tc>
          <w:tcPr>
            <w:tcW w:w="1316" w:type="dxa"/>
            <w:tcBorders>
              <w:top w:val="nil"/>
              <w:left w:val="nil"/>
              <w:bottom w:val="single" w:sz="4" w:space="0" w:color="auto"/>
              <w:right w:val="single" w:sz="4" w:space="0" w:color="auto"/>
            </w:tcBorders>
            <w:noWrap/>
            <w:vAlign w:val="bottom"/>
            <w:hideMark/>
          </w:tcPr>
          <w:p w14:paraId="75664375"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4,250,374</w:t>
            </w:r>
          </w:p>
        </w:tc>
      </w:tr>
      <w:tr w:rsidR="00752F04" w:rsidRPr="00EA0FD7" w14:paraId="1CEA592B" w14:textId="77777777" w:rsidTr="00752F04">
        <w:trPr>
          <w:trHeight w:val="480"/>
        </w:trPr>
        <w:tc>
          <w:tcPr>
            <w:tcW w:w="1250" w:type="dxa"/>
            <w:tcBorders>
              <w:top w:val="single" w:sz="4" w:space="0" w:color="auto"/>
              <w:left w:val="single" w:sz="8" w:space="0" w:color="auto"/>
              <w:bottom w:val="nil"/>
              <w:right w:val="single" w:sz="4" w:space="0" w:color="auto"/>
            </w:tcBorders>
            <w:noWrap/>
            <w:vAlign w:val="bottom"/>
            <w:hideMark/>
          </w:tcPr>
          <w:p w14:paraId="25314B86" w14:textId="77777777" w:rsidR="00752F04" w:rsidRPr="00EA0FD7" w:rsidRDefault="00752F04" w:rsidP="00752F04">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821000</w:t>
            </w:r>
          </w:p>
        </w:tc>
        <w:tc>
          <w:tcPr>
            <w:tcW w:w="2897" w:type="dxa"/>
            <w:tcBorders>
              <w:top w:val="single" w:sz="4" w:space="0" w:color="auto"/>
              <w:left w:val="nil"/>
              <w:bottom w:val="nil"/>
              <w:right w:val="single" w:sz="4" w:space="0" w:color="auto"/>
            </w:tcBorders>
            <w:vAlign w:val="bottom"/>
            <w:hideMark/>
          </w:tcPr>
          <w:p w14:paraId="6F2B1264" w14:textId="77777777" w:rsidR="00752F04" w:rsidRPr="00EA0FD7" w:rsidRDefault="00752F04" w:rsidP="00752F04">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Издаци за набавку сталних средстава</w:t>
            </w:r>
          </w:p>
        </w:tc>
        <w:tc>
          <w:tcPr>
            <w:tcW w:w="1237" w:type="dxa"/>
            <w:tcBorders>
              <w:top w:val="nil"/>
              <w:left w:val="nil"/>
              <w:bottom w:val="single" w:sz="4" w:space="0" w:color="auto"/>
              <w:right w:val="single" w:sz="4" w:space="0" w:color="auto"/>
            </w:tcBorders>
            <w:noWrap/>
            <w:vAlign w:val="bottom"/>
            <w:hideMark/>
          </w:tcPr>
          <w:p w14:paraId="626D87CD"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47,264,118</w:t>
            </w:r>
          </w:p>
        </w:tc>
        <w:tc>
          <w:tcPr>
            <w:tcW w:w="1232" w:type="dxa"/>
            <w:tcBorders>
              <w:top w:val="nil"/>
              <w:left w:val="nil"/>
              <w:bottom w:val="single" w:sz="4" w:space="0" w:color="auto"/>
              <w:right w:val="single" w:sz="4" w:space="0" w:color="auto"/>
            </w:tcBorders>
            <w:noWrap/>
            <w:vAlign w:val="bottom"/>
            <w:hideMark/>
          </w:tcPr>
          <w:p w14:paraId="1EFFBEE2"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1,800,647</w:t>
            </w:r>
          </w:p>
        </w:tc>
        <w:tc>
          <w:tcPr>
            <w:tcW w:w="1232" w:type="dxa"/>
            <w:tcBorders>
              <w:top w:val="nil"/>
              <w:left w:val="nil"/>
              <w:bottom w:val="single" w:sz="4" w:space="0" w:color="auto"/>
              <w:right w:val="single" w:sz="4" w:space="0" w:color="auto"/>
            </w:tcBorders>
            <w:noWrap/>
            <w:vAlign w:val="bottom"/>
            <w:hideMark/>
          </w:tcPr>
          <w:p w14:paraId="544A9DCC"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24,833,236</w:t>
            </w:r>
          </w:p>
        </w:tc>
        <w:tc>
          <w:tcPr>
            <w:tcW w:w="1228" w:type="dxa"/>
            <w:tcBorders>
              <w:top w:val="nil"/>
              <w:left w:val="nil"/>
              <w:bottom w:val="single" w:sz="4" w:space="0" w:color="auto"/>
              <w:right w:val="single" w:sz="4" w:space="0" w:color="auto"/>
            </w:tcBorders>
            <w:noWrap/>
            <w:vAlign w:val="bottom"/>
            <w:hideMark/>
          </w:tcPr>
          <w:p w14:paraId="4D946FB4"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49,739,925</w:t>
            </w:r>
          </w:p>
        </w:tc>
        <w:tc>
          <w:tcPr>
            <w:tcW w:w="1316" w:type="dxa"/>
            <w:tcBorders>
              <w:top w:val="nil"/>
              <w:left w:val="nil"/>
              <w:bottom w:val="single" w:sz="4" w:space="0" w:color="auto"/>
              <w:right w:val="single" w:sz="4" w:space="0" w:color="auto"/>
            </w:tcBorders>
            <w:noWrap/>
            <w:vAlign w:val="bottom"/>
            <w:hideMark/>
          </w:tcPr>
          <w:p w14:paraId="528E2900"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31,148,425</w:t>
            </w:r>
          </w:p>
        </w:tc>
        <w:tc>
          <w:tcPr>
            <w:tcW w:w="1316" w:type="dxa"/>
            <w:tcBorders>
              <w:top w:val="nil"/>
              <w:left w:val="nil"/>
              <w:bottom w:val="single" w:sz="4" w:space="0" w:color="auto"/>
              <w:right w:val="single" w:sz="4" w:space="0" w:color="auto"/>
            </w:tcBorders>
            <w:noWrap/>
            <w:vAlign w:val="bottom"/>
            <w:hideMark/>
          </w:tcPr>
          <w:p w14:paraId="32C7D252"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21,237,425</w:t>
            </w:r>
          </w:p>
        </w:tc>
        <w:tc>
          <w:tcPr>
            <w:tcW w:w="1316" w:type="dxa"/>
            <w:tcBorders>
              <w:top w:val="nil"/>
              <w:left w:val="nil"/>
              <w:bottom w:val="single" w:sz="4" w:space="0" w:color="auto"/>
              <w:right w:val="single" w:sz="4" w:space="0" w:color="auto"/>
            </w:tcBorders>
            <w:noWrap/>
            <w:vAlign w:val="bottom"/>
            <w:hideMark/>
          </w:tcPr>
          <w:p w14:paraId="36DC6E27"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31,757,925</w:t>
            </w:r>
          </w:p>
        </w:tc>
        <w:tc>
          <w:tcPr>
            <w:tcW w:w="1316" w:type="dxa"/>
            <w:tcBorders>
              <w:top w:val="nil"/>
              <w:left w:val="nil"/>
              <w:bottom w:val="single" w:sz="4" w:space="0" w:color="auto"/>
              <w:right w:val="single" w:sz="4" w:space="0" w:color="auto"/>
            </w:tcBorders>
            <w:noWrap/>
            <w:vAlign w:val="bottom"/>
            <w:hideMark/>
          </w:tcPr>
          <w:p w14:paraId="417AAA41"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31,148,425</w:t>
            </w:r>
          </w:p>
        </w:tc>
        <w:tc>
          <w:tcPr>
            <w:tcW w:w="1316" w:type="dxa"/>
            <w:tcBorders>
              <w:top w:val="nil"/>
              <w:left w:val="nil"/>
              <w:bottom w:val="single" w:sz="4" w:space="0" w:color="auto"/>
              <w:right w:val="single" w:sz="4" w:space="0" w:color="auto"/>
            </w:tcBorders>
            <w:noWrap/>
            <w:vAlign w:val="bottom"/>
            <w:hideMark/>
          </w:tcPr>
          <w:p w14:paraId="19E26285"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36,827,425</w:t>
            </w:r>
          </w:p>
        </w:tc>
      </w:tr>
      <w:tr w:rsidR="00752F04" w:rsidRPr="00EA0FD7" w14:paraId="520CC128" w14:textId="77777777" w:rsidTr="00752F04">
        <w:trPr>
          <w:trHeight w:val="495"/>
        </w:trPr>
        <w:tc>
          <w:tcPr>
            <w:tcW w:w="1250" w:type="dxa"/>
            <w:tcBorders>
              <w:top w:val="single" w:sz="4" w:space="0" w:color="auto"/>
              <w:left w:val="single" w:sz="8" w:space="0" w:color="auto"/>
              <w:bottom w:val="single" w:sz="4" w:space="0" w:color="auto"/>
              <w:right w:val="single" w:sz="4" w:space="0" w:color="auto"/>
            </w:tcBorders>
            <w:noWrap/>
            <w:vAlign w:val="bottom"/>
            <w:hideMark/>
          </w:tcPr>
          <w:p w14:paraId="656B79B8" w14:textId="77777777" w:rsidR="00752F04" w:rsidRPr="00EA0FD7" w:rsidRDefault="00752F04" w:rsidP="00752F04">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w:t>
            </w:r>
          </w:p>
        </w:tc>
        <w:tc>
          <w:tcPr>
            <w:tcW w:w="2897" w:type="dxa"/>
            <w:tcBorders>
              <w:top w:val="single" w:sz="4" w:space="0" w:color="auto"/>
              <w:left w:val="nil"/>
              <w:bottom w:val="single" w:sz="4" w:space="0" w:color="auto"/>
              <w:right w:val="single" w:sz="4" w:space="0" w:color="auto"/>
            </w:tcBorders>
            <w:vAlign w:val="bottom"/>
            <w:hideMark/>
          </w:tcPr>
          <w:p w14:paraId="67298366" w14:textId="6A7AF24F" w:rsidR="00752F04" w:rsidRPr="00EA0FD7" w:rsidRDefault="00752F04" w:rsidP="00752F04">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Домаћа и страна поза</w:t>
            </w:r>
            <w:r>
              <w:rPr>
                <w:rFonts w:ascii="Arial" w:eastAsia="Times New Roman" w:hAnsi="Arial" w:cs="Arial"/>
                <w:sz w:val="18"/>
                <w:szCs w:val="18"/>
                <w:lang w:val="sr-Cyrl-RS"/>
              </w:rPr>
              <w:t>ј</w:t>
            </w:r>
            <w:r w:rsidRPr="00EA0FD7">
              <w:rPr>
                <w:rFonts w:ascii="Arial" w:eastAsia="Times New Roman" w:hAnsi="Arial" w:cs="Arial"/>
                <w:sz w:val="18"/>
                <w:szCs w:val="18"/>
                <w:lang w:val="sr-Cyrl-RS"/>
              </w:rPr>
              <w:t>мљивања и отплате дуга</w:t>
            </w:r>
          </w:p>
        </w:tc>
        <w:tc>
          <w:tcPr>
            <w:tcW w:w="1237" w:type="dxa"/>
            <w:tcBorders>
              <w:top w:val="nil"/>
              <w:left w:val="nil"/>
              <w:bottom w:val="single" w:sz="4" w:space="0" w:color="auto"/>
              <w:right w:val="single" w:sz="4" w:space="0" w:color="auto"/>
            </w:tcBorders>
            <w:noWrap/>
            <w:vAlign w:val="bottom"/>
            <w:hideMark/>
          </w:tcPr>
          <w:p w14:paraId="3EA2CE0D"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9,177,577</w:t>
            </w:r>
          </w:p>
        </w:tc>
        <w:tc>
          <w:tcPr>
            <w:tcW w:w="1232" w:type="dxa"/>
            <w:tcBorders>
              <w:top w:val="nil"/>
              <w:left w:val="nil"/>
              <w:bottom w:val="single" w:sz="4" w:space="0" w:color="auto"/>
              <w:right w:val="single" w:sz="4" w:space="0" w:color="auto"/>
            </w:tcBorders>
            <w:noWrap/>
            <w:vAlign w:val="bottom"/>
            <w:hideMark/>
          </w:tcPr>
          <w:p w14:paraId="06C79514"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7,953,704</w:t>
            </w:r>
          </w:p>
        </w:tc>
        <w:tc>
          <w:tcPr>
            <w:tcW w:w="1232" w:type="dxa"/>
            <w:tcBorders>
              <w:top w:val="nil"/>
              <w:left w:val="nil"/>
              <w:bottom w:val="single" w:sz="4" w:space="0" w:color="auto"/>
              <w:right w:val="single" w:sz="4" w:space="0" w:color="auto"/>
            </w:tcBorders>
            <w:noWrap/>
            <w:vAlign w:val="bottom"/>
            <w:hideMark/>
          </w:tcPr>
          <w:p w14:paraId="31AED744"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10,270,076</w:t>
            </w:r>
          </w:p>
        </w:tc>
        <w:tc>
          <w:tcPr>
            <w:tcW w:w="1228" w:type="dxa"/>
            <w:tcBorders>
              <w:top w:val="nil"/>
              <w:left w:val="nil"/>
              <w:bottom w:val="single" w:sz="4" w:space="0" w:color="auto"/>
              <w:right w:val="single" w:sz="4" w:space="0" w:color="auto"/>
            </w:tcBorders>
            <w:noWrap/>
            <w:vAlign w:val="bottom"/>
            <w:hideMark/>
          </w:tcPr>
          <w:p w14:paraId="1B850B9F"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11,133,140</w:t>
            </w:r>
          </w:p>
        </w:tc>
        <w:tc>
          <w:tcPr>
            <w:tcW w:w="1316" w:type="dxa"/>
            <w:tcBorders>
              <w:top w:val="nil"/>
              <w:left w:val="nil"/>
              <w:bottom w:val="single" w:sz="4" w:space="0" w:color="auto"/>
              <w:right w:val="single" w:sz="4" w:space="0" w:color="auto"/>
            </w:tcBorders>
            <w:noWrap/>
            <w:vAlign w:val="bottom"/>
            <w:hideMark/>
          </w:tcPr>
          <w:p w14:paraId="5A1B83EA"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12,845,951</w:t>
            </w:r>
          </w:p>
        </w:tc>
        <w:tc>
          <w:tcPr>
            <w:tcW w:w="1316" w:type="dxa"/>
            <w:tcBorders>
              <w:top w:val="nil"/>
              <w:left w:val="nil"/>
              <w:bottom w:val="single" w:sz="4" w:space="0" w:color="auto"/>
              <w:right w:val="single" w:sz="4" w:space="0" w:color="auto"/>
            </w:tcBorders>
            <w:noWrap/>
            <w:vAlign w:val="bottom"/>
            <w:hideMark/>
          </w:tcPr>
          <w:p w14:paraId="6CA087D7"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11,440,829</w:t>
            </w:r>
          </w:p>
        </w:tc>
        <w:tc>
          <w:tcPr>
            <w:tcW w:w="1316" w:type="dxa"/>
            <w:tcBorders>
              <w:top w:val="nil"/>
              <w:left w:val="nil"/>
              <w:bottom w:val="single" w:sz="4" w:space="0" w:color="auto"/>
              <w:right w:val="single" w:sz="4" w:space="0" w:color="auto"/>
            </w:tcBorders>
            <w:noWrap/>
            <w:vAlign w:val="bottom"/>
            <w:hideMark/>
          </w:tcPr>
          <w:p w14:paraId="65882928"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11,133,140</w:t>
            </w:r>
          </w:p>
        </w:tc>
        <w:tc>
          <w:tcPr>
            <w:tcW w:w="1316" w:type="dxa"/>
            <w:tcBorders>
              <w:top w:val="nil"/>
              <w:left w:val="nil"/>
              <w:bottom w:val="single" w:sz="4" w:space="0" w:color="auto"/>
              <w:right w:val="single" w:sz="4" w:space="0" w:color="auto"/>
            </w:tcBorders>
            <w:noWrap/>
            <w:vAlign w:val="bottom"/>
            <w:hideMark/>
          </w:tcPr>
          <w:p w14:paraId="339FCCA8"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12,845,951</w:t>
            </w:r>
          </w:p>
        </w:tc>
        <w:tc>
          <w:tcPr>
            <w:tcW w:w="1316" w:type="dxa"/>
            <w:tcBorders>
              <w:top w:val="nil"/>
              <w:left w:val="nil"/>
              <w:bottom w:val="single" w:sz="4" w:space="0" w:color="auto"/>
              <w:right w:val="single" w:sz="4" w:space="0" w:color="auto"/>
            </w:tcBorders>
            <w:noWrap/>
            <w:vAlign w:val="bottom"/>
            <w:hideMark/>
          </w:tcPr>
          <w:p w14:paraId="147B1CCE"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11,440,829</w:t>
            </w:r>
          </w:p>
        </w:tc>
      </w:tr>
      <w:tr w:rsidR="00752F04" w:rsidRPr="00EA0FD7" w14:paraId="38C44C5F" w14:textId="77777777" w:rsidTr="00752F04">
        <w:trPr>
          <w:trHeight w:val="480"/>
        </w:trPr>
        <w:tc>
          <w:tcPr>
            <w:tcW w:w="1250" w:type="dxa"/>
            <w:tcBorders>
              <w:top w:val="nil"/>
              <w:left w:val="single" w:sz="8" w:space="0" w:color="auto"/>
              <w:bottom w:val="nil"/>
              <w:right w:val="single" w:sz="4" w:space="0" w:color="auto"/>
            </w:tcBorders>
            <w:noWrap/>
            <w:vAlign w:val="bottom"/>
            <w:hideMark/>
          </w:tcPr>
          <w:p w14:paraId="4E5B0FD2" w14:textId="77777777" w:rsidR="00752F04" w:rsidRPr="00EA0FD7" w:rsidRDefault="00752F04" w:rsidP="00752F04">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w:t>
            </w:r>
          </w:p>
        </w:tc>
        <w:tc>
          <w:tcPr>
            <w:tcW w:w="2897" w:type="dxa"/>
            <w:tcBorders>
              <w:top w:val="nil"/>
              <w:left w:val="nil"/>
              <w:bottom w:val="nil"/>
              <w:right w:val="single" w:sz="4" w:space="0" w:color="auto"/>
            </w:tcBorders>
            <w:vAlign w:val="bottom"/>
            <w:hideMark/>
          </w:tcPr>
          <w:p w14:paraId="167AC189" w14:textId="77777777" w:rsidR="00752F04" w:rsidRPr="00EA0FD7" w:rsidRDefault="00752F04" w:rsidP="00752F04">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Судске пресуде и рјешења, судска и вансудска поравнања</w:t>
            </w:r>
          </w:p>
        </w:tc>
        <w:tc>
          <w:tcPr>
            <w:tcW w:w="1237" w:type="dxa"/>
            <w:tcBorders>
              <w:top w:val="nil"/>
              <w:left w:val="nil"/>
              <w:bottom w:val="single" w:sz="4" w:space="0" w:color="auto"/>
              <w:right w:val="single" w:sz="4" w:space="0" w:color="auto"/>
            </w:tcBorders>
            <w:noWrap/>
            <w:vAlign w:val="bottom"/>
            <w:hideMark/>
          </w:tcPr>
          <w:p w14:paraId="7E5F5ADD"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1,349,846</w:t>
            </w:r>
          </w:p>
        </w:tc>
        <w:tc>
          <w:tcPr>
            <w:tcW w:w="1232" w:type="dxa"/>
            <w:tcBorders>
              <w:top w:val="nil"/>
              <w:left w:val="nil"/>
              <w:bottom w:val="single" w:sz="4" w:space="0" w:color="auto"/>
              <w:right w:val="single" w:sz="4" w:space="0" w:color="auto"/>
            </w:tcBorders>
            <w:noWrap/>
            <w:vAlign w:val="bottom"/>
            <w:hideMark/>
          </w:tcPr>
          <w:p w14:paraId="2B2DD609"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1,233,705</w:t>
            </w:r>
          </w:p>
        </w:tc>
        <w:tc>
          <w:tcPr>
            <w:tcW w:w="1232" w:type="dxa"/>
            <w:tcBorders>
              <w:top w:val="nil"/>
              <w:left w:val="nil"/>
              <w:bottom w:val="single" w:sz="4" w:space="0" w:color="auto"/>
              <w:right w:val="single" w:sz="4" w:space="0" w:color="auto"/>
            </w:tcBorders>
            <w:noWrap/>
            <w:vAlign w:val="bottom"/>
            <w:hideMark/>
          </w:tcPr>
          <w:p w14:paraId="1878D397"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1,550,556</w:t>
            </w:r>
          </w:p>
        </w:tc>
        <w:tc>
          <w:tcPr>
            <w:tcW w:w="1228" w:type="dxa"/>
            <w:tcBorders>
              <w:top w:val="nil"/>
              <w:left w:val="nil"/>
              <w:bottom w:val="single" w:sz="4" w:space="0" w:color="auto"/>
              <w:right w:val="single" w:sz="4" w:space="0" w:color="auto"/>
            </w:tcBorders>
            <w:noWrap/>
            <w:vAlign w:val="bottom"/>
            <w:hideMark/>
          </w:tcPr>
          <w:p w14:paraId="6E5A03CC"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1,233,705</w:t>
            </w:r>
          </w:p>
        </w:tc>
        <w:tc>
          <w:tcPr>
            <w:tcW w:w="1316" w:type="dxa"/>
            <w:tcBorders>
              <w:top w:val="nil"/>
              <w:left w:val="nil"/>
              <w:bottom w:val="single" w:sz="4" w:space="0" w:color="auto"/>
              <w:right w:val="single" w:sz="4" w:space="0" w:color="auto"/>
            </w:tcBorders>
            <w:noWrap/>
            <w:vAlign w:val="bottom"/>
            <w:hideMark/>
          </w:tcPr>
          <w:p w14:paraId="0E508EF1"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1,233,705</w:t>
            </w:r>
          </w:p>
        </w:tc>
        <w:tc>
          <w:tcPr>
            <w:tcW w:w="1316" w:type="dxa"/>
            <w:tcBorders>
              <w:top w:val="nil"/>
              <w:left w:val="nil"/>
              <w:bottom w:val="single" w:sz="4" w:space="0" w:color="auto"/>
              <w:right w:val="single" w:sz="4" w:space="0" w:color="auto"/>
            </w:tcBorders>
            <w:noWrap/>
            <w:vAlign w:val="bottom"/>
            <w:hideMark/>
          </w:tcPr>
          <w:p w14:paraId="43886155"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1,233,705</w:t>
            </w:r>
          </w:p>
        </w:tc>
        <w:tc>
          <w:tcPr>
            <w:tcW w:w="1316" w:type="dxa"/>
            <w:tcBorders>
              <w:top w:val="nil"/>
              <w:left w:val="nil"/>
              <w:bottom w:val="single" w:sz="4" w:space="0" w:color="auto"/>
              <w:right w:val="single" w:sz="4" w:space="0" w:color="auto"/>
            </w:tcBorders>
            <w:noWrap/>
            <w:vAlign w:val="bottom"/>
            <w:hideMark/>
          </w:tcPr>
          <w:p w14:paraId="620AD30B"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1,233,705</w:t>
            </w:r>
          </w:p>
        </w:tc>
        <w:tc>
          <w:tcPr>
            <w:tcW w:w="1316" w:type="dxa"/>
            <w:tcBorders>
              <w:top w:val="nil"/>
              <w:left w:val="nil"/>
              <w:bottom w:val="single" w:sz="4" w:space="0" w:color="auto"/>
              <w:right w:val="single" w:sz="4" w:space="0" w:color="auto"/>
            </w:tcBorders>
            <w:noWrap/>
            <w:vAlign w:val="bottom"/>
            <w:hideMark/>
          </w:tcPr>
          <w:p w14:paraId="544F2CAE"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1,233,705</w:t>
            </w:r>
          </w:p>
        </w:tc>
        <w:tc>
          <w:tcPr>
            <w:tcW w:w="1316" w:type="dxa"/>
            <w:tcBorders>
              <w:top w:val="nil"/>
              <w:left w:val="nil"/>
              <w:bottom w:val="single" w:sz="4" w:space="0" w:color="auto"/>
              <w:right w:val="single" w:sz="4" w:space="0" w:color="auto"/>
            </w:tcBorders>
            <w:noWrap/>
            <w:vAlign w:val="bottom"/>
            <w:hideMark/>
          </w:tcPr>
          <w:p w14:paraId="7C71E753"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1,233,705</w:t>
            </w:r>
          </w:p>
        </w:tc>
      </w:tr>
      <w:tr w:rsidR="00752F04" w:rsidRPr="00EA0FD7" w14:paraId="5D2DBCF2" w14:textId="77777777" w:rsidTr="00752F04">
        <w:trPr>
          <w:trHeight w:val="240"/>
        </w:trPr>
        <w:tc>
          <w:tcPr>
            <w:tcW w:w="1250" w:type="dxa"/>
            <w:tcBorders>
              <w:top w:val="single" w:sz="4" w:space="0" w:color="auto"/>
              <w:left w:val="single" w:sz="8" w:space="0" w:color="auto"/>
              <w:bottom w:val="nil"/>
              <w:right w:val="single" w:sz="4" w:space="0" w:color="auto"/>
            </w:tcBorders>
            <w:noWrap/>
            <w:vAlign w:val="bottom"/>
            <w:hideMark/>
          </w:tcPr>
          <w:p w14:paraId="5DB29DAB" w14:textId="77777777" w:rsidR="00752F04" w:rsidRPr="00EA0FD7" w:rsidRDefault="00752F04" w:rsidP="00752F04">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w:t>
            </w:r>
          </w:p>
        </w:tc>
        <w:tc>
          <w:tcPr>
            <w:tcW w:w="2897" w:type="dxa"/>
            <w:tcBorders>
              <w:top w:val="single" w:sz="4" w:space="0" w:color="auto"/>
              <w:left w:val="nil"/>
              <w:bottom w:val="nil"/>
              <w:right w:val="single" w:sz="4" w:space="0" w:color="auto"/>
            </w:tcBorders>
            <w:noWrap/>
            <w:vAlign w:val="bottom"/>
            <w:hideMark/>
          </w:tcPr>
          <w:p w14:paraId="28579C10" w14:textId="77777777" w:rsidR="00752F04" w:rsidRPr="00EA0FD7" w:rsidRDefault="00752F04" w:rsidP="00752F04">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Средства буџетске резерве</w:t>
            </w:r>
          </w:p>
        </w:tc>
        <w:tc>
          <w:tcPr>
            <w:tcW w:w="1237" w:type="dxa"/>
            <w:tcBorders>
              <w:top w:val="nil"/>
              <w:left w:val="nil"/>
              <w:bottom w:val="nil"/>
              <w:right w:val="single" w:sz="4" w:space="0" w:color="auto"/>
            </w:tcBorders>
            <w:noWrap/>
            <w:vAlign w:val="bottom"/>
            <w:hideMark/>
          </w:tcPr>
          <w:p w14:paraId="440ADDB7"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1,593,351</w:t>
            </w:r>
          </w:p>
        </w:tc>
        <w:tc>
          <w:tcPr>
            <w:tcW w:w="1232" w:type="dxa"/>
            <w:tcBorders>
              <w:top w:val="nil"/>
              <w:left w:val="nil"/>
              <w:bottom w:val="nil"/>
              <w:right w:val="single" w:sz="4" w:space="0" w:color="auto"/>
            </w:tcBorders>
            <w:noWrap/>
            <w:vAlign w:val="bottom"/>
            <w:hideMark/>
          </w:tcPr>
          <w:p w14:paraId="6FE88F64"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1,584,081</w:t>
            </w:r>
          </w:p>
        </w:tc>
        <w:tc>
          <w:tcPr>
            <w:tcW w:w="1232" w:type="dxa"/>
            <w:tcBorders>
              <w:top w:val="nil"/>
              <w:left w:val="nil"/>
              <w:bottom w:val="nil"/>
              <w:right w:val="single" w:sz="4" w:space="0" w:color="auto"/>
            </w:tcBorders>
            <w:noWrap/>
            <w:vAlign w:val="bottom"/>
            <w:hideMark/>
          </w:tcPr>
          <w:p w14:paraId="47D1EE55"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3,829,418</w:t>
            </w:r>
          </w:p>
        </w:tc>
        <w:tc>
          <w:tcPr>
            <w:tcW w:w="1228" w:type="dxa"/>
            <w:tcBorders>
              <w:top w:val="nil"/>
              <w:left w:val="nil"/>
              <w:bottom w:val="nil"/>
              <w:right w:val="single" w:sz="4" w:space="0" w:color="auto"/>
            </w:tcBorders>
            <w:noWrap/>
            <w:vAlign w:val="bottom"/>
            <w:hideMark/>
          </w:tcPr>
          <w:p w14:paraId="5BB10839"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3,800,000</w:t>
            </w:r>
          </w:p>
        </w:tc>
        <w:tc>
          <w:tcPr>
            <w:tcW w:w="1316" w:type="dxa"/>
            <w:tcBorders>
              <w:top w:val="nil"/>
              <w:left w:val="nil"/>
              <w:bottom w:val="nil"/>
              <w:right w:val="single" w:sz="4" w:space="0" w:color="auto"/>
            </w:tcBorders>
            <w:noWrap/>
            <w:vAlign w:val="bottom"/>
            <w:hideMark/>
          </w:tcPr>
          <w:p w14:paraId="31954847"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3,800,000</w:t>
            </w:r>
          </w:p>
        </w:tc>
        <w:tc>
          <w:tcPr>
            <w:tcW w:w="1316" w:type="dxa"/>
            <w:tcBorders>
              <w:top w:val="nil"/>
              <w:left w:val="nil"/>
              <w:bottom w:val="nil"/>
              <w:right w:val="single" w:sz="4" w:space="0" w:color="auto"/>
            </w:tcBorders>
            <w:noWrap/>
            <w:vAlign w:val="bottom"/>
            <w:hideMark/>
          </w:tcPr>
          <w:p w14:paraId="47028FE7"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3,800,000</w:t>
            </w:r>
          </w:p>
        </w:tc>
        <w:tc>
          <w:tcPr>
            <w:tcW w:w="1316" w:type="dxa"/>
            <w:tcBorders>
              <w:top w:val="nil"/>
              <w:left w:val="nil"/>
              <w:bottom w:val="nil"/>
              <w:right w:val="single" w:sz="4" w:space="0" w:color="auto"/>
            </w:tcBorders>
            <w:noWrap/>
            <w:vAlign w:val="bottom"/>
            <w:hideMark/>
          </w:tcPr>
          <w:p w14:paraId="48576F07"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3,829,643</w:t>
            </w:r>
          </w:p>
        </w:tc>
        <w:tc>
          <w:tcPr>
            <w:tcW w:w="1316" w:type="dxa"/>
            <w:tcBorders>
              <w:top w:val="nil"/>
              <w:left w:val="nil"/>
              <w:bottom w:val="nil"/>
              <w:right w:val="single" w:sz="4" w:space="0" w:color="auto"/>
            </w:tcBorders>
            <w:noWrap/>
            <w:vAlign w:val="bottom"/>
            <w:hideMark/>
          </w:tcPr>
          <w:p w14:paraId="5D4B3EC6"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3,818,383</w:t>
            </w:r>
          </w:p>
        </w:tc>
        <w:tc>
          <w:tcPr>
            <w:tcW w:w="1316" w:type="dxa"/>
            <w:tcBorders>
              <w:top w:val="nil"/>
              <w:left w:val="nil"/>
              <w:bottom w:val="nil"/>
              <w:right w:val="single" w:sz="4" w:space="0" w:color="auto"/>
            </w:tcBorders>
            <w:noWrap/>
            <w:vAlign w:val="bottom"/>
            <w:hideMark/>
          </w:tcPr>
          <w:p w14:paraId="2AB42CF7" w14:textId="77777777" w:rsidR="00752F04" w:rsidRPr="00EA0FD7" w:rsidRDefault="00752F04" w:rsidP="00752F04">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3,807,680</w:t>
            </w:r>
          </w:p>
        </w:tc>
      </w:tr>
      <w:tr w:rsidR="00752F04" w:rsidRPr="00EA0FD7" w14:paraId="25980931" w14:textId="77777777" w:rsidTr="00752F04">
        <w:trPr>
          <w:trHeight w:val="285"/>
        </w:trPr>
        <w:tc>
          <w:tcPr>
            <w:tcW w:w="1250" w:type="dxa"/>
            <w:tcBorders>
              <w:top w:val="single" w:sz="8" w:space="0" w:color="auto"/>
              <w:left w:val="single" w:sz="8" w:space="0" w:color="auto"/>
              <w:bottom w:val="single" w:sz="8" w:space="0" w:color="auto"/>
              <w:right w:val="single" w:sz="8" w:space="0" w:color="auto"/>
            </w:tcBorders>
            <w:noWrap/>
            <w:vAlign w:val="bottom"/>
            <w:hideMark/>
          </w:tcPr>
          <w:p w14:paraId="3EB6791D"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897" w:type="dxa"/>
            <w:tcBorders>
              <w:top w:val="single" w:sz="8" w:space="0" w:color="auto"/>
              <w:left w:val="nil"/>
              <w:bottom w:val="single" w:sz="8" w:space="0" w:color="auto"/>
              <w:right w:val="single" w:sz="8" w:space="0" w:color="auto"/>
            </w:tcBorders>
            <w:noWrap/>
            <w:vAlign w:val="bottom"/>
            <w:hideMark/>
          </w:tcPr>
          <w:p w14:paraId="79512845"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Укупни расходи и издаци</w:t>
            </w:r>
          </w:p>
        </w:tc>
        <w:tc>
          <w:tcPr>
            <w:tcW w:w="1237" w:type="dxa"/>
            <w:tcBorders>
              <w:top w:val="single" w:sz="8" w:space="0" w:color="auto"/>
              <w:left w:val="nil"/>
              <w:bottom w:val="single" w:sz="8" w:space="0" w:color="auto"/>
              <w:right w:val="single" w:sz="8" w:space="0" w:color="auto"/>
            </w:tcBorders>
            <w:noWrap/>
            <w:vAlign w:val="bottom"/>
            <w:hideMark/>
          </w:tcPr>
          <w:p w14:paraId="3982DDFF" w14:textId="77777777" w:rsidR="00752F04" w:rsidRPr="00EA0FD7" w:rsidRDefault="00752F04" w:rsidP="00752F04">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277,667,277</w:t>
            </w:r>
          </w:p>
        </w:tc>
        <w:tc>
          <w:tcPr>
            <w:tcW w:w="1232" w:type="dxa"/>
            <w:tcBorders>
              <w:top w:val="single" w:sz="8" w:space="0" w:color="auto"/>
              <w:left w:val="nil"/>
              <w:bottom w:val="single" w:sz="8" w:space="0" w:color="auto"/>
              <w:right w:val="single" w:sz="8" w:space="0" w:color="auto"/>
            </w:tcBorders>
            <w:noWrap/>
            <w:vAlign w:val="bottom"/>
            <w:hideMark/>
          </w:tcPr>
          <w:p w14:paraId="6C8B4E16" w14:textId="77777777" w:rsidR="00752F04" w:rsidRPr="00EA0FD7" w:rsidRDefault="00752F04" w:rsidP="00752F04">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214,162,076</w:t>
            </w:r>
          </w:p>
        </w:tc>
        <w:tc>
          <w:tcPr>
            <w:tcW w:w="1232" w:type="dxa"/>
            <w:tcBorders>
              <w:top w:val="single" w:sz="8" w:space="0" w:color="auto"/>
              <w:left w:val="nil"/>
              <w:bottom w:val="single" w:sz="8" w:space="0" w:color="auto"/>
              <w:right w:val="single" w:sz="8" w:space="0" w:color="auto"/>
            </w:tcBorders>
            <w:noWrap/>
            <w:vAlign w:val="bottom"/>
            <w:hideMark/>
          </w:tcPr>
          <w:p w14:paraId="373F82A7" w14:textId="77777777" w:rsidR="00752F04" w:rsidRPr="00EA0FD7" w:rsidRDefault="00752F04" w:rsidP="00752F04">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267,018,340</w:t>
            </w:r>
          </w:p>
        </w:tc>
        <w:tc>
          <w:tcPr>
            <w:tcW w:w="1228" w:type="dxa"/>
            <w:tcBorders>
              <w:top w:val="single" w:sz="8" w:space="0" w:color="auto"/>
              <w:left w:val="nil"/>
              <w:bottom w:val="single" w:sz="8" w:space="0" w:color="auto"/>
              <w:right w:val="single" w:sz="8" w:space="0" w:color="auto"/>
            </w:tcBorders>
            <w:noWrap/>
            <w:vAlign w:val="bottom"/>
            <w:hideMark/>
          </w:tcPr>
          <w:p w14:paraId="1A84006F" w14:textId="77777777" w:rsidR="00752F04" w:rsidRPr="00EA0FD7" w:rsidRDefault="00752F04" w:rsidP="00752F04">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306,099,177</w:t>
            </w:r>
          </w:p>
        </w:tc>
        <w:tc>
          <w:tcPr>
            <w:tcW w:w="1316" w:type="dxa"/>
            <w:tcBorders>
              <w:top w:val="single" w:sz="8" w:space="0" w:color="auto"/>
              <w:left w:val="nil"/>
              <w:bottom w:val="single" w:sz="8" w:space="0" w:color="auto"/>
              <w:right w:val="single" w:sz="8" w:space="0" w:color="auto"/>
            </w:tcBorders>
            <w:noWrap/>
            <w:vAlign w:val="bottom"/>
            <w:hideMark/>
          </w:tcPr>
          <w:p w14:paraId="55116BE7" w14:textId="77777777" w:rsidR="00752F04" w:rsidRPr="00EA0FD7" w:rsidRDefault="00752F04" w:rsidP="00752F04">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288,668,662</w:t>
            </w:r>
          </w:p>
        </w:tc>
        <w:tc>
          <w:tcPr>
            <w:tcW w:w="1316" w:type="dxa"/>
            <w:tcBorders>
              <w:top w:val="single" w:sz="8" w:space="0" w:color="auto"/>
              <w:left w:val="nil"/>
              <w:bottom w:val="single" w:sz="8" w:space="0" w:color="auto"/>
              <w:right w:val="single" w:sz="8" w:space="0" w:color="auto"/>
            </w:tcBorders>
            <w:noWrap/>
            <w:vAlign w:val="bottom"/>
            <w:hideMark/>
          </w:tcPr>
          <w:p w14:paraId="186564FF" w14:textId="77777777" w:rsidR="00752F04" w:rsidRPr="00EA0FD7" w:rsidRDefault="00752F04" w:rsidP="00752F04">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276,819,345</w:t>
            </w:r>
          </w:p>
        </w:tc>
        <w:tc>
          <w:tcPr>
            <w:tcW w:w="1316" w:type="dxa"/>
            <w:tcBorders>
              <w:top w:val="single" w:sz="8" w:space="0" w:color="auto"/>
              <w:left w:val="nil"/>
              <w:bottom w:val="single" w:sz="8" w:space="0" w:color="auto"/>
              <w:right w:val="single" w:sz="8" w:space="0" w:color="auto"/>
            </w:tcBorders>
            <w:noWrap/>
            <w:vAlign w:val="bottom"/>
            <w:hideMark/>
          </w:tcPr>
          <w:p w14:paraId="04E04995" w14:textId="77777777" w:rsidR="00752F04" w:rsidRPr="00EA0FD7" w:rsidRDefault="00752F04" w:rsidP="00752F04">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278,083,660</w:t>
            </w:r>
          </w:p>
        </w:tc>
        <w:tc>
          <w:tcPr>
            <w:tcW w:w="1316" w:type="dxa"/>
            <w:tcBorders>
              <w:top w:val="single" w:sz="8" w:space="0" w:color="auto"/>
              <w:left w:val="nil"/>
              <w:bottom w:val="single" w:sz="8" w:space="0" w:color="auto"/>
              <w:right w:val="single" w:sz="8" w:space="0" w:color="auto"/>
            </w:tcBorders>
            <w:noWrap/>
            <w:vAlign w:val="bottom"/>
            <w:hideMark/>
          </w:tcPr>
          <w:p w14:paraId="2B737C6C" w14:textId="77777777" w:rsidR="00752F04" w:rsidRPr="00EA0FD7" w:rsidRDefault="00752F04" w:rsidP="00752F04">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285,754,983</w:t>
            </w:r>
          </w:p>
        </w:tc>
        <w:tc>
          <w:tcPr>
            <w:tcW w:w="1316" w:type="dxa"/>
            <w:tcBorders>
              <w:top w:val="single" w:sz="8" w:space="0" w:color="auto"/>
              <w:left w:val="nil"/>
              <w:bottom w:val="single" w:sz="8" w:space="0" w:color="auto"/>
              <w:right w:val="single" w:sz="8" w:space="0" w:color="auto"/>
            </w:tcBorders>
            <w:noWrap/>
            <w:vAlign w:val="bottom"/>
            <w:hideMark/>
          </w:tcPr>
          <w:p w14:paraId="087903EB" w14:textId="77777777" w:rsidR="00752F04" w:rsidRPr="00EA0FD7" w:rsidRDefault="00752F04" w:rsidP="00752F04">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293,984,963</w:t>
            </w:r>
          </w:p>
        </w:tc>
      </w:tr>
      <w:tr w:rsidR="00752F04" w:rsidRPr="00EA0FD7" w14:paraId="77321F1B" w14:textId="77777777" w:rsidTr="00752F04">
        <w:trPr>
          <w:trHeight w:val="240"/>
        </w:trPr>
        <w:tc>
          <w:tcPr>
            <w:tcW w:w="1250" w:type="dxa"/>
            <w:tcBorders>
              <w:top w:val="nil"/>
              <w:left w:val="single" w:sz="8" w:space="0" w:color="auto"/>
              <w:bottom w:val="single" w:sz="8" w:space="0" w:color="auto"/>
              <w:right w:val="nil"/>
            </w:tcBorders>
            <w:noWrap/>
            <w:vAlign w:val="bottom"/>
            <w:hideMark/>
          </w:tcPr>
          <w:p w14:paraId="54A566D4"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897" w:type="dxa"/>
            <w:tcBorders>
              <w:top w:val="nil"/>
              <w:left w:val="nil"/>
              <w:bottom w:val="single" w:sz="8" w:space="0" w:color="auto"/>
              <w:right w:val="nil"/>
            </w:tcBorders>
            <w:noWrap/>
            <w:vAlign w:val="bottom"/>
            <w:hideMark/>
          </w:tcPr>
          <w:p w14:paraId="6866BE89"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37" w:type="dxa"/>
            <w:tcBorders>
              <w:top w:val="nil"/>
              <w:left w:val="nil"/>
              <w:bottom w:val="single" w:sz="8" w:space="0" w:color="auto"/>
              <w:right w:val="nil"/>
            </w:tcBorders>
            <w:noWrap/>
            <w:vAlign w:val="bottom"/>
            <w:hideMark/>
          </w:tcPr>
          <w:p w14:paraId="48A880B6"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32" w:type="dxa"/>
            <w:tcBorders>
              <w:top w:val="nil"/>
              <w:left w:val="nil"/>
              <w:bottom w:val="single" w:sz="8" w:space="0" w:color="auto"/>
              <w:right w:val="nil"/>
            </w:tcBorders>
            <w:noWrap/>
            <w:vAlign w:val="bottom"/>
            <w:hideMark/>
          </w:tcPr>
          <w:p w14:paraId="035E9206"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32" w:type="dxa"/>
            <w:tcBorders>
              <w:top w:val="nil"/>
              <w:left w:val="nil"/>
              <w:bottom w:val="single" w:sz="8" w:space="0" w:color="auto"/>
              <w:right w:val="nil"/>
            </w:tcBorders>
            <w:noWrap/>
            <w:vAlign w:val="bottom"/>
            <w:hideMark/>
          </w:tcPr>
          <w:p w14:paraId="5E14A3BB"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28" w:type="dxa"/>
            <w:tcBorders>
              <w:top w:val="nil"/>
              <w:left w:val="nil"/>
              <w:bottom w:val="single" w:sz="8" w:space="0" w:color="auto"/>
              <w:right w:val="nil"/>
            </w:tcBorders>
            <w:noWrap/>
            <w:vAlign w:val="bottom"/>
            <w:hideMark/>
          </w:tcPr>
          <w:p w14:paraId="58DA1593"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417A7DAC"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1333FE16"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16" w:type="dxa"/>
            <w:tcBorders>
              <w:top w:val="nil"/>
              <w:left w:val="nil"/>
              <w:bottom w:val="single" w:sz="8" w:space="0" w:color="auto"/>
              <w:right w:val="nil"/>
            </w:tcBorders>
            <w:noWrap/>
            <w:vAlign w:val="bottom"/>
            <w:hideMark/>
          </w:tcPr>
          <w:p w14:paraId="4CA75A39" w14:textId="77777777" w:rsidR="00752F04" w:rsidRPr="00EA0FD7" w:rsidRDefault="00752F04" w:rsidP="00752F04">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nil"/>
            </w:tcBorders>
            <w:noWrap/>
            <w:vAlign w:val="bottom"/>
            <w:hideMark/>
          </w:tcPr>
          <w:p w14:paraId="4B3D1A71" w14:textId="77777777" w:rsidR="00752F04" w:rsidRPr="00EA0FD7" w:rsidRDefault="00752F04" w:rsidP="00752F04">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c>
          <w:tcPr>
            <w:tcW w:w="1316" w:type="dxa"/>
            <w:tcBorders>
              <w:top w:val="nil"/>
              <w:left w:val="nil"/>
              <w:bottom w:val="single" w:sz="8" w:space="0" w:color="auto"/>
              <w:right w:val="single" w:sz="8" w:space="0" w:color="auto"/>
            </w:tcBorders>
            <w:noWrap/>
            <w:vAlign w:val="bottom"/>
            <w:hideMark/>
          </w:tcPr>
          <w:p w14:paraId="022C43CF" w14:textId="77777777" w:rsidR="00752F04" w:rsidRPr="00EA0FD7" w:rsidRDefault="00752F04" w:rsidP="00752F04">
            <w:pPr>
              <w:spacing w:after="0" w:line="240" w:lineRule="auto"/>
              <w:rPr>
                <w:rFonts w:ascii="Arial" w:eastAsia="Times New Roman" w:hAnsi="Arial" w:cs="Arial"/>
                <w:sz w:val="20"/>
                <w:szCs w:val="20"/>
                <w:lang w:val="sr-Cyrl-RS"/>
              </w:rPr>
            </w:pPr>
            <w:r w:rsidRPr="00EA0FD7">
              <w:rPr>
                <w:rFonts w:ascii="Arial" w:eastAsia="Times New Roman" w:hAnsi="Arial" w:cs="Arial"/>
                <w:sz w:val="20"/>
                <w:szCs w:val="20"/>
                <w:lang w:val="sr-Cyrl-RS"/>
              </w:rPr>
              <w:t> </w:t>
            </w:r>
          </w:p>
        </w:tc>
      </w:tr>
      <w:tr w:rsidR="00752F04" w:rsidRPr="00EA0FD7" w14:paraId="1805F0FC" w14:textId="77777777" w:rsidTr="00752F04">
        <w:trPr>
          <w:trHeight w:val="330"/>
        </w:trPr>
        <w:tc>
          <w:tcPr>
            <w:tcW w:w="1250" w:type="dxa"/>
            <w:tcBorders>
              <w:top w:val="nil"/>
              <w:left w:val="single" w:sz="8" w:space="0" w:color="auto"/>
              <w:bottom w:val="single" w:sz="8" w:space="0" w:color="auto"/>
              <w:right w:val="single" w:sz="8" w:space="0" w:color="auto"/>
            </w:tcBorders>
            <w:noWrap/>
            <w:vAlign w:val="bottom"/>
            <w:hideMark/>
          </w:tcPr>
          <w:p w14:paraId="58E056E1"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897" w:type="dxa"/>
            <w:tcBorders>
              <w:top w:val="nil"/>
              <w:left w:val="nil"/>
              <w:bottom w:val="single" w:sz="8" w:space="0" w:color="auto"/>
              <w:right w:val="single" w:sz="8" w:space="0" w:color="auto"/>
            </w:tcBorders>
            <w:noWrap/>
            <w:vAlign w:val="bottom"/>
            <w:hideMark/>
          </w:tcPr>
          <w:p w14:paraId="3171E143"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237" w:type="dxa"/>
            <w:tcBorders>
              <w:top w:val="nil"/>
              <w:left w:val="nil"/>
              <w:bottom w:val="single" w:sz="8" w:space="0" w:color="auto"/>
              <w:right w:val="single" w:sz="8" w:space="0" w:color="auto"/>
            </w:tcBorders>
            <w:noWrap/>
            <w:vAlign w:val="bottom"/>
            <w:hideMark/>
          </w:tcPr>
          <w:p w14:paraId="78DB93EA"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2,984</w:t>
            </w:r>
          </w:p>
        </w:tc>
        <w:tc>
          <w:tcPr>
            <w:tcW w:w="1232" w:type="dxa"/>
            <w:tcBorders>
              <w:top w:val="nil"/>
              <w:left w:val="nil"/>
              <w:bottom w:val="single" w:sz="8" w:space="0" w:color="auto"/>
              <w:right w:val="single" w:sz="8" w:space="0" w:color="auto"/>
            </w:tcBorders>
            <w:noWrap/>
            <w:vAlign w:val="bottom"/>
            <w:hideMark/>
          </w:tcPr>
          <w:p w14:paraId="1AC66A47"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2,681</w:t>
            </w:r>
          </w:p>
        </w:tc>
        <w:tc>
          <w:tcPr>
            <w:tcW w:w="1232" w:type="dxa"/>
            <w:tcBorders>
              <w:top w:val="nil"/>
              <w:left w:val="nil"/>
              <w:bottom w:val="single" w:sz="8" w:space="0" w:color="auto"/>
              <w:right w:val="single" w:sz="8" w:space="0" w:color="auto"/>
            </w:tcBorders>
            <w:noWrap/>
            <w:vAlign w:val="bottom"/>
            <w:hideMark/>
          </w:tcPr>
          <w:p w14:paraId="48E7D96B"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3,114</w:t>
            </w:r>
          </w:p>
        </w:tc>
        <w:tc>
          <w:tcPr>
            <w:tcW w:w="1228" w:type="dxa"/>
            <w:tcBorders>
              <w:top w:val="nil"/>
              <w:left w:val="nil"/>
              <w:bottom w:val="single" w:sz="8" w:space="0" w:color="auto"/>
              <w:right w:val="single" w:sz="8" w:space="0" w:color="auto"/>
            </w:tcBorders>
            <w:noWrap/>
            <w:vAlign w:val="bottom"/>
            <w:hideMark/>
          </w:tcPr>
          <w:p w14:paraId="018CBD7C"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3,009</w:t>
            </w:r>
          </w:p>
        </w:tc>
        <w:tc>
          <w:tcPr>
            <w:tcW w:w="1316" w:type="dxa"/>
            <w:tcBorders>
              <w:top w:val="nil"/>
              <w:left w:val="nil"/>
              <w:bottom w:val="single" w:sz="8" w:space="0" w:color="auto"/>
              <w:right w:val="single" w:sz="8" w:space="0" w:color="auto"/>
            </w:tcBorders>
            <w:noWrap/>
            <w:vAlign w:val="bottom"/>
            <w:hideMark/>
          </w:tcPr>
          <w:p w14:paraId="0F4DE8D6"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3,009</w:t>
            </w:r>
          </w:p>
        </w:tc>
        <w:tc>
          <w:tcPr>
            <w:tcW w:w="1316" w:type="dxa"/>
            <w:tcBorders>
              <w:top w:val="nil"/>
              <w:left w:val="nil"/>
              <w:bottom w:val="single" w:sz="8" w:space="0" w:color="auto"/>
              <w:right w:val="single" w:sz="8" w:space="0" w:color="auto"/>
            </w:tcBorders>
            <w:noWrap/>
            <w:vAlign w:val="bottom"/>
            <w:hideMark/>
          </w:tcPr>
          <w:p w14:paraId="3AEA025B"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3,009</w:t>
            </w:r>
          </w:p>
        </w:tc>
        <w:tc>
          <w:tcPr>
            <w:tcW w:w="1316" w:type="dxa"/>
            <w:tcBorders>
              <w:top w:val="nil"/>
              <w:left w:val="nil"/>
              <w:bottom w:val="single" w:sz="8" w:space="0" w:color="auto"/>
              <w:right w:val="single" w:sz="8" w:space="0" w:color="auto"/>
            </w:tcBorders>
            <w:noWrap/>
            <w:vAlign w:val="bottom"/>
            <w:hideMark/>
          </w:tcPr>
          <w:p w14:paraId="3E692D45"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3,114</w:t>
            </w:r>
          </w:p>
        </w:tc>
        <w:tc>
          <w:tcPr>
            <w:tcW w:w="1316" w:type="dxa"/>
            <w:tcBorders>
              <w:top w:val="nil"/>
              <w:left w:val="nil"/>
              <w:bottom w:val="single" w:sz="8" w:space="0" w:color="auto"/>
              <w:right w:val="single" w:sz="8" w:space="0" w:color="auto"/>
            </w:tcBorders>
            <w:noWrap/>
            <w:vAlign w:val="bottom"/>
            <w:hideMark/>
          </w:tcPr>
          <w:p w14:paraId="63FA87E1"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3,114</w:t>
            </w:r>
          </w:p>
        </w:tc>
        <w:tc>
          <w:tcPr>
            <w:tcW w:w="1316" w:type="dxa"/>
            <w:tcBorders>
              <w:top w:val="nil"/>
              <w:left w:val="nil"/>
              <w:bottom w:val="single" w:sz="8" w:space="0" w:color="auto"/>
              <w:right w:val="single" w:sz="8" w:space="0" w:color="auto"/>
            </w:tcBorders>
            <w:noWrap/>
            <w:vAlign w:val="bottom"/>
            <w:hideMark/>
          </w:tcPr>
          <w:p w14:paraId="1D3BBE73"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3,114</w:t>
            </w:r>
          </w:p>
        </w:tc>
      </w:tr>
    </w:tbl>
    <w:p w14:paraId="440A9C1A"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66136211"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10A6111A"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4DEACDA3"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43DFD316"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7CB1C9E8"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4B9BBE18"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30D87F74"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7C9E4BB8"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5FCBD617"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29E12120"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3CC08A43"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41850AAD"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27F75CA0"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57A92E6E"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6FF10D71"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0D9D8B7C"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6FFCC905"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p>
    <w:p w14:paraId="4FB8AEC4" w14:textId="77777777" w:rsidR="00EA0FD7" w:rsidRPr="00EA0FD7" w:rsidRDefault="00EA0FD7" w:rsidP="00EA0FD7">
      <w:pPr>
        <w:spacing w:after="0" w:line="240" w:lineRule="auto"/>
        <w:rPr>
          <w:rFonts w:ascii="Times New Roman" w:eastAsia="Times New Roman" w:hAnsi="Times New Roman" w:cs="Times New Roman"/>
          <w:b/>
          <w:bCs/>
          <w:sz w:val="24"/>
          <w:szCs w:val="24"/>
          <w:lang w:val="sr-Cyrl-RS" w:eastAsia="hr-HR"/>
        </w:rPr>
        <w:sectPr w:rsidR="00EA0FD7" w:rsidRPr="00EA0FD7">
          <w:pgSz w:w="16834" w:h="11909" w:orient="landscape"/>
          <w:pgMar w:top="547" w:right="1282" w:bottom="1411" w:left="720" w:header="706" w:footer="706" w:gutter="0"/>
          <w:cols w:space="720"/>
        </w:sectPr>
      </w:pPr>
    </w:p>
    <w:p w14:paraId="7B15690B" w14:textId="77777777" w:rsidR="00EA0FD7" w:rsidRPr="00EA0FD7" w:rsidRDefault="00EA0FD7" w:rsidP="00EA0FD7">
      <w:pPr>
        <w:spacing w:after="0" w:line="240" w:lineRule="auto"/>
        <w:jc w:val="both"/>
        <w:rPr>
          <w:rFonts w:ascii="Times New Roman" w:eastAsia="Times New Roman" w:hAnsi="Times New Roman" w:cs="Times New Roman"/>
          <w:b/>
          <w:bCs/>
          <w:sz w:val="24"/>
          <w:szCs w:val="24"/>
          <w:lang w:val="sr-Cyrl-RS" w:eastAsia="hr-HR"/>
        </w:rPr>
      </w:pPr>
      <w:r w:rsidRPr="00EA0FD7">
        <w:rPr>
          <w:rFonts w:ascii="Times New Roman" w:eastAsia="Times New Roman" w:hAnsi="Times New Roman" w:cs="Times New Roman"/>
          <w:b/>
          <w:bCs/>
          <w:sz w:val="24"/>
          <w:szCs w:val="24"/>
          <w:lang w:val="sr-Cyrl-RS" w:eastAsia="hr-HR"/>
        </w:rPr>
        <w:lastRenderedPageBreak/>
        <w:t>Финансијски планови ванбуџетских фондова и ванбуџетских корисника који су обвезници примјене буџетског рачуноводства (расходи)</w:t>
      </w:r>
    </w:p>
    <w:p w14:paraId="7F6BD503" w14:textId="77777777" w:rsidR="00EA0FD7" w:rsidRPr="00EA0FD7" w:rsidRDefault="00EA0FD7" w:rsidP="00EA0FD7">
      <w:pPr>
        <w:spacing w:after="0" w:line="240" w:lineRule="auto"/>
        <w:jc w:val="both"/>
        <w:rPr>
          <w:rFonts w:ascii="Times New Roman" w:eastAsia="Times New Roman" w:hAnsi="Times New Roman" w:cs="Times New Roman"/>
          <w:sz w:val="24"/>
          <w:szCs w:val="24"/>
          <w:lang w:val="sr-Cyrl-RS" w:eastAsia="hr-HR"/>
        </w:rPr>
      </w:pPr>
    </w:p>
    <w:p w14:paraId="66D7C468" w14:textId="77777777" w:rsidR="00EA0FD7" w:rsidRPr="00EA0FD7" w:rsidRDefault="00EA0FD7" w:rsidP="00EA0FD7">
      <w:pPr>
        <w:spacing w:after="0" w:line="240" w:lineRule="auto"/>
        <w:jc w:val="both"/>
        <w:rPr>
          <w:rFonts w:ascii="Times New Roman" w:eastAsia="Times New Roman" w:hAnsi="Times New Roman" w:cs="Times New Roman"/>
          <w:sz w:val="24"/>
          <w:szCs w:val="24"/>
          <w:highlight w:val="yellow"/>
          <w:lang w:val="sr-Cyrl-RS" w:eastAsia="hr-HR"/>
        </w:rPr>
      </w:pPr>
    </w:p>
    <w:p w14:paraId="7E96AE68" w14:textId="6089370C"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Cs/>
          <w:sz w:val="24"/>
          <w:szCs w:val="24"/>
          <w:lang w:val="sr-Cyrl-RS" w:eastAsia="hr-HR"/>
        </w:rPr>
        <w:t>У  Брчко дистрикту БиХ  постоје</w:t>
      </w:r>
      <w:r w:rsidR="00752F04">
        <w:rPr>
          <w:rFonts w:ascii="Times New Roman" w:eastAsia="Times New Roman" w:hAnsi="Times New Roman" w:cs="Times New Roman"/>
          <w:bCs/>
          <w:sz w:val="24"/>
          <w:szCs w:val="24"/>
          <w:lang w:val="sr-Cyrl-RS" w:eastAsia="hr-HR"/>
        </w:rPr>
        <w:t xml:space="preserve"> </w:t>
      </w:r>
      <w:r w:rsidRPr="00EA0FD7">
        <w:rPr>
          <w:rFonts w:ascii="Times New Roman" w:eastAsia="Times New Roman" w:hAnsi="Times New Roman" w:cs="Times New Roman"/>
          <w:bCs/>
          <w:sz w:val="24"/>
          <w:szCs w:val="24"/>
          <w:lang w:val="sr-Cyrl-RS" w:eastAsia="hr-HR"/>
        </w:rPr>
        <w:t>два ванбуџетска фонда и то: Фонд здравственог осигурања Брчко дистрикта БиХ и Завод за запошљавање Брчко дистрикта БиХ и три ванбуџетска корисника, који су обвезници примјене буџетског рачуноводства: Развојно-гарантни фонд Брчко дистрикта БиХ, Завод за планирање, пројектовање и развој Брчко дистрикта БиХ и Радио</w:t>
      </w:r>
      <w:r w:rsidR="00752F04">
        <w:rPr>
          <w:rFonts w:ascii="Times New Roman" w:eastAsia="Times New Roman" w:hAnsi="Times New Roman" w:cs="Times New Roman"/>
          <w:bCs/>
          <w:sz w:val="24"/>
          <w:szCs w:val="24"/>
          <w:lang w:val="sr-Cyrl-RS" w:eastAsia="hr-HR"/>
        </w:rPr>
        <w:t>-</w:t>
      </w:r>
      <w:r w:rsidRPr="00EA0FD7">
        <w:rPr>
          <w:rFonts w:ascii="Times New Roman" w:eastAsia="Times New Roman" w:hAnsi="Times New Roman" w:cs="Times New Roman"/>
          <w:bCs/>
          <w:sz w:val="24"/>
          <w:szCs w:val="24"/>
          <w:lang w:val="sr-Cyrl-RS" w:eastAsia="hr-HR"/>
        </w:rPr>
        <w:t>новинска и издавачка установа „Радио Брчко“ Брчко дистрикта БиХ.</w:t>
      </w:r>
    </w:p>
    <w:p w14:paraId="75ADC9CF" w14:textId="77777777" w:rsidR="00EA0FD7" w:rsidRPr="00EA0FD7" w:rsidRDefault="00EA0FD7" w:rsidP="00EA0FD7">
      <w:pPr>
        <w:spacing w:after="0" w:line="240" w:lineRule="auto"/>
        <w:ind w:firstLine="720"/>
        <w:jc w:val="both"/>
        <w:rPr>
          <w:rFonts w:ascii="Times New Roman" w:eastAsia="Times New Roman" w:hAnsi="Times New Roman" w:cs="Times New Roman"/>
          <w:bCs/>
          <w:sz w:val="24"/>
          <w:szCs w:val="24"/>
          <w:highlight w:val="yellow"/>
          <w:lang w:val="sr-Cyrl-RS" w:eastAsia="hr-HR"/>
        </w:rPr>
      </w:pPr>
    </w:p>
    <w:p w14:paraId="2723F81F" w14:textId="214EC612" w:rsidR="00EA0FD7" w:rsidRPr="00EA0FD7" w:rsidRDefault="00EA0FD7" w:rsidP="00EA0FD7">
      <w:pPr>
        <w:spacing w:after="0" w:line="240" w:lineRule="auto"/>
        <w:ind w:firstLine="720"/>
        <w:jc w:val="both"/>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Cs/>
          <w:sz w:val="24"/>
          <w:szCs w:val="24"/>
          <w:lang w:val="sr-Cyrl-RS" w:eastAsia="hr-HR"/>
        </w:rPr>
        <w:t xml:space="preserve">Ванбуџетским фондовима и ванбуџетским корисницима који су обвезници примјене буџетског рачуноводства, упућена је </w:t>
      </w:r>
      <w:r w:rsidR="00752F04">
        <w:rPr>
          <w:rFonts w:ascii="Times New Roman" w:eastAsia="Times New Roman" w:hAnsi="Times New Roman" w:cs="Times New Roman"/>
          <w:bCs/>
          <w:sz w:val="24"/>
          <w:szCs w:val="24"/>
          <w:lang w:val="sr-Cyrl-RS" w:eastAsia="hr-HR"/>
        </w:rPr>
        <w:t>„</w:t>
      </w:r>
      <w:r w:rsidRPr="00EA0FD7">
        <w:rPr>
          <w:rFonts w:ascii="Times New Roman" w:eastAsia="Times New Roman" w:hAnsi="Times New Roman" w:cs="Times New Roman"/>
          <w:bCs/>
          <w:sz w:val="24"/>
          <w:szCs w:val="24"/>
          <w:lang w:val="sr-Cyrl-RS" w:eastAsia="hr-HR"/>
        </w:rPr>
        <w:t xml:space="preserve">Инструкција </w:t>
      </w:r>
      <w:r w:rsidR="00752F04">
        <w:rPr>
          <w:rFonts w:ascii="Times New Roman" w:eastAsia="Times New Roman" w:hAnsi="Times New Roman" w:cs="Times New Roman"/>
          <w:bCs/>
          <w:sz w:val="24"/>
          <w:szCs w:val="24"/>
          <w:lang w:eastAsia="hr-HR"/>
        </w:rPr>
        <w:t>I</w:t>
      </w:r>
      <w:r w:rsidRPr="00EA0FD7">
        <w:rPr>
          <w:rFonts w:ascii="Times New Roman" w:eastAsia="Times New Roman" w:hAnsi="Times New Roman" w:cs="Times New Roman"/>
          <w:bCs/>
          <w:sz w:val="24"/>
          <w:szCs w:val="24"/>
          <w:lang w:val="sr-Cyrl-RS" w:eastAsia="hr-HR"/>
        </w:rPr>
        <w:t xml:space="preserve"> за израду Документа оквирног буџета 2023</w:t>
      </w:r>
      <w:r w:rsidR="00752F04">
        <w:rPr>
          <w:rFonts w:ascii="Times New Roman" w:eastAsia="Times New Roman" w:hAnsi="Times New Roman" w:cs="Times New Roman"/>
          <w:bCs/>
          <w:sz w:val="24"/>
          <w:szCs w:val="24"/>
          <w:lang w:val="sr-Cyrl-RS" w:eastAsia="hr-HR"/>
        </w:rPr>
        <w:t>–</w:t>
      </w:r>
      <w:r w:rsidRPr="00EA0FD7">
        <w:rPr>
          <w:rFonts w:ascii="Times New Roman" w:eastAsia="Times New Roman" w:hAnsi="Times New Roman" w:cs="Times New Roman"/>
          <w:bCs/>
          <w:sz w:val="24"/>
          <w:szCs w:val="24"/>
          <w:lang w:val="sr-Cyrl-RS" w:eastAsia="hr-HR"/>
        </w:rPr>
        <w:t>2025. године”, на основу које су они доставили своје финансијске планове. У табелама 4.4, 4.5, 4.6, 4.7, 4.8, 4.9, 4.10,4.11, 4.12. и 4.13.</w:t>
      </w:r>
      <w:r w:rsidR="00752F04">
        <w:rPr>
          <w:rFonts w:ascii="Times New Roman" w:eastAsia="Times New Roman" w:hAnsi="Times New Roman" w:cs="Times New Roman"/>
          <w:bCs/>
          <w:sz w:val="24"/>
          <w:szCs w:val="24"/>
          <w:lang w:val="sr-Cyrl-RS" w:eastAsia="hr-HR"/>
        </w:rPr>
        <w:t xml:space="preserve"> </w:t>
      </w:r>
      <w:r w:rsidRPr="00EA0FD7">
        <w:rPr>
          <w:rFonts w:ascii="Times New Roman" w:eastAsia="Times New Roman" w:hAnsi="Times New Roman" w:cs="Times New Roman"/>
          <w:bCs/>
          <w:sz w:val="24"/>
          <w:szCs w:val="24"/>
          <w:lang w:val="sr-Cyrl-RS" w:eastAsia="hr-HR"/>
        </w:rPr>
        <w:t xml:space="preserve">приказани су планирани расходи ванбуџетских фондова и ванбуџетских корисника, који су обвезници примјене буџетског рачуноводства по економској класификацији и по извору финансирања. У табели 4.14. </w:t>
      </w:r>
      <w:r w:rsidR="00752F04">
        <w:rPr>
          <w:rFonts w:ascii="Times New Roman" w:eastAsia="Times New Roman" w:hAnsi="Times New Roman" w:cs="Times New Roman"/>
          <w:bCs/>
          <w:sz w:val="24"/>
          <w:szCs w:val="24"/>
          <w:lang w:val="sr-Cyrl-RS" w:eastAsia="hr-HR"/>
        </w:rPr>
        <w:t>„</w:t>
      </w:r>
      <w:r w:rsidRPr="00EA0FD7">
        <w:rPr>
          <w:rFonts w:ascii="Times New Roman" w:eastAsia="Times New Roman" w:hAnsi="Times New Roman" w:cs="Times New Roman"/>
          <w:bCs/>
          <w:sz w:val="24"/>
          <w:szCs w:val="24"/>
          <w:lang w:val="sr-Cyrl-RS" w:eastAsia="hr-HR"/>
        </w:rPr>
        <w:t>Консолидовани финансијски план расхода ванбуџетских фондова и ванбуџетских корисника, који су обвезници примјене буџетског рачуноводства 2023–2025. (из властитих извора)” приказан је консолидовани план расхода наведених ванбуџетских фондова и ванбуџетских корисника који су обвезници примјене буџетског рачуноводства у дијелу који се односи на финансирање из њихових властитих извора. У Поглављу 3 (табела 3.13)  дат је приказ прогнозе прихода ванбуџетских фондова и ванбуџетских корисника, који су обвезници примјене буџетског рачуноводства.</w:t>
      </w:r>
    </w:p>
    <w:p w14:paraId="29F282B9"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p>
    <w:tbl>
      <w:tblPr>
        <w:tblW w:w="9660" w:type="dxa"/>
        <w:tblInd w:w="93" w:type="dxa"/>
        <w:tblLook w:val="04A0" w:firstRow="1" w:lastRow="0" w:firstColumn="1" w:lastColumn="0" w:noHBand="0" w:noVBand="1"/>
      </w:tblPr>
      <w:tblGrid>
        <w:gridCol w:w="1189"/>
        <w:gridCol w:w="2097"/>
        <w:gridCol w:w="1349"/>
        <w:gridCol w:w="1370"/>
        <w:gridCol w:w="1304"/>
        <w:gridCol w:w="1304"/>
        <w:gridCol w:w="1304"/>
      </w:tblGrid>
      <w:tr w:rsidR="00EA0FD7" w:rsidRPr="00EA0FD7" w14:paraId="7270E006" w14:textId="77777777" w:rsidTr="00EA0FD7">
        <w:trPr>
          <w:trHeight w:val="450"/>
        </w:trPr>
        <w:tc>
          <w:tcPr>
            <w:tcW w:w="9660" w:type="dxa"/>
            <w:gridSpan w:val="7"/>
            <w:vMerge w:val="restart"/>
            <w:vAlign w:val="bottom"/>
            <w:hideMark/>
          </w:tcPr>
          <w:p w14:paraId="578DB54B" w14:textId="55E80D81" w:rsidR="00EA0FD7" w:rsidRPr="00EA0FD7" w:rsidRDefault="00EA0FD7" w:rsidP="00EA0FD7">
            <w:pPr>
              <w:spacing w:after="0" w:line="240" w:lineRule="auto"/>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Табела 4.4.</w:t>
            </w:r>
            <w:r w:rsidRPr="00EA0FD7">
              <w:rPr>
                <w:rFonts w:ascii="Arial" w:eastAsia="Times New Roman" w:hAnsi="Arial" w:cs="Arial"/>
                <w:sz w:val="20"/>
                <w:szCs w:val="20"/>
                <w:lang w:val="sr-Cyrl-RS"/>
              </w:rPr>
              <w:t xml:space="preserve"> Финансијски план расхода Фонда здравственог осигурања Брчко дистрикта БиХ </w:t>
            </w:r>
            <w:r w:rsidR="00752F04">
              <w:rPr>
                <w:rFonts w:ascii="Arial" w:eastAsia="Times New Roman" w:hAnsi="Arial" w:cs="Arial"/>
                <w:sz w:val="20"/>
                <w:szCs w:val="20"/>
                <w:lang w:val="sr-Cyrl-RS"/>
              </w:rPr>
              <w:t xml:space="preserve">                 </w:t>
            </w:r>
            <w:r w:rsidRPr="00EA0FD7">
              <w:rPr>
                <w:rFonts w:ascii="Arial" w:eastAsia="Times New Roman" w:hAnsi="Arial" w:cs="Arial"/>
                <w:sz w:val="20"/>
                <w:szCs w:val="20"/>
                <w:lang w:val="sr-Cyrl-RS"/>
              </w:rPr>
              <w:t>2023</w:t>
            </w:r>
            <w:r w:rsidR="00752F04">
              <w:rPr>
                <w:rFonts w:ascii="Arial" w:eastAsia="Times New Roman" w:hAnsi="Arial" w:cs="Arial"/>
                <w:sz w:val="20"/>
                <w:szCs w:val="20"/>
                <w:lang w:val="sr-Cyrl-RS"/>
              </w:rPr>
              <w:t>–</w:t>
            </w:r>
            <w:r w:rsidRPr="00EA0FD7">
              <w:rPr>
                <w:rFonts w:ascii="Arial" w:eastAsia="Times New Roman" w:hAnsi="Arial" w:cs="Arial"/>
                <w:sz w:val="20"/>
                <w:szCs w:val="20"/>
                <w:lang w:val="sr-Cyrl-RS"/>
              </w:rPr>
              <w:t xml:space="preserve">2025. године (по економској класификацији) </w:t>
            </w:r>
          </w:p>
        </w:tc>
      </w:tr>
      <w:tr w:rsidR="00EA0FD7" w:rsidRPr="00EA0FD7" w14:paraId="4F884C8F" w14:textId="77777777" w:rsidTr="00EA0FD7">
        <w:trPr>
          <w:trHeight w:val="450"/>
        </w:trPr>
        <w:tc>
          <w:tcPr>
            <w:tcW w:w="0" w:type="auto"/>
            <w:gridSpan w:val="7"/>
            <w:vMerge/>
            <w:vAlign w:val="center"/>
            <w:hideMark/>
          </w:tcPr>
          <w:p w14:paraId="6F4F47F4" w14:textId="77777777" w:rsidR="00EA0FD7" w:rsidRPr="00EA0FD7" w:rsidRDefault="00EA0FD7" w:rsidP="00EA0FD7">
            <w:pPr>
              <w:spacing w:after="0" w:line="240" w:lineRule="auto"/>
              <w:rPr>
                <w:rFonts w:ascii="Arial" w:eastAsia="Times New Roman" w:hAnsi="Arial" w:cs="Arial"/>
                <w:b/>
                <w:bCs/>
                <w:sz w:val="20"/>
                <w:szCs w:val="20"/>
                <w:lang w:val="sr-Cyrl-RS"/>
              </w:rPr>
            </w:pPr>
          </w:p>
        </w:tc>
      </w:tr>
      <w:tr w:rsidR="00EA0FD7" w:rsidRPr="00EA0FD7" w14:paraId="45D8A3BD" w14:textId="77777777" w:rsidTr="00EA0FD7">
        <w:trPr>
          <w:trHeight w:val="270"/>
        </w:trPr>
        <w:tc>
          <w:tcPr>
            <w:tcW w:w="1163" w:type="dxa"/>
            <w:vMerge w:val="restart"/>
            <w:tcBorders>
              <w:top w:val="single" w:sz="8" w:space="0" w:color="auto"/>
              <w:left w:val="single" w:sz="8" w:space="0" w:color="auto"/>
              <w:bottom w:val="single" w:sz="8" w:space="0" w:color="000000"/>
              <w:right w:val="single" w:sz="8" w:space="0" w:color="auto"/>
            </w:tcBorders>
            <w:shd w:val="pct25" w:color="auto" w:fill="CCFFCC"/>
            <w:vAlign w:val="center"/>
            <w:hideMark/>
          </w:tcPr>
          <w:p w14:paraId="3AEDD999"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Економски</w:t>
            </w:r>
            <w:r w:rsidRPr="00EA0FD7">
              <w:rPr>
                <w:rFonts w:ascii="Arial" w:eastAsia="Times New Roman" w:hAnsi="Arial" w:cs="Arial"/>
                <w:b/>
                <w:bCs/>
                <w:sz w:val="18"/>
                <w:szCs w:val="18"/>
                <w:lang w:val="sr-Cyrl-RS"/>
              </w:rPr>
              <w:br/>
              <w:t>код</w:t>
            </w:r>
          </w:p>
        </w:tc>
        <w:tc>
          <w:tcPr>
            <w:tcW w:w="2097" w:type="dxa"/>
            <w:vMerge w:val="restart"/>
            <w:tcBorders>
              <w:top w:val="single" w:sz="8" w:space="0" w:color="auto"/>
              <w:left w:val="single" w:sz="8" w:space="0" w:color="auto"/>
              <w:bottom w:val="single" w:sz="8" w:space="0" w:color="000000"/>
              <w:right w:val="single" w:sz="8" w:space="0" w:color="auto"/>
            </w:tcBorders>
            <w:shd w:val="pct25" w:color="auto" w:fill="CCFFCC"/>
            <w:vAlign w:val="center"/>
            <w:hideMark/>
          </w:tcPr>
          <w:p w14:paraId="51C19FA4"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Економска категорија</w:t>
            </w:r>
          </w:p>
        </w:tc>
        <w:tc>
          <w:tcPr>
            <w:tcW w:w="1349" w:type="dxa"/>
            <w:vMerge w:val="restart"/>
            <w:tcBorders>
              <w:top w:val="single" w:sz="8" w:space="0" w:color="auto"/>
              <w:left w:val="single" w:sz="8" w:space="0" w:color="auto"/>
              <w:bottom w:val="single" w:sz="8" w:space="0" w:color="000000"/>
              <w:right w:val="single" w:sz="8" w:space="0" w:color="auto"/>
            </w:tcBorders>
            <w:shd w:val="pct25" w:color="auto" w:fill="CCFFCC"/>
            <w:vAlign w:val="center"/>
            <w:hideMark/>
          </w:tcPr>
          <w:p w14:paraId="0C164759"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xml:space="preserve">Извршење </w:t>
            </w:r>
            <w:r w:rsidRPr="00EA0FD7">
              <w:rPr>
                <w:rFonts w:ascii="Arial" w:eastAsia="Times New Roman" w:hAnsi="Arial" w:cs="Arial"/>
                <w:b/>
                <w:bCs/>
                <w:sz w:val="18"/>
                <w:szCs w:val="18"/>
                <w:lang w:val="sr-Cyrl-RS"/>
              </w:rPr>
              <w:br/>
              <w:t>2021.</w:t>
            </w:r>
          </w:p>
        </w:tc>
        <w:tc>
          <w:tcPr>
            <w:tcW w:w="1370" w:type="dxa"/>
            <w:vMerge w:val="restart"/>
            <w:tcBorders>
              <w:top w:val="single" w:sz="8" w:space="0" w:color="auto"/>
              <w:left w:val="single" w:sz="8" w:space="0" w:color="auto"/>
              <w:bottom w:val="single" w:sz="8" w:space="0" w:color="000000"/>
              <w:right w:val="single" w:sz="8" w:space="0" w:color="auto"/>
            </w:tcBorders>
            <w:shd w:val="pct25" w:color="auto" w:fill="CCFFCC"/>
            <w:vAlign w:val="center"/>
            <w:hideMark/>
          </w:tcPr>
          <w:p w14:paraId="4DBBE2F8"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Финансијски план</w:t>
            </w:r>
            <w:r w:rsidRPr="00EA0FD7">
              <w:rPr>
                <w:rFonts w:ascii="Arial" w:eastAsia="Times New Roman" w:hAnsi="Arial" w:cs="Arial"/>
                <w:b/>
                <w:bCs/>
                <w:sz w:val="18"/>
                <w:szCs w:val="18"/>
                <w:lang w:val="sr-Cyrl-RS"/>
              </w:rPr>
              <w:br/>
              <w:t>2022.</w:t>
            </w:r>
          </w:p>
        </w:tc>
        <w:tc>
          <w:tcPr>
            <w:tcW w:w="3681" w:type="dxa"/>
            <w:gridSpan w:val="3"/>
            <w:tcBorders>
              <w:top w:val="single" w:sz="8" w:space="0" w:color="auto"/>
              <w:left w:val="nil"/>
              <w:bottom w:val="single" w:sz="8" w:space="0" w:color="auto"/>
              <w:right w:val="single" w:sz="8" w:space="0" w:color="000000"/>
            </w:tcBorders>
            <w:shd w:val="pct25" w:color="auto" w:fill="CCFFCC"/>
            <w:noWrap/>
            <w:vAlign w:val="center"/>
            <w:hideMark/>
          </w:tcPr>
          <w:p w14:paraId="3BFF226E"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Процјена</w:t>
            </w:r>
          </w:p>
        </w:tc>
      </w:tr>
      <w:tr w:rsidR="00EA0FD7" w:rsidRPr="00EA0FD7" w14:paraId="586BEE78" w14:textId="77777777" w:rsidTr="00EA0FD7">
        <w:trPr>
          <w:trHeight w:val="48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30E51F8"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76B556E"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BB961F5"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1EFDDBA"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227" w:type="dxa"/>
            <w:tcBorders>
              <w:top w:val="nil"/>
              <w:left w:val="nil"/>
              <w:bottom w:val="single" w:sz="8" w:space="0" w:color="auto"/>
              <w:right w:val="single" w:sz="4" w:space="0" w:color="auto"/>
            </w:tcBorders>
            <w:shd w:val="pct25" w:color="auto" w:fill="CCFFCC"/>
            <w:noWrap/>
            <w:vAlign w:val="center"/>
            <w:hideMark/>
          </w:tcPr>
          <w:p w14:paraId="2A1A0DCD" w14:textId="732759A2"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2023</w:t>
            </w:r>
            <w:r w:rsidR="00752F04">
              <w:rPr>
                <w:rFonts w:ascii="Arial" w:eastAsia="Times New Roman" w:hAnsi="Arial" w:cs="Arial"/>
                <w:b/>
                <w:bCs/>
                <w:sz w:val="18"/>
                <w:szCs w:val="18"/>
                <w:lang w:val="sr-Cyrl-RS"/>
              </w:rPr>
              <w:t>.</w:t>
            </w:r>
          </w:p>
        </w:tc>
        <w:tc>
          <w:tcPr>
            <w:tcW w:w="1227" w:type="dxa"/>
            <w:tcBorders>
              <w:top w:val="nil"/>
              <w:left w:val="nil"/>
              <w:bottom w:val="single" w:sz="8" w:space="0" w:color="auto"/>
              <w:right w:val="single" w:sz="4" w:space="0" w:color="auto"/>
            </w:tcBorders>
            <w:shd w:val="pct25" w:color="auto" w:fill="CCFFCC"/>
            <w:noWrap/>
            <w:vAlign w:val="center"/>
            <w:hideMark/>
          </w:tcPr>
          <w:p w14:paraId="44903429" w14:textId="7F1F69B6"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2024</w:t>
            </w:r>
            <w:r w:rsidR="00752F04">
              <w:rPr>
                <w:rFonts w:ascii="Arial" w:eastAsia="Times New Roman" w:hAnsi="Arial" w:cs="Arial"/>
                <w:b/>
                <w:bCs/>
                <w:sz w:val="18"/>
                <w:szCs w:val="18"/>
                <w:lang w:val="sr-Cyrl-RS"/>
              </w:rPr>
              <w:t>.</w:t>
            </w:r>
          </w:p>
        </w:tc>
        <w:tc>
          <w:tcPr>
            <w:tcW w:w="1227" w:type="dxa"/>
            <w:tcBorders>
              <w:top w:val="nil"/>
              <w:left w:val="nil"/>
              <w:bottom w:val="single" w:sz="8" w:space="0" w:color="auto"/>
              <w:right w:val="single" w:sz="8" w:space="0" w:color="auto"/>
            </w:tcBorders>
            <w:shd w:val="pct25" w:color="auto" w:fill="CCFFCC"/>
            <w:noWrap/>
            <w:vAlign w:val="center"/>
            <w:hideMark/>
          </w:tcPr>
          <w:p w14:paraId="6B2DD5B2" w14:textId="6E098AD1"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2025</w:t>
            </w:r>
            <w:r w:rsidR="00752F04">
              <w:rPr>
                <w:rFonts w:ascii="Arial" w:eastAsia="Times New Roman" w:hAnsi="Arial" w:cs="Arial"/>
                <w:b/>
                <w:bCs/>
                <w:sz w:val="18"/>
                <w:szCs w:val="18"/>
                <w:lang w:val="sr-Cyrl-RS"/>
              </w:rPr>
              <w:t>.</w:t>
            </w:r>
          </w:p>
        </w:tc>
      </w:tr>
      <w:tr w:rsidR="00EA0FD7" w:rsidRPr="00EA0FD7" w14:paraId="781B19A4" w14:textId="77777777" w:rsidTr="00EA0FD7">
        <w:trPr>
          <w:trHeight w:val="270"/>
        </w:trPr>
        <w:tc>
          <w:tcPr>
            <w:tcW w:w="1163" w:type="dxa"/>
            <w:tcBorders>
              <w:top w:val="nil"/>
              <w:left w:val="single" w:sz="8" w:space="0" w:color="auto"/>
              <w:bottom w:val="single" w:sz="8" w:space="0" w:color="auto"/>
              <w:right w:val="single" w:sz="4" w:space="0" w:color="auto"/>
            </w:tcBorders>
            <w:noWrap/>
            <w:vAlign w:val="bottom"/>
            <w:hideMark/>
          </w:tcPr>
          <w:p w14:paraId="3FA8658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097" w:type="dxa"/>
            <w:tcBorders>
              <w:top w:val="nil"/>
              <w:left w:val="nil"/>
              <w:bottom w:val="single" w:sz="8" w:space="0" w:color="auto"/>
              <w:right w:val="single" w:sz="4" w:space="0" w:color="auto"/>
            </w:tcBorders>
            <w:noWrap/>
            <w:vAlign w:val="bottom"/>
            <w:hideMark/>
          </w:tcPr>
          <w:p w14:paraId="3A4B05F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w:t>
            </w:r>
          </w:p>
        </w:tc>
        <w:tc>
          <w:tcPr>
            <w:tcW w:w="1349" w:type="dxa"/>
            <w:tcBorders>
              <w:top w:val="nil"/>
              <w:left w:val="nil"/>
              <w:bottom w:val="single" w:sz="8" w:space="0" w:color="auto"/>
              <w:right w:val="single" w:sz="4" w:space="0" w:color="auto"/>
            </w:tcBorders>
            <w:noWrap/>
            <w:vAlign w:val="bottom"/>
            <w:hideMark/>
          </w:tcPr>
          <w:p w14:paraId="6B31ABF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70" w:type="dxa"/>
            <w:tcBorders>
              <w:top w:val="nil"/>
              <w:left w:val="nil"/>
              <w:bottom w:val="single" w:sz="8" w:space="0" w:color="auto"/>
              <w:right w:val="single" w:sz="4" w:space="0" w:color="auto"/>
            </w:tcBorders>
            <w:noWrap/>
            <w:vAlign w:val="bottom"/>
            <w:hideMark/>
          </w:tcPr>
          <w:p w14:paraId="6B9F735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27" w:type="dxa"/>
            <w:tcBorders>
              <w:top w:val="nil"/>
              <w:left w:val="nil"/>
              <w:bottom w:val="single" w:sz="8" w:space="0" w:color="auto"/>
              <w:right w:val="single" w:sz="4" w:space="0" w:color="auto"/>
            </w:tcBorders>
            <w:noWrap/>
            <w:vAlign w:val="bottom"/>
            <w:hideMark/>
          </w:tcPr>
          <w:p w14:paraId="5F1851B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27" w:type="dxa"/>
            <w:tcBorders>
              <w:top w:val="nil"/>
              <w:left w:val="nil"/>
              <w:bottom w:val="single" w:sz="8" w:space="0" w:color="auto"/>
              <w:right w:val="single" w:sz="4" w:space="0" w:color="auto"/>
            </w:tcBorders>
            <w:noWrap/>
            <w:vAlign w:val="bottom"/>
            <w:hideMark/>
          </w:tcPr>
          <w:p w14:paraId="4304424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27" w:type="dxa"/>
            <w:tcBorders>
              <w:top w:val="nil"/>
              <w:left w:val="nil"/>
              <w:bottom w:val="single" w:sz="8" w:space="0" w:color="auto"/>
              <w:right w:val="single" w:sz="8" w:space="0" w:color="auto"/>
            </w:tcBorders>
            <w:noWrap/>
            <w:vAlign w:val="bottom"/>
            <w:hideMark/>
          </w:tcPr>
          <w:p w14:paraId="156FABB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2E500C21" w14:textId="77777777" w:rsidTr="00EA0FD7">
        <w:trPr>
          <w:trHeight w:val="300"/>
        </w:trPr>
        <w:tc>
          <w:tcPr>
            <w:tcW w:w="1163" w:type="dxa"/>
            <w:tcBorders>
              <w:top w:val="nil"/>
              <w:left w:val="single" w:sz="8" w:space="0" w:color="auto"/>
              <w:bottom w:val="single" w:sz="4" w:space="0" w:color="auto"/>
              <w:right w:val="single" w:sz="4" w:space="0" w:color="auto"/>
            </w:tcBorders>
            <w:vAlign w:val="bottom"/>
            <w:hideMark/>
          </w:tcPr>
          <w:p w14:paraId="42B38F1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611100</w:t>
            </w:r>
            <w:r w:rsidRPr="00EA0FD7">
              <w:rPr>
                <w:rFonts w:ascii="Arial" w:eastAsia="Times New Roman" w:hAnsi="Arial" w:cs="Arial"/>
                <w:sz w:val="17"/>
                <w:szCs w:val="17"/>
                <w:lang w:val="sr-Cyrl-RS"/>
              </w:rPr>
              <w:br/>
              <w:t>612100</w:t>
            </w:r>
          </w:p>
        </w:tc>
        <w:tc>
          <w:tcPr>
            <w:tcW w:w="2097" w:type="dxa"/>
            <w:tcBorders>
              <w:top w:val="nil"/>
              <w:left w:val="nil"/>
              <w:bottom w:val="single" w:sz="4" w:space="0" w:color="auto"/>
              <w:right w:val="single" w:sz="4" w:space="0" w:color="auto"/>
            </w:tcBorders>
            <w:vAlign w:val="bottom"/>
            <w:hideMark/>
          </w:tcPr>
          <w:p w14:paraId="7D84DEAF"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xml:space="preserve">Бруто плате и доприноси </w:t>
            </w:r>
            <w:r w:rsidRPr="00EA0FD7">
              <w:rPr>
                <w:rFonts w:ascii="Arial" w:eastAsia="Times New Roman" w:hAnsi="Arial" w:cs="Arial"/>
                <w:sz w:val="17"/>
                <w:szCs w:val="17"/>
                <w:lang w:val="sr-Cyrl-RS"/>
              </w:rPr>
              <w:br/>
              <w:t>послодавца</w:t>
            </w:r>
          </w:p>
        </w:tc>
        <w:tc>
          <w:tcPr>
            <w:tcW w:w="1349" w:type="dxa"/>
            <w:tcBorders>
              <w:top w:val="nil"/>
              <w:left w:val="nil"/>
              <w:bottom w:val="single" w:sz="4" w:space="0" w:color="auto"/>
              <w:right w:val="single" w:sz="4" w:space="0" w:color="auto"/>
            </w:tcBorders>
            <w:noWrap/>
            <w:vAlign w:val="bottom"/>
            <w:hideMark/>
          </w:tcPr>
          <w:p w14:paraId="6D5FD96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1,133,202.00</w:t>
            </w:r>
          </w:p>
        </w:tc>
        <w:tc>
          <w:tcPr>
            <w:tcW w:w="1370" w:type="dxa"/>
            <w:tcBorders>
              <w:top w:val="nil"/>
              <w:left w:val="nil"/>
              <w:bottom w:val="single" w:sz="4" w:space="0" w:color="auto"/>
              <w:right w:val="single" w:sz="4" w:space="0" w:color="auto"/>
            </w:tcBorders>
            <w:noWrap/>
            <w:vAlign w:val="bottom"/>
            <w:hideMark/>
          </w:tcPr>
          <w:p w14:paraId="1124521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1,521,953.00</w:t>
            </w:r>
          </w:p>
        </w:tc>
        <w:tc>
          <w:tcPr>
            <w:tcW w:w="1227" w:type="dxa"/>
            <w:tcBorders>
              <w:top w:val="nil"/>
              <w:left w:val="nil"/>
              <w:bottom w:val="single" w:sz="4" w:space="0" w:color="auto"/>
              <w:right w:val="single" w:sz="4" w:space="0" w:color="auto"/>
            </w:tcBorders>
            <w:noWrap/>
            <w:vAlign w:val="bottom"/>
            <w:hideMark/>
          </w:tcPr>
          <w:p w14:paraId="396EC23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1,600,000.00</w:t>
            </w:r>
          </w:p>
        </w:tc>
        <w:tc>
          <w:tcPr>
            <w:tcW w:w="1227" w:type="dxa"/>
            <w:tcBorders>
              <w:top w:val="nil"/>
              <w:left w:val="nil"/>
              <w:bottom w:val="single" w:sz="4" w:space="0" w:color="auto"/>
              <w:right w:val="single" w:sz="4" w:space="0" w:color="auto"/>
            </w:tcBorders>
            <w:noWrap/>
            <w:vAlign w:val="bottom"/>
            <w:hideMark/>
          </w:tcPr>
          <w:p w14:paraId="691E24E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1,650,000.00</w:t>
            </w:r>
          </w:p>
        </w:tc>
        <w:tc>
          <w:tcPr>
            <w:tcW w:w="1227" w:type="dxa"/>
            <w:tcBorders>
              <w:top w:val="nil"/>
              <w:left w:val="nil"/>
              <w:bottom w:val="single" w:sz="4" w:space="0" w:color="auto"/>
              <w:right w:val="single" w:sz="8" w:space="0" w:color="auto"/>
            </w:tcBorders>
            <w:noWrap/>
            <w:vAlign w:val="bottom"/>
            <w:hideMark/>
          </w:tcPr>
          <w:p w14:paraId="447A991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1,700,000.00</w:t>
            </w:r>
          </w:p>
        </w:tc>
      </w:tr>
      <w:tr w:rsidR="00EA0FD7" w:rsidRPr="00EA0FD7" w14:paraId="5E871698" w14:textId="77777777" w:rsidTr="00EA0FD7">
        <w:trPr>
          <w:trHeight w:val="274"/>
        </w:trPr>
        <w:tc>
          <w:tcPr>
            <w:tcW w:w="1163" w:type="dxa"/>
            <w:tcBorders>
              <w:top w:val="nil"/>
              <w:left w:val="single" w:sz="8" w:space="0" w:color="auto"/>
              <w:bottom w:val="single" w:sz="4" w:space="0" w:color="auto"/>
              <w:right w:val="single" w:sz="4" w:space="0" w:color="auto"/>
            </w:tcBorders>
            <w:vAlign w:val="bottom"/>
            <w:hideMark/>
          </w:tcPr>
          <w:p w14:paraId="4FEE22B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611200</w:t>
            </w:r>
          </w:p>
        </w:tc>
        <w:tc>
          <w:tcPr>
            <w:tcW w:w="2097" w:type="dxa"/>
            <w:tcBorders>
              <w:top w:val="nil"/>
              <w:left w:val="nil"/>
              <w:bottom w:val="single" w:sz="4" w:space="0" w:color="auto"/>
              <w:right w:val="single" w:sz="4" w:space="0" w:color="auto"/>
            </w:tcBorders>
            <w:vAlign w:val="bottom"/>
            <w:hideMark/>
          </w:tcPr>
          <w:p w14:paraId="7DB74A7A"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Накнаде трошкова запослених</w:t>
            </w:r>
          </w:p>
        </w:tc>
        <w:tc>
          <w:tcPr>
            <w:tcW w:w="1349" w:type="dxa"/>
            <w:tcBorders>
              <w:top w:val="nil"/>
              <w:left w:val="nil"/>
              <w:bottom w:val="single" w:sz="4" w:space="0" w:color="auto"/>
              <w:right w:val="single" w:sz="4" w:space="0" w:color="auto"/>
            </w:tcBorders>
            <w:noWrap/>
            <w:vAlign w:val="bottom"/>
            <w:hideMark/>
          </w:tcPr>
          <w:p w14:paraId="7BB135C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135,824.00</w:t>
            </w:r>
          </w:p>
        </w:tc>
        <w:tc>
          <w:tcPr>
            <w:tcW w:w="1370" w:type="dxa"/>
            <w:tcBorders>
              <w:top w:val="nil"/>
              <w:left w:val="nil"/>
              <w:bottom w:val="single" w:sz="4" w:space="0" w:color="auto"/>
              <w:right w:val="single" w:sz="4" w:space="0" w:color="auto"/>
            </w:tcBorders>
            <w:noWrap/>
            <w:vAlign w:val="bottom"/>
            <w:hideMark/>
          </w:tcPr>
          <w:p w14:paraId="5868550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80,000.00</w:t>
            </w:r>
          </w:p>
        </w:tc>
        <w:tc>
          <w:tcPr>
            <w:tcW w:w="1227" w:type="dxa"/>
            <w:tcBorders>
              <w:top w:val="nil"/>
              <w:left w:val="nil"/>
              <w:bottom w:val="single" w:sz="4" w:space="0" w:color="auto"/>
              <w:right w:val="single" w:sz="4" w:space="0" w:color="auto"/>
            </w:tcBorders>
            <w:noWrap/>
            <w:vAlign w:val="bottom"/>
            <w:hideMark/>
          </w:tcPr>
          <w:p w14:paraId="3592C9A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80,000.00</w:t>
            </w:r>
          </w:p>
        </w:tc>
        <w:tc>
          <w:tcPr>
            <w:tcW w:w="1227" w:type="dxa"/>
            <w:tcBorders>
              <w:top w:val="nil"/>
              <w:left w:val="nil"/>
              <w:bottom w:val="single" w:sz="4" w:space="0" w:color="auto"/>
              <w:right w:val="single" w:sz="4" w:space="0" w:color="auto"/>
            </w:tcBorders>
            <w:noWrap/>
            <w:vAlign w:val="bottom"/>
            <w:hideMark/>
          </w:tcPr>
          <w:p w14:paraId="5B4E086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80,000.00</w:t>
            </w:r>
          </w:p>
        </w:tc>
        <w:tc>
          <w:tcPr>
            <w:tcW w:w="1227" w:type="dxa"/>
            <w:tcBorders>
              <w:top w:val="nil"/>
              <w:left w:val="nil"/>
              <w:bottom w:val="single" w:sz="4" w:space="0" w:color="auto"/>
              <w:right w:val="single" w:sz="8" w:space="0" w:color="auto"/>
            </w:tcBorders>
            <w:noWrap/>
            <w:vAlign w:val="bottom"/>
            <w:hideMark/>
          </w:tcPr>
          <w:p w14:paraId="5BA4DB8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80,000.00</w:t>
            </w:r>
          </w:p>
        </w:tc>
      </w:tr>
      <w:tr w:rsidR="00EA0FD7" w:rsidRPr="00EA0FD7" w14:paraId="0622DD8A" w14:textId="77777777" w:rsidTr="00EA0FD7">
        <w:trPr>
          <w:trHeight w:val="589"/>
        </w:trPr>
        <w:tc>
          <w:tcPr>
            <w:tcW w:w="1163" w:type="dxa"/>
            <w:tcBorders>
              <w:top w:val="nil"/>
              <w:left w:val="single" w:sz="8" w:space="0" w:color="auto"/>
              <w:bottom w:val="single" w:sz="4" w:space="0" w:color="auto"/>
              <w:right w:val="single" w:sz="4" w:space="0" w:color="auto"/>
            </w:tcBorders>
            <w:noWrap/>
            <w:vAlign w:val="bottom"/>
            <w:hideMark/>
          </w:tcPr>
          <w:p w14:paraId="7F7AC0C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613000</w:t>
            </w:r>
          </w:p>
        </w:tc>
        <w:tc>
          <w:tcPr>
            <w:tcW w:w="2097" w:type="dxa"/>
            <w:tcBorders>
              <w:top w:val="nil"/>
              <w:left w:val="nil"/>
              <w:bottom w:val="single" w:sz="4" w:space="0" w:color="auto"/>
              <w:right w:val="single" w:sz="4" w:space="0" w:color="auto"/>
            </w:tcBorders>
            <w:vAlign w:val="bottom"/>
            <w:hideMark/>
          </w:tcPr>
          <w:p w14:paraId="234259ED"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материјал, робе, ситан инвентар и услуге</w:t>
            </w:r>
          </w:p>
        </w:tc>
        <w:tc>
          <w:tcPr>
            <w:tcW w:w="1349" w:type="dxa"/>
            <w:tcBorders>
              <w:top w:val="nil"/>
              <w:left w:val="nil"/>
              <w:bottom w:val="single" w:sz="4" w:space="0" w:color="auto"/>
              <w:right w:val="single" w:sz="4" w:space="0" w:color="auto"/>
            </w:tcBorders>
            <w:noWrap/>
            <w:vAlign w:val="bottom"/>
            <w:hideMark/>
          </w:tcPr>
          <w:p w14:paraId="4380A57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43,225,325.00</w:t>
            </w:r>
          </w:p>
        </w:tc>
        <w:tc>
          <w:tcPr>
            <w:tcW w:w="1370" w:type="dxa"/>
            <w:tcBorders>
              <w:top w:val="nil"/>
              <w:left w:val="nil"/>
              <w:bottom w:val="single" w:sz="4" w:space="0" w:color="auto"/>
              <w:right w:val="single" w:sz="4" w:space="0" w:color="auto"/>
            </w:tcBorders>
            <w:noWrap/>
            <w:vAlign w:val="bottom"/>
            <w:hideMark/>
          </w:tcPr>
          <w:p w14:paraId="39580A2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43,793,620.00</w:t>
            </w:r>
          </w:p>
        </w:tc>
        <w:tc>
          <w:tcPr>
            <w:tcW w:w="1227" w:type="dxa"/>
            <w:tcBorders>
              <w:top w:val="nil"/>
              <w:left w:val="nil"/>
              <w:bottom w:val="single" w:sz="4" w:space="0" w:color="auto"/>
              <w:right w:val="single" w:sz="4" w:space="0" w:color="auto"/>
            </w:tcBorders>
            <w:noWrap/>
            <w:vAlign w:val="bottom"/>
            <w:hideMark/>
          </w:tcPr>
          <w:p w14:paraId="0189C6F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42,495,000.00</w:t>
            </w:r>
          </w:p>
        </w:tc>
        <w:tc>
          <w:tcPr>
            <w:tcW w:w="1227" w:type="dxa"/>
            <w:tcBorders>
              <w:top w:val="nil"/>
              <w:left w:val="nil"/>
              <w:bottom w:val="single" w:sz="4" w:space="0" w:color="auto"/>
              <w:right w:val="single" w:sz="4" w:space="0" w:color="auto"/>
            </w:tcBorders>
            <w:noWrap/>
            <w:vAlign w:val="bottom"/>
            <w:hideMark/>
          </w:tcPr>
          <w:p w14:paraId="1DA3D5C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42,495,000.00</w:t>
            </w:r>
          </w:p>
        </w:tc>
        <w:tc>
          <w:tcPr>
            <w:tcW w:w="1227" w:type="dxa"/>
            <w:tcBorders>
              <w:top w:val="nil"/>
              <w:left w:val="nil"/>
              <w:bottom w:val="single" w:sz="4" w:space="0" w:color="auto"/>
              <w:right w:val="single" w:sz="8" w:space="0" w:color="auto"/>
            </w:tcBorders>
            <w:noWrap/>
            <w:vAlign w:val="bottom"/>
            <w:hideMark/>
          </w:tcPr>
          <w:p w14:paraId="314D863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42,495,000.00</w:t>
            </w:r>
          </w:p>
        </w:tc>
      </w:tr>
      <w:tr w:rsidR="00EA0FD7" w:rsidRPr="00EA0FD7" w14:paraId="6340531A" w14:textId="77777777" w:rsidTr="00EA0FD7">
        <w:trPr>
          <w:trHeight w:val="346"/>
        </w:trPr>
        <w:tc>
          <w:tcPr>
            <w:tcW w:w="1163" w:type="dxa"/>
            <w:tcBorders>
              <w:top w:val="nil"/>
              <w:left w:val="single" w:sz="8" w:space="0" w:color="auto"/>
              <w:bottom w:val="single" w:sz="4" w:space="0" w:color="auto"/>
              <w:right w:val="single" w:sz="4" w:space="0" w:color="auto"/>
            </w:tcBorders>
            <w:noWrap/>
            <w:vAlign w:val="bottom"/>
            <w:hideMark/>
          </w:tcPr>
          <w:p w14:paraId="0299A20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614000</w:t>
            </w:r>
          </w:p>
        </w:tc>
        <w:tc>
          <w:tcPr>
            <w:tcW w:w="2097" w:type="dxa"/>
            <w:tcBorders>
              <w:top w:val="nil"/>
              <w:left w:val="nil"/>
              <w:bottom w:val="single" w:sz="4" w:space="0" w:color="auto"/>
              <w:right w:val="single" w:sz="4" w:space="0" w:color="auto"/>
            </w:tcBorders>
            <w:vAlign w:val="bottom"/>
            <w:hideMark/>
          </w:tcPr>
          <w:p w14:paraId="5AE9D326"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xml:space="preserve">Текући трансфери, </w:t>
            </w:r>
            <w:r w:rsidRPr="00EA0FD7">
              <w:rPr>
                <w:rFonts w:ascii="Arial" w:eastAsia="Times New Roman" w:hAnsi="Arial" w:cs="Arial"/>
                <w:sz w:val="17"/>
                <w:szCs w:val="17"/>
                <w:lang w:val="sr-Cyrl-RS"/>
              </w:rPr>
              <w:br/>
              <w:t>донације и субвенције</w:t>
            </w:r>
          </w:p>
        </w:tc>
        <w:tc>
          <w:tcPr>
            <w:tcW w:w="1349" w:type="dxa"/>
            <w:tcBorders>
              <w:top w:val="nil"/>
              <w:left w:val="nil"/>
              <w:bottom w:val="single" w:sz="4" w:space="0" w:color="auto"/>
              <w:right w:val="single" w:sz="4" w:space="0" w:color="auto"/>
            </w:tcBorders>
            <w:noWrap/>
            <w:vAlign w:val="bottom"/>
            <w:hideMark/>
          </w:tcPr>
          <w:p w14:paraId="575650E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1,509,868.00</w:t>
            </w:r>
          </w:p>
        </w:tc>
        <w:tc>
          <w:tcPr>
            <w:tcW w:w="1370" w:type="dxa"/>
            <w:tcBorders>
              <w:top w:val="nil"/>
              <w:left w:val="nil"/>
              <w:bottom w:val="single" w:sz="4" w:space="0" w:color="auto"/>
              <w:right w:val="single" w:sz="4" w:space="0" w:color="auto"/>
            </w:tcBorders>
            <w:noWrap/>
            <w:vAlign w:val="bottom"/>
            <w:hideMark/>
          </w:tcPr>
          <w:p w14:paraId="2569A86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2,486,427.00</w:t>
            </w:r>
          </w:p>
        </w:tc>
        <w:tc>
          <w:tcPr>
            <w:tcW w:w="1227" w:type="dxa"/>
            <w:tcBorders>
              <w:top w:val="nil"/>
              <w:left w:val="nil"/>
              <w:bottom w:val="single" w:sz="4" w:space="0" w:color="auto"/>
              <w:right w:val="single" w:sz="4" w:space="0" w:color="auto"/>
            </w:tcBorders>
            <w:noWrap/>
            <w:vAlign w:val="bottom"/>
            <w:hideMark/>
          </w:tcPr>
          <w:p w14:paraId="616E10A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2,025,000.00</w:t>
            </w:r>
          </w:p>
        </w:tc>
        <w:tc>
          <w:tcPr>
            <w:tcW w:w="1227" w:type="dxa"/>
            <w:tcBorders>
              <w:top w:val="nil"/>
              <w:left w:val="nil"/>
              <w:bottom w:val="single" w:sz="4" w:space="0" w:color="auto"/>
              <w:right w:val="single" w:sz="4" w:space="0" w:color="auto"/>
            </w:tcBorders>
            <w:noWrap/>
            <w:vAlign w:val="bottom"/>
            <w:hideMark/>
          </w:tcPr>
          <w:p w14:paraId="5682522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2,025,000.00</w:t>
            </w:r>
          </w:p>
        </w:tc>
        <w:tc>
          <w:tcPr>
            <w:tcW w:w="1227" w:type="dxa"/>
            <w:tcBorders>
              <w:top w:val="nil"/>
              <w:left w:val="nil"/>
              <w:bottom w:val="single" w:sz="4" w:space="0" w:color="auto"/>
              <w:right w:val="single" w:sz="8" w:space="0" w:color="auto"/>
            </w:tcBorders>
            <w:noWrap/>
            <w:vAlign w:val="bottom"/>
            <w:hideMark/>
          </w:tcPr>
          <w:p w14:paraId="609585F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2,025,000.00</w:t>
            </w:r>
          </w:p>
        </w:tc>
      </w:tr>
      <w:tr w:rsidR="00EA0FD7" w:rsidRPr="00EA0FD7" w14:paraId="79350867" w14:textId="77777777" w:rsidTr="00EA0FD7">
        <w:trPr>
          <w:trHeight w:val="301"/>
        </w:trPr>
        <w:tc>
          <w:tcPr>
            <w:tcW w:w="1163" w:type="dxa"/>
            <w:tcBorders>
              <w:top w:val="nil"/>
              <w:left w:val="single" w:sz="8" w:space="0" w:color="auto"/>
              <w:bottom w:val="single" w:sz="4" w:space="0" w:color="auto"/>
              <w:right w:val="single" w:sz="4" w:space="0" w:color="auto"/>
            </w:tcBorders>
            <w:noWrap/>
            <w:vAlign w:val="bottom"/>
            <w:hideMark/>
          </w:tcPr>
          <w:p w14:paraId="35C1038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615000</w:t>
            </w:r>
          </w:p>
        </w:tc>
        <w:tc>
          <w:tcPr>
            <w:tcW w:w="2097" w:type="dxa"/>
            <w:tcBorders>
              <w:top w:val="nil"/>
              <w:left w:val="nil"/>
              <w:bottom w:val="single" w:sz="4" w:space="0" w:color="auto"/>
              <w:right w:val="single" w:sz="4" w:space="0" w:color="auto"/>
            </w:tcBorders>
            <w:vAlign w:val="bottom"/>
            <w:hideMark/>
          </w:tcPr>
          <w:p w14:paraId="48B05DC1"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Капитални трансфери и донације</w:t>
            </w:r>
          </w:p>
        </w:tc>
        <w:tc>
          <w:tcPr>
            <w:tcW w:w="1349" w:type="dxa"/>
            <w:tcBorders>
              <w:top w:val="nil"/>
              <w:left w:val="nil"/>
              <w:bottom w:val="single" w:sz="4" w:space="0" w:color="auto"/>
              <w:right w:val="single" w:sz="4" w:space="0" w:color="auto"/>
            </w:tcBorders>
            <w:noWrap/>
            <w:vAlign w:val="bottom"/>
            <w:hideMark/>
          </w:tcPr>
          <w:p w14:paraId="3109928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70" w:type="dxa"/>
            <w:tcBorders>
              <w:top w:val="nil"/>
              <w:left w:val="nil"/>
              <w:bottom w:val="single" w:sz="4" w:space="0" w:color="auto"/>
              <w:right w:val="single" w:sz="4" w:space="0" w:color="auto"/>
            </w:tcBorders>
            <w:noWrap/>
            <w:vAlign w:val="bottom"/>
            <w:hideMark/>
          </w:tcPr>
          <w:p w14:paraId="5747F21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27" w:type="dxa"/>
            <w:tcBorders>
              <w:top w:val="nil"/>
              <w:left w:val="nil"/>
              <w:bottom w:val="single" w:sz="4" w:space="0" w:color="auto"/>
              <w:right w:val="single" w:sz="4" w:space="0" w:color="auto"/>
            </w:tcBorders>
            <w:noWrap/>
            <w:vAlign w:val="bottom"/>
            <w:hideMark/>
          </w:tcPr>
          <w:p w14:paraId="7E1FC93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27" w:type="dxa"/>
            <w:tcBorders>
              <w:top w:val="nil"/>
              <w:left w:val="nil"/>
              <w:bottom w:val="single" w:sz="4" w:space="0" w:color="auto"/>
              <w:right w:val="single" w:sz="4" w:space="0" w:color="auto"/>
            </w:tcBorders>
            <w:noWrap/>
            <w:vAlign w:val="bottom"/>
            <w:hideMark/>
          </w:tcPr>
          <w:p w14:paraId="2476B01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27" w:type="dxa"/>
            <w:tcBorders>
              <w:top w:val="nil"/>
              <w:left w:val="nil"/>
              <w:bottom w:val="single" w:sz="4" w:space="0" w:color="auto"/>
              <w:right w:val="single" w:sz="8" w:space="0" w:color="auto"/>
            </w:tcBorders>
            <w:noWrap/>
            <w:vAlign w:val="bottom"/>
            <w:hideMark/>
          </w:tcPr>
          <w:p w14:paraId="784E919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EA0FD7" w:rsidRPr="00EA0FD7" w14:paraId="35A82B38" w14:textId="77777777" w:rsidTr="00EA0FD7">
        <w:trPr>
          <w:trHeight w:val="255"/>
        </w:trPr>
        <w:tc>
          <w:tcPr>
            <w:tcW w:w="1163" w:type="dxa"/>
            <w:tcBorders>
              <w:top w:val="nil"/>
              <w:left w:val="single" w:sz="8" w:space="0" w:color="auto"/>
              <w:bottom w:val="single" w:sz="4" w:space="0" w:color="auto"/>
              <w:right w:val="single" w:sz="4" w:space="0" w:color="auto"/>
            </w:tcBorders>
            <w:noWrap/>
            <w:vAlign w:val="bottom"/>
            <w:hideMark/>
          </w:tcPr>
          <w:p w14:paraId="029045A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616000</w:t>
            </w:r>
          </w:p>
        </w:tc>
        <w:tc>
          <w:tcPr>
            <w:tcW w:w="2097" w:type="dxa"/>
            <w:tcBorders>
              <w:top w:val="nil"/>
              <w:left w:val="nil"/>
              <w:bottom w:val="single" w:sz="4" w:space="0" w:color="auto"/>
              <w:right w:val="single" w:sz="4" w:space="0" w:color="auto"/>
            </w:tcBorders>
            <w:vAlign w:val="bottom"/>
            <w:hideMark/>
          </w:tcPr>
          <w:p w14:paraId="73CC5F8B"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камате</w:t>
            </w:r>
          </w:p>
        </w:tc>
        <w:tc>
          <w:tcPr>
            <w:tcW w:w="1349" w:type="dxa"/>
            <w:tcBorders>
              <w:top w:val="nil"/>
              <w:left w:val="nil"/>
              <w:bottom w:val="single" w:sz="4" w:space="0" w:color="auto"/>
              <w:right w:val="single" w:sz="4" w:space="0" w:color="auto"/>
            </w:tcBorders>
            <w:noWrap/>
            <w:vAlign w:val="bottom"/>
            <w:hideMark/>
          </w:tcPr>
          <w:p w14:paraId="027A55D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70" w:type="dxa"/>
            <w:tcBorders>
              <w:top w:val="nil"/>
              <w:left w:val="nil"/>
              <w:bottom w:val="single" w:sz="4" w:space="0" w:color="auto"/>
              <w:right w:val="single" w:sz="4" w:space="0" w:color="auto"/>
            </w:tcBorders>
            <w:noWrap/>
            <w:vAlign w:val="bottom"/>
            <w:hideMark/>
          </w:tcPr>
          <w:p w14:paraId="2A3B7A0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27" w:type="dxa"/>
            <w:tcBorders>
              <w:top w:val="nil"/>
              <w:left w:val="nil"/>
              <w:bottom w:val="single" w:sz="4" w:space="0" w:color="auto"/>
              <w:right w:val="single" w:sz="4" w:space="0" w:color="auto"/>
            </w:tcBorders>
            <w:noWrap/>
            <w:vAlign w:val="bottom"/>
            <w:hideMark/>
          </w:tcPr>
          <w:p w14:paraId="46C4905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27" w:type="dxa"/>
            <w:tcBorders>
              <w:top w:val="nil"/>
              <w:left w:val="nil"/>
              <w:bottom w:val="single" w:sz="4" w:space="0" w:color="auto"/>
              <w:right w:val="single" w:sz="4" w:space="0" w:color="auto"/>
            </w:tcBorders>
            <w:noWrap/>
            <w:vAlign w:val="bottom"/>
            <w:hideMark/>
          </w:tcPr>
          <w:p w14:paraId="7DE1725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27" w:type="dxa"/>
            <w:tcBorders>
              <w:top w:val="nil"/>
              <w:left w:val="nil"/>
              <w:bottom w:val="single" w:sz="4" w:space="0" w:color="auto"/>
              <w:right w:val="single" w:sz="8" w:space="0" w:color="auto"/>
            </w:tcBorders>
            <w:noWrap/>
            <w:vAlign w:val="bottom"/>
            <w:hideMark/>
          </w:tcPr>
          <w:p w14:paraId="4CECDB5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EA0FD7" w:rsidRPr="00EA0FD7" w14:paraId="48AB364E" w14:textId="77777777" w:rsidTr="00EA0FD7">
        <w:trPr>
          <w:trHeight w:val="355"/>
        </w:trPr>
        <w:tc>
          <w:tcPr>
            <w:tcW w:w="1163" w:type="dxa"/>
            <w:tcBorders>
              <w:top w:val="nil"/>
              <w:left w:val="single" w:sz="8" w:space="0" w:color="auto"/>
              <w:bottom w:val="single" w:sz="4" w:space="0" w:color="auto"/>
              <w:right w:val="single" w:sz="4" w:space="0" w:color="auto"/>
            </w:tcBorders>
            <w:noWrap/>
            <w:vAlign w:val="bottom"/>
            <w:hideMark/>
          </w:tcPr>
          <w:p w14:paraId="0F8ED22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821000</w:t>
            </w:r>
          </w:p>
        </w:tc>
        <w:tc>
          <w:tcPr>
            <w:tcW w:w="2097" w:type="dxa"/>
            <w:tcBorders>
              <w:top w:val="nil"/>
              <w:left w:val="nil"/>
              <w:bottom w:val="single" w:sz="4" w:space="0" w:color="auto"/>
              <w:right w:val="single" w:sz="4" w:space="0" w:color="auto"/>
            </w:tcBorders>
            <w:vAlign w:val="bottom"/>
            <w:hideMark/>
          </w:tcPr>
          <w:p w14:paraId="752198C1"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xml:space="preserve">Издаци за набавку </w:t>
            </w:r>
            <w:r w:rsidRPr="00EA0FD7">
              <w:rPr>
                <w:rFonts w:ascii="Arial" w:eastAsia="Times New Roman" w:hAnsi="Arial" w:cs="Arial"/>
                <w:sz w:val="17"/>
                <w:szCs w:val="17"/>
                <w:lang w:val="sr-Cyrl-RS"/>
              </w:rPr>
              <w:br/>
              <w:t>сталних средстава</w:t>
            </w:r>
          </w:p>
        </w:tc>
        <w:tc>
          <w:tcPr>
            <w:tcW w:w="1349" w:type="dxa"/>
            <w:tcBorders>
              <w:top w:val="nil"/>
              <w:left w:val="nil"/>
              <w:bottom w:val="single" w:sz="4" w:space="0" w:color="auto"/>
              <w:right w:val="single" w:sz="4" w:space="0" w:color="auto"/>
            </w:tcBorders>
            <w:noWrap/>
            <w:vAlign w:val="bottom"/>
            <w:hideMark/>
          </w:tcPr>
          <w:p w14:paraId="24EE1BD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38,039.00</w:t>
            </w:r>
          </w:p>
        </w:tc>
        <w:tc>
          <w:tcPr>
            <w:tcW w:w="1370" w:type="dxa"/>
            <w:tcBorders>
              <w:top w:val="nil"/>
              <w:left w:val="nil"/>
              <w:bottom w:val="single" w:sz="4" w:space="0" w:color="auto"/>
              <w:right w:val="single" w:sz="4" w:space="0" w:color="auto"/>
            </w:tcBorders>
            <w:noWrap/>
            <w:vAlign w:val="bottom"/>
            <w:hideMark/>
          </w:tcPr>
          <w:p w14:paraId="5DAF37D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500,000.00</w:t>
            </w:r>
          </w:p>
        </w:tc>
        <w:tc>
          <w:tcPr>
            <w:tcW w:w="1227" w:type="dxa"/>
            <w:tcBorders>
              <w:top w:val="nil"/>
              <w:left w:val="nil"/>
              <w:bottom w:val="single" w:sz="4" w:space="0" w:color="auto"/>
              <w:right w:val="single" w:sz="4" w:space="0" w:color="auto"/>
            </w:tcBorders>
            <w:noWrap/>
            <w:vAlign w:val="bottom"/>
            <w:hideMark/>
          </w:tcPr>
          <w:p w14:paraId="25FEDF9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350,000.00</w:t>
            </w:r>
          </w:p>
        </w:tc>
        <w:tc>
          <w:tcPr>
            <w:tcW w:w="1227" w:type="dxa"/>
            <w:tcBorders>
              <w:top w:val="nil"/>
              <w:left w:val="nil"/>
              <w:bottom w:val="single" w:sz="4" w:space="0" w:color="auto"/>
              <w:right w:val="single" w:sz="4" w:space="0" w:color="auto"/>
            </w:tcBorders>
            <w:noWrap/>
            <w:vAlign w:val="bottom"/>
            <w:hideMark/>
          </w:tcPr>
          <w:p w14:paraId="3DD3A60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350,000.00</w:t>
            </w:r>
          </w:p>
        </w:tc>
        <w:tc>
          <w:tcPr>
            <w:tcW w:w="1227" w:type="dxa"/>
            <w:tcBorders>
              <w:top w:val="nil"/>
              <w:left w:val="nil"/>
              <w:bottom w:val="single" w:sz="4" w:space="0" w:color="auto"/>
              <w:right w:val="single" w:sz="8" w:space="0" w:color="auto"/>
            </w:tcBorders>
            <w:noWrap/>
            <w:vAlign w:val="bottom"/>
            <w:hideMark/>
          </w:tcPr>
          <w:p w14:paraId="7B961B8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350,000.00</w:t>
            </w:r>
          </w:p>
        </w:tc>
      </w:tr>
      <w:tr w:rsidR="00EA0FD7" w:rsidRPr="00EA0FD7" w14:paraId="746461E7" w14:textId="77777777" w:rsidTr="00EA0FD7">
        <w:trPr>
          <w:trHeight w:val="480"/>
        </w:trPr>
        <w:tc>
          <w:tcPr>
            <w:tcW w:w="1163" w:type="dxa"/>
            <w:tcBorders>
              <w:top w:val="nil"/>
              <w:left w:val="single" w:sz="8" w:space="0" w:color="auto"/>
              <w:bottom w:val="single" w:sz="4" w:space="0" w:color="auto"/>
              <w:right w:val="single" w:sz="4" w:space="0" w:color="auto"/>
            </w:tcBorders>
            <w:noWrap/>
            <w:vAlign w:val="bottom"/>
            <w:hideMark/>
          </w:tcPr>
          <w:p w14:paraId="6B4F189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822000</w:t>
            </w:r>
          </w:p>
        </w:tc>
        <w:tc>
          <w:tcPr>
            <w:tcW w:w="2097" w:type="dxa"/>
            <w:tcBorders>
              <w:top w:val="nil"/>
              <w:left w:val="nil"/>
              <w:bottom w:val="single" w:sz="4" w:space="0" w:color="auto"/>
              <w:right w:val="single" w:sz="4" w:space="0" w:color="auto"/>
            </w:tcBorders>
            <w:vAlign w:val="bottom"/>
            <w:hideMark/>
          </w:tcPr>
          <w:p w14:paraId="546F32EB"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финансијску имовину</w:t>
            </w:r>
          </w:p>
        </w:tc>
        <w:tc>
          <w:tcPr>
            <w:tcW w:w="1349" w:type="dxa"/>
            <w:tcBorders>
              <w:top w:val="nil"/>
              <w:left w:val="nil"/>
              <w:bottom w:val="single" w:sz="4" w:space="0" w:color="auto"/>
              <w:right w:val="single" w:sz="4" w:space="0" w:color="auto"/>
            </w:tcBorders>
            <w:noWrap/>
            <w:vAlign w:val="bottom"/>
            <w:hideMark/>
          </w:tcPr>
          <w:p w14:paraId="4901481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70" w:type="dxa"/>
            <w:tcBorders>
              <w:top w:val="nil"/>
              <w:left w:val="nil"/>
              <w:bottom w:val="single" w:sz="4" w:space="0" w:color="auto"/>
              <w:right w:val="single" w:sz="4" w:space="0" w:color="auto"/>
            </w:tcBorders>
            <w:noWrap/>
            <w:vAlign w:val="bottom"/>
            <w:hideMark/>
          </w:tcPr>
          <w:p w14:paraId="5137C20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27" w:type="dxa"/>
            <w:tcBorders>
              <w:top w:val="nil"/>
              <w:left w:val="nil"/>
              <w:bottom w:val="single" w:sz="4" w:space="0" w:color="auto"/>
              <w:right w:val="single" w:sz="4" w:space="0" w:color="auto"/>
            </w:tcBorders>
            <w:noWrap/>
            <w:vAlign w:val="bottom"/>
            <w:hideMark/>
          </w:tcPr>
          <w:p w14:paraId="631C0D7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27" w:type="dxa"/>
            <w:tcBorders>
              <w:top w:val="nil"/>
              <w:left w:val="nil"/>
              <w:bottom w:val="single" w:sz="4" w:space="0" w:color="auto"/>
              <w:right w:val="single" w:sz="4" w:space="0" w:color="auto"/>
            </w:tcBorders>
            <w:noWrap/>
            <w:vAlign w:val="bottom"/>
            <w:hideMark/>
          </w:tcPr>
          <w:p w14:paraId="463D768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27" w:type="dxa"/>
            <w:tcBorders>
              <w:top w:val="nil"/>
              <w:left w:val="nil"/>
              <w:bottom w:val="single" w:sz="4" w:space="0" w:color="auto"/>
              <w:right w:val="single" w:sz="8" w:space="0" w:color="auto"/>
            </w:tcBorders>
            <w:noWrap/>
            <w:vAlign w:val="bottom"/>
            <w:hideMark/>
          </w:tcPr>
          <w:p w14:paraId="3EF9134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EA0FD7" w:rsidRPr="00EA0FD7" w14:paraId="2716EA90" w14:textId="77777777" w:rsidTr="00EA0FD7">
        <w:trPr>
          <w:trHeight w:val="373"/>
        </w:trPr>
        <w:tc>
          <w:tcPr>
            <w:tcW w:w="1163" w:type="dxa"/>
            <w:tcBorders>
              <w:top w:val="nil"/>
              <w:left w:val="single" w:sz="8" w:space="0" w:color="auto"/>
              <w:bottom w:val="nil"/>
              <w:right w:val="single" w:sz="4" w:space="0" w:color="auto"/>
            </w:tcBorders>
            <w:noWrap/>
            <w:vAlign w:val="bottom"/>
            <w:hideMark/>
          </w:tcPr>
          <w:p w14:paraId="4A0CCB1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823000</w:t>
            </w:r>
          </w:p>
        </w:tc>
        <w:tc>
          <w:tcPr>
            <w:tcW w:w="2097" w:type="dxa"/>
            <w:tcBorders>
              <w:top w:val="nil"/>
              <w:left w:val="nil"/>
              <w:bottom w:val="nil"/>
              <w:right w:val="single" w:sz="4" w:space="0" w:color="auto"/>
            </w:tcBorders>
            <w:vAlign w:val="bottom"/>
            <w:hideMark/>
          </w:tcPr>
          <w:p w14:paraId="67D7E1AF"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отплате дугова</w:t>
            </w:r>
          </w:p>
        </w:tc>
        <w:tc>
          <w:tcPr>
            <w:tcW w:w="1349" w:type="dxa"/>
            <w:tcBorders>
              <w:top w:val="nil"/>
              <w:left w:val="nil"/>
              <w:bottom w:val="single" w:sz="4" w:space="0" w:color="auto"/>
              <w:right w:val="single" w:sz="4" w:space="0" w:color="auto"/>
            </w:tcBorders>
            <w:noWrap/>
            <w:vAlign w:val="bottom"/>
            <w:hideMark/>
          </w:tcPr>
          <w:p w14:paraId="5FF9D67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70" w:type="dxa"/>
            <w:tcBorders>
              <w:top w:val="nil"/>
              <w:left w:val="nil"/>
              <w:bottom w:val="single" w:sz="4" w:space="0" w:color="auto"/>
              <w:right w:val="single" w:sz="4" w:space="0" w:color="auto"/>
            </w:tcBorders>
            <w:noWrap/>
            <w:vAlign w:val="bottom"/>
            <w:hideMark/>
          </w:tcPr>
          <w:p w14:paraId="0EA619B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27" w:type="dxa"/>
            <w:tcBorders>
              <w:top w:val="nil"/>
              <w:left w:val="nil"/>
              <w:bottom w:val="single" w:sz="4" w:space="0" w:color="auto"/>
              <w:right w:val="single" w:sz="4" w:space="0" w:color="auto"/>
            </w:tcBorders>
            <w:noWrap/>
            <w:vAlign w:val="bottom"/>
            <w:hideMark/>
          </w:tcPr>
          <w:p w14:paraId="1534F33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27" w:type="dxa"/>
            <w:tcBorders>
              <w:top w:val="nil"/>
              <w:left w:val="nil"/>
              <w:bottom w:val="single" w:sz="4" w:space="0" w:color="auto"/>
              <w:right w:val="single" w:sz="4" w:space="0" w:color="auto"/>
            </w:tcBorders>
            <w:noWrap/>
            <w:vAlign w:val="bottom"/>
            <w:hideMark/>
          </w:tcPr>
          <w:p w14:paraId="2B647E1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27" w:type="dxa"/>
            <w:tcBorders>
              <w:top w:val="nil"/>
              <w:left w:val="nil"/>
              <w:bottom w:val="single" w:sz="4" w:space="0" w:color="auto"/>
              <w:right w:val="single" w:sz="8" w:space="0" w:color="auto"/>
            </w:tcBorders>
            <w:noWrap/>
            <w:vAlign w:val="bottom"/>
            <w:hideMark/>
          </w:tcPr>
          <w:p w14:paraId="4946402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EA0FD7" w:rsidRPr="00EA0FD7" w14:paraId="7D198683" w14:textId="77777777" w:rsidTr="00EA0FD7">
        <w:trPr>
          <w:trHeight w:val="270"/>
        </w:trPr>
        <w:tc>
          <w:tcPr>
            <w:tcW w:w="1163" w:type="dxa"/>
            <w:tcBorders>
              <w:top w:val="single" w:sz="8" w:space="0" w:color="auto"/>
              <w:left w:val="single" w:sz="8" w:space="0" w:color="auto"/>
              <w:bottom w:val="single" w:sz="8" w:space="0" w:color="auto"/>
              <w:right w:val="single" w:sz="4" w:space="0" w:color="auto"/>
            </w:tcBorders>
            <w:noWrap/>
            <w:vAlign w:val="bottom"/>
            <w:hideMark/>
          </w:tcPr>
          <w:p w14:paraId="35314F1C" w14:textId="77777777" w:rsidR="00EA0FD7" w:rsidRPr="00EA0FD7" w:rsidRDefault="00EA0FD7" w:rsidP="00EA0FD7">
            <w:pPr>
              <w:spacing w:after="0" w:line="240" w:lineRule="auto"/>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 </w:t>
            </w:r>
          </w:p>
        </w:tc>
        <w:tc>
          <w:tcPr>
            <w:tcW w:w="2097" w:type="dxa"/>
            <w:tcBorders>
              <w:top w:val="single" w:sz="8" w:space="0" w:color="auto"/>
              <w:left w:val="nil"/>
              <w:bottom w:val="single" w:sz="8" w:space="0" w:color="auto"/>
              <w:right w:val="single" w:sz="4" w:space="0" w:color="auto"/>
            </w:tcBorders>
            <w:noWrap/>
            <w:vAlign w:val="bottom"/>
            <w:hideMark/>
          </w:tcPr>
          <w:p w14:paraId="3FB4B2DF" w14:textId="77777777" w:rsidR="00EA0FD7" w:rsidRPr="00EA0FD7" w:rsidRDefault="00EA0FD7" w:rsidP="00EA0FD7">
            <w:pPr>
              <w:spacing w:after="0" w:line="240" w:lineRule="auto"/>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Укупни расходи</w:t>
            </w:r>
          </w:p>
        </w:tc>
        <w:tc>
          <w:tcPr>
            <w:tcW w:w="1349" w:type="dxa"/>
            <w:tcBorders>
              <w:top w:val="single" w:sz="8" w:space="0" w:color="auto"/>
              <w:left w:val="nil"/>
              <w:bottom w:val="single" w:sz="8" w:space="0" w:color="auto"/>
              <w:right w:val="single" w:sz="4" w:space="0" w:color="auto"/>
            </w:tcBorders>
            <w:noWrap/>
            <w:vAlign w:val="bottom"/>
            <w:hideMark/>
          </w:tcPr>
          <w:p w14:paraId="123EFCB7"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46,042,258.00</w:t>
            </w:r>
          </w:p>
        </w:tc>
        <w:tc>
          <w:tcPr>
            <w:tcW w:w="1370" w:type="dxa"/>
            <w:tcBorders>
              <w:top w:val="single" w:sz="8" w:space="0" w:color="auto"/>
              <w:left w:val="nil"/>
              <w:bottom w:val="single" w:sz="8" w:space="0" w:color="auto"/>
              <w:right w:val="single" w:sz="4" w:space="0" w:color="auto"/>
            </w:tcBorders>
            <w:noWrap/>
            <w:vAlign w:val="bottom"/>
            <w:hideMark/>
          </w:tcPr>
          <w:p w14:paraId="1571BAF2"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48,382,000.00</w:t>
            </w:r>
          </w:p>
        </w:tc>
        <w:tc>
          <w:tcPr>
            <w:tcW w:w="1227" w:type="dxa"/>
            <w:tcBorders>
              <w:top w:val="single" w:sz="8" w:space="0" w:color="auto"/>
              <w:left w:val="nil"/>
              <w:bottom w:val="single" w:sz="8" w:space="0" w:color="auto"/>
              <w:right w:val="single" w:sz="4" w:space="0" w:color="auto"/>
            </w:tcBorders>
            <w:noWrap/>
            <w:vAlign w:val="bottom"/>
            <w:hideMark/>
          </w:tcPr>
          <w:p w14:paraId="471D8DCF"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46,550,000.00</w:t>
            </w:r>
          </w:p>
        </w:tc>
        <w:tc>
          <w:tcPr>
            <w:tcW w:w="1227" w:type="dxa"/>
            <w:tcBorders>
              <w:top w:val="single" w:sz="8" w:space="0" w:color="auto"/>
              <w:left w:val="nil"/>
              <w:bottom w:val="single" w:sz="8" w:space="0" w:color="auto"/>
              <w:right w:val="single" w:sz="4" w:space="0" w:color="auto"/>
            </w:tcBorders>
            <w:noWrap/>
            <w:vAlign w:val="bottom"/>
            <w:hideMark/>
          </w:tcPr>
          <w:p w14:paraId="53D62B5E"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46,600,000.00</w:t>
            </w:r>
          </w:p>
        </w:tc>
        <w:tc>
          <w:tcPr>
            <w:tcW w:w="1227" w:type="dxa"/>
            <w:tcBorders>
              <w:top w:val="single" w:sz="8" w:space="0" w:color="auto"/>
              <w:left w:val="nil"/>
              <w:bottom w:val="single" w:sz="8" w:space="0" w:color="auto"/>
              <w:right w:val="single" w:sz="8" w:space="0" w:color="auto"/>
            </w:tcBorders>
            <w:noWrap/>
            <w:vAlign w:val="bottom"/>
            <w:hideMark/>
          </w:tcPr>
          <w:p w14:paraId="5A4AA7F0"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46,650,000.00</w:t>
            </w:r>
          </w:p>
        </w:tc>
      </w:tr>
      <w:tr w:rsidR="00EA0FD7" w:rsidRPr="00EA0FD7" w14:paraId="5A230236" w14:textId="77777777" w:rsidTr="00EA0FD7">
        <w:trPr>
          <w:trHeight w:val="270"/>
        </w:trPr>
        <w:tc>
          <w:tcPr>
            <w:tcW w:w="9660" w:type="dxa"/>
            <w:gridSpan w:val="7"/>
            <w:tcBorders>
              <w:top w:val="nil"/>
              <w:left w:val="nil"/>
              <w:bottom w:val="single" w:sz="8" w:space="0" w:color="auto"/>
              <w:right w:val="nil"/>
            </w:tcBorders>
            <w:noWrap/>
            <w:vAlign w:val="bottom"/>
            <w:hideMark/>
          </w:tcPr>
          <w:p w14:paraId="574A581C" w14:textId="77777777" w:rsidR="00EA0FD7" w:rsidRPr="00EA0FD7" w:rsidRDefault="00EA0FD7" w:rsidP="00EA0FD7">
            <w:pPr>
              <w:spacing w:after="0" w:line="240" w:lineRule="auto"/>
              <w:jc w:val="center"/>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 </w:t>
            </w:r>
          </w:p>
        </w:tc>
      </w:tr>
      <w:tr w:rsidR="00EA0FD7" w:rsidRPr="00EA0FD7" w14:paraId="7F551AF1" w14:textId="77777777" w:rsidTr="00EA0FD7">
        <w:trPr>
          <w:trHeight w:val="270"/>
        </w:trPr>
        <w:tc>
          <w:tcPr>
            <w:tcW w:w="1163" w:type="dxa"/>
            <w:tcBorders>
              <w:top w:val="nil"/>
              <w:left w:val="single" w:sz="8" w:space="0" w:color="auto"/>
              <w:bottom w:val="single" w:sz="8" w:space="0" w:color="auto"/>
              <w:right w:val="single" w:sz="4" w:space="0" w:color="auto"/>
            </w:tcBorders>
            <w:noWrap/>
            <w:vAlign w:val="bottom"/>
            <w:hideMark/>
          </w:tcPr>
          <w:p w14:paraId="0C18BBDE" w14:textId="77777777" w:rsidR="00EA0FD7" w:rsidRPr="00EA0FD7" w:rsidRDefault="00EA0FD7" w:rsidP="00EA0FD7">
            <w:pPr>
              <w:spacing w:after="0" w:line="240" w:lineRule="auto"/>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lastRenderedPageBreak/>
              <w:t> </w:t>
            </w:r>
          </w:p>
        </w:tc>
        <w:tc>
          <w:tcPr>
            <w:tcW w:w="2097" w:type="dxa"/>
            <w:tcBorders>
              <w:top w:val="nil"/>
              <w:left w:val="nil"/>
              <w:bottom w:val="single" w:sz="8" w:space="0" w:color="auto"/>
              <w:right w:val="single" w:sz="4" w:space="0" w:color="auto"/>
            </w:tcBorders>
            <w:noWrap/>
            <w:vAlign w:val="bottom"/>
            <w:hideMark/>
          </w:tcPr>
          <w:p w14:paraId="2BEBFCDB" w14:textId="77777777" w:rsidR="00EA0FD7" w:rsidRPr="00EA0FD7" w:rsidRDefault="00EA0FD7" w:rsidP="00EA0FD7">
            <w:pPr>
              <w:spacing w:after="0" w:line="240" w:lineRule="auto"/>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БРОЈ ЗАПОСЛЕНИХ</w:t>
            </w:r>
          </w:p>
        </w:tc>
        <w:tc>
          <w:tcPr>
            <w:tcW w:w="1349" w:type="dxa"/>
            <w:tcBorders>
              <w:top w:val="nil"/>
              <w:left w:val="nil"/>
              <w:bottom w:val="single" w:sz="8" w:space="0" w:color="auto"/>
              <w:right w:val="single" w:sz="4" w:space="0" w:color="auto"/>
            </w:tcBorders>
            <w:noWrap/>
            <w:vAlign w:val="bottom"/>
            <w:hideMark/>
          </w:tcPr>
          <w:p w14:paraId="175022CC"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44</w:t>
            </w:r>
          </w:p>
        </w:tc>
        <w:tc>
          <w:tcPr>
            <w:tcW w:w="1370" w:type="dxa"/>
            <w:tcBorders>
              <w:top w:val="nil"/>
              <w:left w:val="nil"/>
              <w:bottom w:val="single" w:sz="8" w:space="0" w:color="auto"/>
              <w:right w:val="single" w:sz="4" w:space="0" w:color="auto"/>
            </w:tcBorders>
            <w:noWrap/>
            <w:vAlign w:val="bottom"/>
            <w:hideMark/>
          </w:tcPr>
          <w:p w14:paraId="7853994A"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46</w:t>
            </w:r>
          </w:p>
        </w:tc>
        <w:tc>
          <w:tcPr>
            <w:tcW w:w="1227" w:type="dxa"/>
            <w:tcBorders>
              <w:top w:val="nil"/>
              <w:left w:val="nil"/>
              <w:bottom w:val="single" w:sz="8" w:space="0" w:color="auto"/>
              <w:right w:val="single" w:sz="4" w:space="0" w:color="auto"/>
            </w:tcBorders>
            <w:noWrap/>
            <w:vAlign w:val="bottom"/>
            <w:hideMark/>
          </w:tcPr>
          <w:p w14:paraId="3A2C9A07"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48</w:t>
            </w:r>
          </w:p>
        </w:tc>
        <w:tc>
          <w:tcPr>
            <w:tcW w:w="1227" w:type="dxa"/>
            <w:tcBorders>
              <w:top w:val="nil"/>
              <w:left w:val="nil"/>
              <w:bottom w:val="single" w:sz="8" w:space="0" w:color="auto"/>
              <w:right w:val="single" w:sz="4" w:space="0" w:color="auto"/>
            </w:tcBorders>
            <w:noWrap/>
            <w:vAlign w:val="bottom"/>
            <w:hideMark/>
          </w:tcPr>
          <w:p w14:paraId="5C1DD8FB"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50</w:t>
            </w:r>
          </w:p>
        </w:tc>
        <w:tc>
          <w:tcPr>
            <w:tcW w:w="1227" w:type="dxa"/>
            <w:tcBorders>
              <w:top w:val="nil"/>
              <w:left w:val="nil"/>
              <w:bottom w:val="single" w:sz="8" w:space="0" w:color="auto"/>
              <w:right w:val="single" w:sz="8" w:space="0" w:color="auto"/>
            </w:tcBorders>
            <w:noWrap/>
            <w:vAlign w:val="bottom"/>
            <w:hideMark/>
          </w:tcPr>
          <w:p w14:paraId="0019F83E"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52</w:t>
            </w:r>
          </w:p>
        </w:tc>
      </w:tr>
    </w:tbl>
    <w:p w14:paraId="7EF78722"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p>
    <w:tbl>
      <w:tblPr>
        <w:tblpPr w:leftFromText="180" w:rightFromText="180" w:vertAnchor="text" w:horzAnchor="margin" w:tblpY="10"/>
        <w:tblW w:w="9891" w:type="dxa"/>
        <w:tblLook w:val="04A0" w:firstRow="1" w:lastRow="0" w:firstColumn="1" w:lastColumn="0" w:noHBand="0" w:noVBand="1"/>
      </w:tblPr>
      <w:tblGrid>
        <w:gridCol w:w="1163"/>
        <w:gridCol w:w="2097"/>
        <w:gridCol w:w="1349"/>
        <w:gridCol w:w="1370"/>
        <w:gridCol w:w="1304"/>
        <w:gridCol w:w="1304"/>
        <w:gridCol w:w="1304"/>
      </w:tblGrid>
      <w:tr w:rsidR="00752F04" w:rsidRPr="00EA0FD7" w14:paraId="2F0DFBA1" w14:textId="77777777" w:rsidTr="00752F04">
        <w:trPr>
          <w:trHeight w:val="450"/>
        </w:trPr>
        <w:tc>
          <w:tcPr>
            <w:tcW w:w="9891" w:type="dxa"/>
            <w:gridSpan w:val="7"/>
            <w:vMerge w:val="restart"/>
            <w:tcBorders>
              <w:top w:val="nil"/>
              <w:left w:val="nil"/>
              <w:bottom w:val="single" w:sz="8" w:space="0" w:color="000000"/>
              <w:right w:val="nil"/>
            </w:tcBorders>
            <w:vAlign w:val="bottom"/>
            <w:hideMark/>
          </w:tcPr>
          <w:p w14:paraId="4BB9B97E" w14:textId="34E3F2EE"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Табела 4.5.</w:t>
            </w:r>
            <w:r w:rsidRPr="00EA0FD7">
              <w:rPr>
                <w:rFonts w:ascii="Arial" w:eastAsia="Times New Roman" w:hAnsi="Arial" w:cs="Arial"/>
                <w:sz w:val="18"/>
                <w:szCs w:val="18"/>
                <w:lang w:val="sr-Cyrl-RS"/>
              </w:rPr>
              <w:t xml:space="preserve"> Финансијски план расхода Фонда здравственог осигурања Брчко дистрикта БиХ 2023</w:t>
            </w:r>
            <w:r>
              <w:rPr>
                <w:rFonts w:ascii="Arial" w:eastAsia="Times New Roman" w:hAnsi="Arial" w:cs="Arial"/>
                <w:sz w:val="18"/>
                <w:szCs w:val="18"/>
                <w:lang w:val="sr-Cyrl-RS"/>
              </w:rPr>
              <w:t>–</w:t>
            </w:r>
            <w:r w:rsidRPr="00EA0FD7">
              <w:rPr>
                <w:rFonts w:ascii="Arial" w:eastAsia="Times New Roman" w:hAnsi="Arial" w:cs="Arial"/>
                <w:sz w:val="18"/>
                <w:szCs w:val="18"/>
                <w:lang w:val="sr-Cyrl-RS"/>
              </w:rPr>
              <w:t>2025. године</w:t>
            </w:r>
            <w:r w:rsidRPr="00EA0FD7">
              <w:rPr>
                <w:rFonts w:ascii="Arial" w:eastAsia="Times New Roman" w:hAnsi="Arial" w:cs="Arial"/>
                <w:sz w:val="18"/>
                <w:szCs w:val="18"/>
                <w:lang w:val="sr-Cyrl-RS"/>
              </w:rPr>
              <w:br/>
              <w:t xml:space="preserve">                          (по извору финансирања) </w:t>
            </w:r>
          </w:p>
        </w:tc>
      </w:tr>
      <w:tr w:rsidR="00752F04" w:rsidRPr="00EA0FD7" w14:paraId="7AFC2F11" w14:textId="77777777" w:rsidTr="00752F04">
        <w:trPr>
          <w:trHeight w:val="450"/>
        </w:trPr>
        <w:tc>
          <w:tcPr>
            <w:tcW w:w="0" w:type="auto"/>
            <w:gridSpan w:val="7"/>
            <w:vMerge/>
            <w:tcBorders>
              <w:top w:val="nil"/>
              <w:left w:val="nil"/>
              <w:bottom w:val="single" w:sz="8" w:space="0" w:color="000000"/>
              <w:right w:val="nil"/>
            </w:tcBorders>
            <w:vAlign w:val="center"/>
            <w:hideMark/>
          </w:tcPr>
          <w:p w14:paraId="467B15B2" w14:textId="77777777" w:rsidR="00752F04" w:rsidRPr="00EA0FD7" w:rsidRDefault="00752F04" w:rsidP="00752F04">
            <w:pPr>
              <w:spacing w:after="0" w:line="240" w:lineRule="auto"/>
              <w:rPr>
                <w:rFonts w:ascii="Arial" w:eastAsia="Times New Roman" w:hAnsi="Arial" w:cs="Arial"/>
                <w:b/>
                <w:bCs/>
                <w:sz w:val="18"/>
                <w:szCs w:val="18"/>
                <w:lang w:val="sr-Cyrl-RS"/>
              </w:rPr>
            </w:pPr>
          </w:p>
        </w:tc>
      </w:tr>
      <w:tr w:rsidR="00752F04" w:rsidRPr="00EA0FD7" w14:paraId="76615ACF" w14:textId="77777777" w:rsidTr="00752F04">
        <w:trPr>
          <w:trHeight w:val="270"/>
        </w:trPr>
        <w:tc>
          <w:tcPr>
            <w:tcW w:w="1163" w:type="dxa"/>
            <w:vMerge w:val="restart"/>
            <w:tcBorders>
              <w:top w:val="nil"/>
              <w:left w:val="single" w:sz="8" w:space="0" w:color="auto"/>
              <w:bottom w:val="single" w:sz="8" w:space="0" w:color="000000"/>
              <w:right w:val="single" w:sz="8" w:space="0" w:color="auto"/>
            </w:tcBorders>
            <w:shd w:val="pct25" w:color="auto" w:fill="CCFFCC"/>
            <w:vAlign w:val="center"/>
            <w:hideMark/>
          </w:tcPr>
          <w:p w14:paraId="37A6A479"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097" w:type="dxa"/>
            <w:vMerge w:val="restart"/>
            <w:tcBorders>
              <w:top w:val="nil"/>
              <w:left w:val="single" w:sz="8" w:space="0" w:color="auto"/>
              <w:bottom w:val="single" w:sz="8" w:space="0" w:color="000000"/>
              <w:right w:val="single" w:sz="8" w:space="0" w:color="auto"/>
            </w:tcBorders>
            <w:shd w:val="pct25" w:color="auto" w:fill="CCFFCC"/>
            <w:vAlign w:val="center"/>
            <w:hideMark/>
          </w:tcPr>
          <w:p w14:paraId="0F009532"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ИЗВОР ФИНАНСИРАЊА</w:t>
            </w:r>
          </w:p>
        </w:tc>
        <w:tc>
          <w:tcPr>
            <w:tcW w:w="1349" w:type="dxa"/>
            <w:vMerge w:val="restart"/>
            <w:tcBorders>
              <w:top w:val="nil"/>
              <w:left w:val="single" w:sz="8" w:space="0" w:color="auto"/>
              <w:bottom w:val="single" w:sz="8" w:space="0" w:color="000000"/>
              <w:right w:val="single" w:sz="8" w:space="0" w:color="auto"/>
            </w:tcBorders>
            <w:shd w:val="pct25" w:color="auto" w:fill="CCFFCC"/>
            <w:vAlign w:val="center"/>
            <w:hideMark/>
          </w:tcPr>
          <w:p w14:paraId="24684D79"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xml:space="preserve">Извршење </w:t>
            </w:r>
            <w:r w:rsidRPr="00EA0FD7">
              <w:rPr>
                <w:rFonts w:ascii="Arial" w:eastAsia="Times New Roman" w:hAnsi="Arial" w:cs="Arial"/>
                <w:b/>
                <w:bCs/>
                <w:sz w:val="18"/>
                <w:szCs w:val="18"/>
                <w:lang w:val="sr-Cyrl-RS"/>
              </w:rPr>
              <w:br/>
              <w:t>2021.</w:t>
            </w:r>
          </w:p>
        </w:tc>
        <w:tc>
          <w:tcPr>
            <w:tcW w:w="1370" w:type="dxa"/>
            <w:vMerge w:val="restart"/>
            <w:tcBorders>
              <w:top w:val="nil"/>
              <w:left w:val="single" w:sz="8" w:space="0" w:color="auto"/>
              <w:bottom w:val="single" w:sz="8" w:space="0" w:color="000000"/>
              <w:right w:val="single" w:sz="8" w:space="0" w:color="auto"/>
            </w:tcBorders>
            <w:shd w:val="pct25" w:color="auto" w:fill="CCFFCC"/>
            <w:vAlign w:val="center"/>
            <w:hideMark/>
          </w:tcPr>
          <w:p w14:paraId="5070D82C"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Финансијски план</w:t>
            </w:r>
            <w:r w:rsidRPr="00EA0FD7">
              <w:rPr>
                <w:rFonts w:ascii="Arial" w:eastAsia="Times New Roman" w:hAnsi="Arial" w:cs="Arial"/>
                <w:b/>
                <w:bCs/>
                <w:sz w:val="18"/>
                <w:szCs w:val="18"/>
                <w:lang w:val="sr-Cyrl-RS"/>
              </w:rPr>
              <w:br/>
              <w:t>2022.</w:t>
            </w:r>
          </w:p>
        </w:tc>
        <w:tc>
          <w:tcPr>
            <w:tcW w:w="3912" w:type="dxa"/>
            <w:gridSpan w:val="3"/>
            <w:tcBorders>
              <w:top w:val="single" w:sz="8" w:space="0" w:color="auto"/>
              <w:left w:val="nil"/>
              <w:bottom w:val="single" w:sz="8" w:space="0" w:color="auto"/>
              <w:right w:val="single" w:sz="8" w:space="0" w:color="000000"/>
            </w:tcBorders>
            <w:shd w:val="pct25" w:color="auto" w:fill="CCFFCC"/>
            <w:noWrap/>
            <w:vAlign w:val="center"/>
            <w:hideMark/>
          </w:tcPr>
          <w:p w14:paraId="1421F930"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Процјена</w:t>
            </w:r>
          </w:p>
        </w:tc>
      </w:tr>
      <w:tr w:rsidR="00752F04" w:rsidRPr="00EA0FD7" w14:paraId="488E0569" w14:textId="77777777" w:rsidTr="00752F04">
        <w:trPr>
          <w:trHeight w:val="480"/>
        </w:trPr>
        <w:tc>
          <w:tcPr>
            <w:tcW w:w="0" w:type="auto"/>
            <w:vMerge/>
            <w:tcBorders>
              <w:top w:val="nil"/>
              <w:left w:val="single" w:sz="8" w:space="0" w:color="auto"/>
              <w:bottom w:val="single" w:sz="8" w:space="0" w:color="000000"/>
              <w:right w:val="single" w:sz="8" w:space="0" w:color="auto"/>
            </w:tcBorders>
            <w:vAlign w:val="center"/>
            <w:hideMark/>
          </w:tcPr>
          <w:p w14:paraId="0FE5B622"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7A88DE6F"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6FCA4F58"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3F52C919"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1304" w:type="dxa"/>
            <w:tcBorders>
              <w:top w:val="nil"/>
              <w:left w:val="nil"/>
              <w:bottom w:val="single" w:sz="8" w:space="0" w:color="auto"/>
              <w:right w:val="single" w:sz="4" w:space="0" w:color="auto"/>
            </w:tcBorders>
            <w:shd w:val="pct25" w:color="auto" w:fill="CCFFCC"/>
            <w:noWrap/>
            <w:vAlign w:val="center"/>
            <w:hideMark/>
          </w:tcPr>
          <w:p w14:paraId="65F98DBC" w14:textId="1FDE9B2E"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2023</w:t>
            </w:r>
            <w:r>
              <w:rPr>
                <w:rFonts w:ascii="Arial" w:eastAsia="Times New Roman" w:hAnsi="Arial" w:cs="Arial"/>
                <w:b/>
                <w:bCs/>
                <w:sz w:val="18"/>
                <w:szCs w:val="18"/>
                <w:lang w:val="sr-Cyrl-RS"/>
              </w:rPr>
              <w:t>.</w:t>
            </w:r>
          </w:p>
        </w:tc>
        <w:tc>
          <w:tcPr>
            <w:tcW w:w="1304" w:type="dxa"/>
            <w:tcBorders>
              <w:top w:val="nil"/>
              <w:left w:val="nil"/>
              <w:bottom w:val="single" w:sz="8" w:space="0" w:color="auto"/>
              <w:right w:val="single" w:sz="4" w:space="0" w:color="auto"/>
            </w:tcBorders>
            <w:shd w:val="pct25" w:color="auto" w:fill="CCFFCC"/>
            <w:noWrap/>
            <w:vAlign w:val="center"/>
            <w:hideMark/>
          </w:tcPr>
          <w:p w14:paraId="31BF5458" w14:textId="39F3F6C6"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2024</w:t>
            </w:r>
            <w:r>
              <w:rPr>
                <w:rFonts w:ascii="Arial" w:eastAsia="Times New Roman" w:hAnsi="Arial" w:cs="Arial"/>
                <w:b/>
                <w:bCs/>
                <w:sz w:val="18"/>
                <w:szCs w:val="18"/>
                <w:lang w:val="sr-Cyrl-RS"/>
              </w:rPr>
              <w:t>.</w:t>
            </w:r>
          </w:p>
        </w:tc>
        <w:tc>
          <w:tcPr>
            <w:tcW w:w="1304" w:type="dxa"/>
            <w:tcBorders>
              <w:top w:val="nil"/>
              <w:left w:val="nil"/>
              <w:bottom w:val="single" w:sz="8" w:space="0" w:color="auto"/>
              <w:right w:val="single" w:sz="8" w:space="0" w:color="auto"/>
            </w:tcBorders>
            <w:shd w:val="pct25" w:color="auto" w:fill="CCFFCC"/>
            <w:noWrap/>
            <w:vAlign w:val="center"/>
            <w:hideMark/>
          </w:tcPr>
          <w:p w14:paraId="14136ECA" w14:textId="5F4ED335"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2025</w:t>
            </w:r>
            <w:r>
              <w:rPr>
                <w:rFonts w:ascii="Arial" w:eastAsia="Times New Roman" w:hAnsi="Arial" w:cs="Arial"/>
                <w:b/>
                <w:bCs/>
                <w:sz w:val="18"/>
                <w:szCs w:val="18"/>
                <w:lang w:val="sr-Cyrl-RS"/>
              </w:rPr>
              <w:t>.</w:t>
            </w:r>
          </w:p>
        </w:tc>
      </w:tr>
      <w:tr w:rsidR="00752F04" w:rsidRPr="00EA0FD7" w14:paraId="248DCDEF" w14:textId="77777777" w:rsidTr="00752F04">
        <w:trPr>
          <w:trHeight w:val="345"/>
        </w:trPr>
        <w:tc>
          <w:tcPr>
            <w:tcW w:w="1163" w:type="dxa"/>
            <w:tcBorders>
              <w:top w:val="nil"/>
              <w:left w:val="single" w:sz="8" w:space="0" w:color="auto"/>
              <w:bottom w:val="single" w:sz="8" w:space="0" w:color="auto"/>
              <w:right w:val="single" w:sz="4" w:space="0" w:color="auto"/>
            </w:tcBorders>
            <w:noWrap/>
            <w:vAlign w:val="bottom"/>
            <w:hideMark/>
          </w:tcPr>
          <w:p w14:paraId="0B7278AC"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097" w:type="dxa"/>
            <w:tcBorders>
              <w:top w:val="nil"/>
              <w:left w:val="nil"/>
              <w:bottom w:val="single" w:sz="8" w:space="0" w:color="auto"/>
              <w:right w:val="single" w:sz="4" w:space="0" w:color="auto"/>
            </w:tcBorders>
            <w:noWrap/>
            <w:vAlign w:val="bottom"/>
            <w:hideMark/>
          </w:tcPr>
          <w:p w14:paraId="418C04B3"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w:t>
            </w:r>
          </w:p>
        </w:tc>
        <w:tc>
          <w:tcPr>
            <w:tcW w:w="1349" w:type="dxa"/>
            <w:tcBorders>
              <w:top w:val="nil"/>
              <w:left w:val="nil"/>
              <w:bottom w:val="single" w:sz="8" w:space="0" w:color="auto"/>
              <w:right w:val="single" w:sz="4" w:space="0" w:color="auto"/>
            </w:tcBorders>
            <w:noWrap/>
            <w:vAlign w:val="bottom"/>
            <w:hideMark/>
          </w:tcPr>
          <w:p w14:paraId="339D12EE"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70" w:type="dxa"/>
            <w:tcBorders>
              <w:top w:val="nil"/>
              <w:left w:val="nil"/>
              <w:bottom w:val="single" w:sz="8" w:space="0" w:color="auto"/>
              <w:right w:val="single" w:sz="4" w:space="0" w:color="auto"/>
            </w:tcBorders>
            <w:noWrap/>
            <w:vAlign w:val="bottom"/>
            <w:hideMark/>
          </w:tcPr>
          <w:p w14:paraId="2BEC0E60"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04" w:type="dxa"/>
            <w:tcBorders>
              <w:top w:val="nil"/>
              <w:left w:val="nil"/>
              <w:bottom w:val="single" w:sz="8" w:space="0" w:color="auto"/>
              <w:right w:val="single" w:sz="4" w:space="0" w:color="auto"/>
            </w:tcBorders>
            <w:noWrap/>
            <w:vAlign w:val="bottom"/>
            <w:hideMark/>
          </w:tcPr>
          <w:p w14:paraId="19F05185"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04" w:type="dxa"/>
            <w:tcBorders>
              <w:top w:val="nil"/>
              <w:left w:val="nil"/>
              <w:bottom w:val="single" w:sz="8" w:space="0" w:color="auto"/>
              <w:right w:val="single" w:sz="4" w:space="0" w:color="auto"/>
            </w:tcBorders>
            <w:noWrap/>
            <w:vAlign w:val="bottom"/>
            <w:hideMark/>
          </w:tcPr>
          <w:p w14:paraId="33740A39"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04" w:type="dxa"/>
            <w:tcBorders>
              <w:top w:val="nil"/>
              <w:left w:val="nil"/>
              <w:bottom w:val="single" w:sz="8" w:space="0" w:color="auto"/>
              <w:right w:val="single" w:sz="8" w:space="0" w:color="auto"/>
            </w:tcBorders>
            <w:noWrap/>
            <w:vAlign w:val="bottom"/>
            <w:hideMark/>
          </w:tcPr>
          <w:p w14:paraId="05B8FB50"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752F04" w:rsidRPr="00EA0FD7" w14:paraId="40605D89" w14:textId="77777777" w:rsidTr="00752F04">
        <w:trPr>
          <w:trHeight w:val="300"/>
        </w:trPr>
        <w:tc>
          <w:tcPr>
            <w:tcW w:w="1163" w:type="dxa"/>
            <w:tcBorders>
              <w:top w:val="nil"/>
              <w:left w:val="single" w:sz="8" w:space="0" w:color="auto"/>
              <w:bottom w:val="single" w:sz="4" w:space="0" w:color="auto"/>
              <w:right w:val="single" w:sz="4" w:space="0" w:color="auto"/>
            </w:tcBorders>
            <w:noWrap/>
            <w:vAlign w:val="bottom"/>
            <w:hideMark/>
          </w:tcPr>
          <w:p w14:paraId="6F220132" w14:textId="77777777" w:rsidR="00752F04" w:rsidRPr="00EA0FD7" w:rsidRDefault="00752F04" w:rsidP="00752F04">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w:t>
            </w:r>
          </w:p>
        </w:tc>
        <w:tc>
          <w:tcPr>
            <w:tcW w:w="2097" w:type="dxa"/>
            <w:tcBorders>
              <w:top w:val="nil"/>
              <w:left w:val="nil"/>
              <w:bottom w:val="single" w:sz="4" w:space="0" w:color="auto"/>
              <w:right w:val="single" w:sz="4" w:space="0" w:color="auto"/>
            </w:tcBorders>
            <w:vAlign w:val="bottom"/>
            <w:hideMark/>
          </w:tcPr>
          <w:p w14:paraId="0694BDEC"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властитих</w:t>
            </w:r>
            <w:r w:rsidRPr="00EA0FD7">
              <w:rPr>
                <w:rFonts w:ascii="Arial" w:eastAsia="Times New Roman" w:hAnsi="Arial" w:cs="Arial"/>
                <w:sz w:val="17"/>
                <w:szCs w:val="17"/>
                <w:lang w:val="sr-Cyrl-RS"/>
              </w:rPr>
              <w:br/>
              <w:t xml:space="preserve"> прихода</w:t>
            </w:r>
          </w:p>
        </w:tc>
        <w:tc>
          <w:tcPr>
            <w:tcW w:w="1349" w:type="dxa"/>
            <w:tcBorders>
              <w:top w:val="single" w:sz="4" w:space="0" w:color="auto"/>
              <w:left w:val="nil"/>
              <w:bottom w:val="single" w:sz="4" w:space="0" w:color="auto"/>
              <w:right w:val="single" w:sz="4" w:space="0" w:color="auto"/>
            </w:tcBorders>
            <w:noWrap/>
            <w:vAlign w:val="bottom"/>
            <w:hideMark/>
          </w:tcPr>
          <w:p w14:paraId="1346C9CC"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34,485,236.00</w:t>
            </w:r>
          </w:p>
        </w:tc>
        <w:tc>
          <w:tcPr>
            <w:tcW w:w="1370" w:type="dxa"/>
            <w:tcBorders>
              <w:top w:val="nil"/>
              <w:left w:val="nil"/>
              <w:bottom w:val="single" w:sz="4" w:space="0" w:color="auto"/>
              <w:right w:val="single" w:sz="4" w:space="0" w:color="auto"/>
            </w:tcBorders>
            <w:noWrap/>
            <w:vAlign w:val="bottom"/>
            <w:hideMark/>
          </w:tcPr>
          <w:p w14:paraId="1DB86064"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33,233,236.00</w:t>
            </w:r>
          </w:p>
        </w:tc>
        <w:tc>
          <w:tcPr>
            <w:tcW w:w="1304" w:type="dxa"/>
            <w:tcBorders>
              <w:top w:val="nil"/>
              <w:left w:val="nil"/>
              <w:bottom w:val="single" w:sz="4" w:space="0" w:color="auto"/>
              <w:right w:val="single" w:sz="4" w:space="0" w:color="auto"/>
            </w:tcBorders>
            <w:noWrap/>
            <w:vAlign w:val="bottom"/>
            <w:hideMark/>
          </w:tcPr>
          <w:p w14:paraId="4556A888"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32,971,267.00</w:t>
            </w:r>
          </w:p>
        </w:tc>
        <w:tc>
          <w:tcPr>
            <w:tcW w:w="1304" w:type="dxa"/>
            <w:tcBorders>
              <w:top w:val="nil"/>
              <w:left w:val="nil"/>
              <w:bottom w:val="single" w:sz="4" w:space="0" w:color="auto"/>
              <w:right w:val="single" w:sz="4" w:space="0" w:color="auto"/>
            </w:tcBorders>
            <w:noWrap/>
            <w:vAlign w:val="bottom"/>
            <w:hideMark/>
          </w:tcPr>
          <w:p w14:paraId="288C38D5"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33,021,267.00</w:t>
            </w:r>
          </w:p>
        </w:tc>
        <w:tc>
          <w:tcPr>
            <w:tcW w:w="1304" w:type="dxa"/>
            <w:tcBorders>
              <w:top w:val="nil"/>
              <w:left w:val="nil"/>
              <w:bottom w:val="single" w:sz="4" w:space="0" w:color="auto"/>
              <w:right w:val="single" w:sz="8" w:space="0" w:color="auto"/>
            </w:tcBorders>
            <w:noWrap/>
            <w:vAlign w:val="bottom"/>
            <w:hideMark/>
          </w:tcPr>
          <w:p w14:paraId="266D0B89"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33,071,267.00</w:t>
            </w:r>
          </w:p>
        </w:tc>
      </w:tr>
      <w:tr w:rsidR="00752F04" w:rsidRPr="00EA0FD7" w14:paraId="562A1023" w14:textId="77777777" w:rsidTr="00752F04">
        <w:trPr>
          <w:trHeight w:val="256"/>
        </w:trPr>
        <w:tc>
          <w:tcPr>
            <w:tcW w:w="1163" w:type="dxa"/>
            <w:tcBorders>
              <w:top w:val="nil"/>
              <w:left w:val="single" w:sz="8" w:space="0" w:color="auto"/>
              <w:bottom w:val="single" w:sz="4" w:space="0" w:color="auto"/>
              <w:right w:val="single" w:sz="4" w:space="0" w:color="auto"/>
            </w:tcBorders>
            <w:noWrap/>
            <w:vAlign w:val="bottom"/>
            <w:hideMark/>
          </w:tcPr>
          <w:p w14:paraId="4BF137A5" w14:textId="77777777" w:rsidR="00752F04" w:rsidRPr="00EA0FD7" w:rsidRDefault="00752F04" w:rsidP="00752F04">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w:t>
            </w:r>
          </w:p>
        </w:tc>
        <w:tc>
          <w:tcPr>
            <w:tcW w:w="2097" w:type="dxa"/>
            <w:tcBorders>
              <w:top w:val="nil"/>
              <w:left w:val="nil"/>
              <w:bottom w:val="single" w:sz="4" w:space="0" w:color="auto"/>
              <w:right w:val="single" w:sz="4" w:space="0" w:color="auto"/>
            </w:tcBorders>
            <w:vAlign w:val="bottom"/>
            <w:hideMark/>
          </w:tcPr>
          <w:p w14:paraId="7FF09DD6"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кредитних средстава</w:t>
            </w:r>
          </w:p>
        </w:tc>
        <w:tc>
          <w:tcPr>
            <w:tcW w:w="1349" w:type="dxa"/>
            <w:tcBorders>
              <w:top w:val="nil"/>
              <w:left w:val="nil"/>
              <w:bottom w:val="single" w:sz="4" w:space="0" w:color="auto"/>
              <w:right w:val="single" w:sz="4" w:space="0" w:color="auto"/>
            </w:tcBorders>
            <w:noWrap/>
            <w:vAlign w:val="bottom"/>
            <w:hideMark/>
          </w:tcPr>
          <w:p w14:paraId="4CE42655"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70" w:type="dxa"/>
            <w:tcBorders>
              <w:top w:val="nil"/>
              <w:left w:val="nil"/>
              <w:bottom w:val="single" w:sz="4" w:space="0" w:color="auto"/>
              <w:right w:val="single" w:sz="4" w:space="0" w:color="auto"/>
            </w:tcBorders>
            <w:noWrap/>
            <w:vAlign w:val="bottom"/>
            <w:hideMark/>
          </w:tcPr>
          <w:p w14:paraId="679F740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04" w:type="dxa"/>
            <w:tcBorders>
              <w:top w:val="nil"/>
              <w:left w:val="nil"/>
              <w:bottom w:val="single" w:sz="4" w:space="0" w:color="auto"/>
              <w:right w:val="single" w:sz="4" w:space="0" w:color="auto"/>
            </w:tcBorders>
            <w:noWrap/>
            <w:vAlign w:val="bottom"/>
            <w:hideMark/>
          </w:tcPr>
          <w:p w14:paraId="6B321E21"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04" w:type="dxa"/>
            <w:tcBorders>
              <w:top w:val="nil"/>
              <w:left w:val="nil"/>
              <w:bottom w:val="single" w:sz="4" w:space="0" w:color="auto"/>
              <w:right w:val="single" w:sz="4" w:space="0" w:color="auto"/>
            </w:tcBorders>
            <w:noWrap/>
            <w:vAlign w:val="bottom"/>
            <w:hideMark/>
          </w:tcPr>
          <w:p w14:paraId="7CBADB09"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04" w:type="dxa"/>
            <w:tcBorders>
              <w:top w:val="nil"/>
              <w:left w:val="nil"/>
              <w:bottom w:val="single" w:sz="4" w:space="0" w:color="auto"/>
              <w:right w:val="single" w:sz="8" w:space="0" w:color="auto"/>
            </w:tcBorders>
            <w:noWrap/>
            <w:vAlign w:val="bottom"/>
            <w:hideMark/>
          </w:tcPr>
          <w:p w14:paraId="2771DCA3"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526C6271" w14:textId="77777777" w:rsidTr="00752F04">
        <w:trPr>
          <w:trHeight w:val="229"/>
        </w:trPr>
        <w:tc>
          <w:tcPr>
            <w:tcW w:w="1163" w:type="dxa"/>
            <w:tcBorders>
              <w:top w:val="nil"/>
              <w:left w:val="single" w:sz="8" w:space="0" w:color="auto"/>
              <w:bottom w:val="single" w:sz="4" w:space="0" w:color="auto"/>
              <w:right w:val="single" w:sz="4" w:space="0" w:color="auto"/>
            </w:tcBorders>
            <w:noWrap/>
            <w:vAlign w:val="bottom"/>
            <w:hideMark/>
          </w:tcPr>
          <w:p w14:paraId="26B9EE07" w14:textId="77777777" w:rsidR="00752F04" w:rsidRPr="00EA0FD7" w:rsidRDefault="00752F04" w:rsidP="00752F04">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w:t>
            </w:r>
          </w:p>
        </w:tc>
        <w:tc>
          <w:tcPr>
            <w:tcW w:w="2097" w:type="dxa"/>
            <w:tcBorders>
              <w:top w:val="nil"/>
              <w:left w:val="nil"/>
              <w:bottom w:val="single" w:sz="4" w:space="0" w:color="auto"/>
              <w:right w:val="single" w:sz="4" w:space="0" w:color="auto"/>
            </w:tcBorders>
            <w:vAlign w:val="bottom"/>
            <w:hideMark/>
          </w:tcPr>
          <w:p w14:paraId="45ED37D1"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донација</w:t>
            </w:r>
          </w:p>
        </w:tc>
        <w:tc>
          <w:tcPr>
            <w:tcW w:w="1349" w:type="dxa"/>
            <w:tcBorders>
              <w:top w:val="nil"/>
              <w:left w:val="nil"/>
              <w:bottom w:val="single" w:sz="4" w:space="0" w:color="auto"/>
              <w:right w:val="single" w:sz="4" w:space="0" w:color="auto"/>
            </w:tcBorders>
            <w:noWrap/>
            <w:vAlign w:val="bottom"/>
            <w:hideMark/>
          </w:tcPr>
          <w:p w14:paraId="38832C63"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70" w:type="dxa"/>
            <w:tcBorders>
              <w:top w:val="nil"/>
              <w:left w:val="nil"/>
              <w:bottom w:val="single" w:sz="4" w:space="0" w:color="auto"/>
              <w:right w:val="single" w:sz="4" w:space="0" w:color="auto"/>
            </w:tcBorders>
            <w:noWrap/>
            <w:vAlign w:val="bottom"/>
            <w:hideMark/>
          </w:tcPr>
          <w:p w14:paraId="1B4A952E"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04" w:type="dxa"/>
            <w:tcBorders>
              <w:top w:val="nil"/>
              <w:left w:val="nil"/>
              <w:bottom w:val="single" w:sz="4" w:space="0" w:color="auto"/>
              <w:right w:val="single" w:sz="4" w:space="0" w:color="auto"/>
            </w:tcBorders>
            <w:noWrap/>
            <w:vAlign w:val="bottom"/>
            <w:hideMark/>
          </w:tcPr>
          <w:p w14:paraId="1749B691"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04" w:type="dxa"/>
            <w:tcBorders>
              <w:top w:val="nil"/>
              <w:left w:val="nil"/>
              <w:bottom w:val="single" w:sz="4" w:space="0" w:color="auto"/>
              <w:right w:val="single" w:sz="4" w:space="0" w:color="auto"/>
            </w:tcBorders>
            <w:noWrap/>
            <w:vAlign w:val="bottom"/>
            <w:hideMark/>
          </w:tcPr>
          <w:p w14:paraId="01ED9CA4"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304" w:type="dxa"/>
            <w:tcBorders>
              <w:top w:val="nil"/>
              <w:left w:val="nil"/>
              <w:bottom w:val="single" w:sz="4" w:space="0" w:color="auto"/>
              <w:right w:val="single" w:sz="8" w:space="0" w:color="auto"/>
            </w:tcBorders>
            <w:noWrap/>
            <w:vAlign w:val="bottom"/>
            <w:hideMark/>
          </w:tcPr>
          <w:p w14:paraId="139EE964"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5D761277" w14:textId="77777777" w:rsidTr="00752F04">
        <w:trPr>
          <w:trHeight w:val="346"/>
        </w:trPr>
        <w:tc>
          <w:tcPr>
            <w:tcW w:w="1163" w:type="dxa"/>
            <w:tcBorders>
              <w:top w:val="nil"/>
              <w:left w:val="single" w:sz="8" w:space="0" w:color="auto"/>
              <w:bottom w:val="single" w:sz="4" w:space="0" w:color="auto"/>
              <w:right w:val="single" w:sz="4" w:space="0" w:color="auto"/>
            </w:tcBorders>
            <w:noWrap/>
            <w:vAlign w:val="bottom"/>
            <w:hideMark/>
          </w:tcPr>
          <w:p w14:paraId="230973FA" w14:textId="77777777" w:rsidR="00752F04" w:rsidRPr="00EA0FD7" w:rsidRDefault="00752F04" w:rsidP="00752F04">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w:t>
            </w:r>
          </w:p>
        </w:tc>
        <w:tc>
          <w:tcPr>
            <w:tcW w:w="2097" w:type="dxa"/>
            <w:tcBorders>
              <w:top w:val="nil"/>
              <w:left w:val="nil"/>
              <w:bottom w:val="single" w:sz="4" w:space="0" w:color="auto"/>
              <w:right w:val="single" w:sz="4" w:space="0" w:color="auto"/>
            </w:tcBorders>
            <w:noWrap/>
            <w:vAlign w:val="bottom"/>
            <w:hideMark/>
          </w:tcPr>
          <w:p w14:paraId="3CB2F904"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буџета</w:t>
            </w:r>
          </w:p>
        </w:tc>
        <w:tc>
          <w:tcPr>
            <w:tcW w:w="1349" w:type="dxa"/>
            <w:tcBorders>
              <w:top w:val="nil"/>
              <w:left w:val="nil"/>
              <w:bottom w:val="single" w:sz="4" w:space="0" w:color="auto"/>
              <w:right w:val="single" w:sz="4" w:space="0" w:color="auto"/>
            </w:tcBorders>
            <w:noWrap/>
            <w:vAlign w:val="bottom"/>
            <w:hideMark/>
          </w:tcPr>
          <w:p w14:paraId="3907D4F6"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11,557,022.00</w:t>
            </w:r>
          </w:p>
        </w:tc>
        <w:tc>
          <w:tcPr>
            <w:tcW w:w="1370" w:type="dxa"/>
            <w:tcBorders>
              <w:top w:val="nil"/>
              <w:left w:val="nil"/>
              <w:bottom w:val="single" w:sz="4" w:space="0" w:color="auto"/>
              <w:right w:val="single" w:sz="4" w:space="0" w:color="auto"/>
            </w:tcBorders>
            <w:noWrap/>
            <w:vAlign w:val="bottom"/>
            <w:hideMark/>
          </w:tcPr>
          <w:p w14:paraId="7C81B848"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15,148,764.00</w:t>
            </w:r>
          </w:p>
        </w:tc>
        <w:tc>
          <w:tcPr>
            <w:tcW w:w="1304" w:type="dxa"/>
            <w:tcBorders>
              <w:top w:val="nil"/>
              <w:left w:val="nil"/>
              <w:bottom w:val="single" w:sz="4" w:space="0" w:color="auto"/>
              <w:right w:val="single" w:sz="4" w:space="0" w:color="auto"/>
            </w:tcBorders>
            <w:noWrap/>
            <w:vAlign w:val="bottom"/>
            <w:hideMark/>
          </w:tcPr>
          <w:p w14:paraId="178796F9"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13,578,733.00</w:t>
            </w:r>
          </w:p>
        </w:tc>
        <w:tc>
          <w:tcPr>
            <w:tcW w:w="1304" w:type="dxa"/>
            <w:tcBorders>
              <w:top w:val="nil"/>
              <w:left w:val="nil"/>
              <w:bottom w:val="single" w:sz="4" w:space="0" w:color="auto"/>
              <w:right w:val="single" w:sz="4" w:space="0" w:color="auto"/>
            </w:tcBorders>
            <w:noWrap/>
            <w:vAlign w:val="bottom"/>
            <w:hideMark/>
          </w:tcPr>
          <w:p w14:paraId="47B788D3"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13,578,733.00</w:t>
            </w:r>
          </w:p>
        </w:tc>
        <w:tc>
          <w:tcPr>
            <w:tcW w:w="1304" w:type="dxa"/>
            <w:tcBorders>
              <w:top w:val="nil"/>
              <w:left w:val="nil"/>
              <w:bottom w:val="single" w:sz="4" w:space="0" w:color="auto"/>
              <w:right w:val="single" w:sz="8" w:space="0" w:color="auto"/>
            </w:tcBorders>
            <w:noWrap/>
            <w:vAlign w:val="bottom"/>
            <w:hideMark/>
          </w:tcPr>
          <w:p w14:paraId="6708F399"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13,578,733.00</w:t>
            </w:r>
          </w:p>
        </w:tc>
      </w:tr>
      <w:tr w:rsidR="00752F04" w:rsidRPr="00EA0FD7" w14:paraId="7DFEBB7F" w14:textId="77777777" w:rsidTr="00752F04">
        <w:trPr>
          <w:trHeight w:val="390"/>
        </w:trPr>
        <w:tc>
          <w:tcPr>
            <w:tcW w:w="1163" w:type="dxa"/>
            <w:tcBorders>
              <w:top w:val="single" w:sz="8" w:space="0" w:color="auto"/>
              <w:left w:val="single" w:sz="8" w:space="0" w:color="auto"/>
              <w:bottom w:val="single" w:sz="8" w:space="0" w:color="auto"/>
              <w:right w:val="single" w:sz="4" w:space="0" w:color="auto"/>
            </w:tcBorders>
            <w:noWrap/>
            <w:vAlign w:val="bottom"/>
            <w:hideMark/>
          </w:tcPr>
          <w:p w14:paraId="15AF4FED"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097" w:type="dxa"/>
            <w:tcBorders>
              <w:top w:val="single" w:sz="8" w:space="0" w:color="auto"/>
              <w:left w:val="nil"/>
              <w:bottom w:val="single" w:sz="8" w:space="0" w:color="auto"/>
              <w:right w:val="single" w:sz="4" w:space="0" w:color="auto"/>
            </w:tcBorders>
            <w:noWrap/>
            <w:vAlign w:val="bottom"/>
            <w:hideMark/>
          </w:tcPr>
          <w:p w14:paraId="0199F1C5" w14:textId="77777777" w:rsidR="00752F04" w:rsidRPr="00EA0FD7" w:rsidRDefault="00752F04" w:rsidP="00752F04">
            <w:pPr>
              <w:spacing w:after="0" w:line="240" w:lineRule="auto"/>
              <w:jc w:val="center"/>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У К У П Н О</w:t>
            </w:r>
          </w:p>
        </w:tc>
        <w:tc>
          <w:tcPr>
            <w:tcW w:w="1349" w:type="dxa"/>
            <w:tcBorders>
              <w:top w:val="single" w:sz="8" w:space="0" w:color="auto"/>
              <w:left w:val="nil"/>
              <w:bottom w:val="single" w:sz="8" w:space="0" w:color="auto"/>
              <w:right w:val="single" w:sz="4" w:space="0" w:color="auto"/>
            </w:tcBorders>
            <w:noWrap/>
            <w:vAlign w:val="bottom"/>
            <w:hideMark/>
          </w:tcPr>
          <w:p w14:paraId="09DCCEAA"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46,042,258.00</w:t>
            </w:r>
          </w:p>
        </w:tc>
        <w:tc>
          <w:tcPr>
            <w:tcW w:w="1370" w:type="dxa"/>
            <w:tcBorders>
              <w:top w:val="single" w:sz="8" w:space="0" w:color="auto"/>
              <w:left w:val="nil"/>
              <w:bottom w:val="single" w:sz="8" w:space="0" w:color="auto"/>
              <w:right w:val="single" w:sz="4" w:space="0" w:color="auto"/>
            </w:tcBorders>
            <w:noWrap/>
            <w:vAlign w:val="bottom"/>
            <w:hideMark/>
          </w:tcPr>
          <w:p w14:paraId="76F0F6CB"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48,382,000.00</w:t>
            </w:r>
          </w:p>
        </w:tc>
        <w:tc>
          <w:tcPr>
            <w:tcW w:w="1304" w:type="dxa"/>
            <w:tcBorders>
              <w:top w:val="single" w:sz="8" w:space="0" w:color="auto"/>
              <w:left w:val="nil"/>
              <w:bottom w:val="single" w:sz="8" w:space="0" w:color="auto"/>
              <w:right w:val="single" w:sz="4" w:space="0" w:color="auto"/>
            </w:tcBorders>
            <w:noWrap/>
            <w:vAlign w:val="bottom"/>
            <w:hideMark/>
          </w:tcPr>
          <w:p w14:paraId="1538C771"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46,550,000.00</w:t>
            </w:r>
          </w:p>
        </w:tc>
        <w:tc>
          <w:tcPr>
            <w:tcW w:w="1304" w:type="dxa"/>
            <w:tcBorders>
              <w:top w:val="single" w:sz="8" w:space="0" w:color="auto"/>
              <w:left w:val="nil"/>
              <w:bottom w:val="single" w:sz="8" w:space="0" w:color="auto"/>
              <w:right w:val="single" w:sz="4" w:space="0" w:color="auto"/>
            </w:tcBorders>
            <w:noWrap/>
            <w:vAlign w:val="bottom"/>
            <w:hideMark/>
          </w:tcPr>
          <w:p w14:paraId="3E47F552"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46,600,000.00</w:t>
            </w:r>
          </w:p>
        </w:tc>
        <w:tc>
          <w:tcPr>
            <w:tcW w:w="1304" w:type="dxa"/>
            <w:tcBorders>
              <w:top w:val="single" w:sz="8" w:space="0" w:color="auto"/>
              <w:left w:val="nil"/>
              <w:bottom w:val="single" w:sz="8" w:space="0" w:color="auto"/>
              <w:right w:val="single" w:sz="8" w:space="0" w:color="auto"/>
            </w:tcBorders>
            <w:noWrap/>
            <w:vAlign w:val="bottom"/>
            <w:hideMark/>
          </w:tcPr>
          <w:p w14:paraId="699B1843"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46,650,000.00</w:t>
            </w:r>
          </w:p>
        </w:tc>
      </w:tr>
    </w:tbl>
    <w:p w14:paraId="5D4A9C01" w14:textId="77777777" w:rsidR="00752F04" w:rsidRDefault="00752F04" w:rsidP="00EA0FD7">
      <w:pPr>
        <w:spacing w:after="0" w:line="240" w:lineRule="auto"/>
        <w:jc w:val="both"/>
        <w:rPr>
          <w:rFonts w:ascii="Times New Roman" w:eastAsia="Times New Roman" w:hAnsi="Times New Roman" w:cs="Times New Roman"/>
          <w:bCs/>
          <w:sz w:val="24"/>
          <w:szCs w:val="24"/>
          <w:lang w:val="sr-Cyrl-RS" w:eastAsia="hr-HR"/>
        </w:rPr>
      </w:pPr>
    </w:p>
    <w:p w14:paraId="19625356" w14:textId="47A6990E"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Cs/>
          <w:sz w:val="24"/>
          <w:szCs w:val="24"/>
          <w:lang w:val="sr-Cyrl-RS" w:eastAsia="hr-HR"/>
        </w:rPr>
        <w:t xml:space="preserve">Фонд здравственог осигурања је у 2021. години остварио укупне расходе у износу од 46.042.258 КМ, док им је финансијски план за 2022. годину 48.382.000 КМ, што је за  5,08% више у односу на остварење из 2021. године. </w:t>
      </w:r>
    </w:p>
    <w:p w14:paraId="6C23BA6B"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Cs/>
          <w:sz w:val="24"/>
          <w:szCs w:val="24"/>
          <w:lang w:val="sr-Cyrl-RS" w:eastAsia="hr-HR"/>
        </w:rPr>
        <w:t>Процјењује се да ће Финансијски план Фонда здравственог осигурања за 2023. годину износити 46.550.000 КМ, за 2024. годину 46.600.000 КМ, и за 2025. годину 46.650.000 КМ.</w:t>
      </w:r>
    </w:p>
    <w:p w14:paraId="31B39335"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p>
    <w:tbl>
      <w:tblPr>
        <w:tblW w:w="9660" w:type="dxa"/>
        <w:tblInd w:w="96" w:type="dxa"/>
        <w:tblLook w:val="04A0" w:firstRow="1" w:lastRow="0" w:firstColumn="1" w:lastColumn="0" w:noHBand="0" w:noVBand="1"/>
      </w:tblPr>
      <w:tblGrid>
        <w:gridCol w:w="1228"/>
        <w:gridCol w:w="2215"/>
        <w:gridCol w:w="1425"/>
        <w:gridCol w:w="1447"/>
        <w:gridCol w:w="1209"/>
        <w:gridCol w:w="1209"/>
        <w:gridCol w:w="1209"/>
      </w:tblGrid>
      <w:tr w:rsidR="00EA0FD7" w:rsidRPr="00EA0FD7" w14:paraId="4CA7A703" w14:textId="77777777" w:rsidTr="00EA0FD7">
        <w:trPr>
          <w:trHeight w:val="450"/>
        </w:trPr>
        <w:tc>
          <w:tcPr>
            <w:tcW w:w="9660" w:type="dxa"/>
            <w:gridSpan w:val="7"/>
            <w:vMerge w:val="restart"/>
            <w:tcBorders>
              <w:top w:val="nil"/>
              <w:left w:val="nil"/>
              <w:bottom w:val="single" w:sz="8" w:space="0" w:color="000000"/>
              <w:right w:val="nil"/>
            </w:tcBorders>
            <w:vAlign w:val="bottom"/>
            <w:hideMark/>
          </w:tcPr>
          <w:p w14:paraId="5123274D" w14:textId="2A67E7A8"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Табела 4.6.</w:t>
            </w:r>
            <w:r w:rsidRPr="00EA0FD7">
              <w:rPr>
                <w:rFonts w:ascii="Arial" w:eastAsia="Times New Roman" w:hAnsi="Arial" w:cs="Arial"/>
                <w:sz w:val="18"/>
                <w:szCs w:val="18"/>
                <w:lang w:val="sr-Cyrl-RS"/>
              </w:rPr>
              <w:t xml:space="preserve"> Финансијски план расхода Завода за запошљавање Брчко дистрикта БиХ  2023</w:t>
            </w:r>
            <w:r w:rsidR="00752F04">
              <w:rPr>
                <w:rFonts w:ascii="Arial" w:eastAsia="Times New Roman" w:hAnsi="Arial" w:cs="Arial"/>
                <w:sz w:val="18"/>
                <w:szCs w:val="18"/>
                <w:lang w:val="sr-Cyrl-RS"/>
              </w:rPr>
              <w:t>–</w:t>
            </w:r>
            <w:r w:rsidRPr="00EA0FD7">
              <w:rPr>
                <w:rFonts w:ascii="Arial" w:eastAsia="Times New Roman" w:hAnsi="Arial" w:cs="Arial"/>
                <w:sz w:val="18"/>
                <w:szCs w:val="18"/>
                <w:lang w:val="sr-Cyrl-RS"/>
              </w:rPr>
              <w:t xml:space="preserve">2025. године </w:t>
            </w:r>
            <w:r w:rsidRPr="00EA0FD7">
              <w:rPr>
                <w:rFonts w:ascii="Arial" w:eastAsia="Times New Roman" w:hAnsi="Arial" w:cs="Arial"/>
                <w:sz w:val="18"/>
                <w:szCs w:val="18"/>
                <w:lang w:val="sr-Cyrl-RS"/>
              </w:rPr>
              <w:br/>
              <w:t xml:space="preserve">                        (по економској класификацији)</w:t>
            </w:r>
          </w:p>
        </w:tc>
      </w:tr>
      <w:tr w:rsidR="00EA0FD7" w:rsidRPr="00EA0FD7" w14:paraId="79DAD8DE" w14:textId="77777777" w:rsidTr="00EA0FD7">
        <w:trPr>
          <w:trHeight w:val="450"/>
        </w:trPr>
        <w:tc>
          <w:tcPr>
            <w:tcW w:w="0" w:type="auto"/>
            <w:gridSpan w:val="7"/>
            <w:vMerge/>
            <w:tcBorders>
              <w:top w:val="nil"/>
              <w:left w:val="nil"/>
              <w:bottom w:val="single" w:sz="8" w:space="0" w:color="000000"/>
              <w:right w:val="nil"/>
            </w:tcBorders>
            <w:vAlign w:val="center"/>
            <w:hideMark/>
          </w:tcPr>
          <w:p w14:paraId="56BF0976" w14:textId="77777777" w:rsidR="00EA0FD7" w:rsidRPr="00EA0FD7" w:rsidRDefault="00EA0FD7" w:rsidP="00EA0FD7">
            <w:pPr>
              <w:spacing w:after="0" w:line="240" w:lineRule="auto"/>
              <w:rPr>
                <w:rFonts w:ascii="Arial" w:eastAsia="Times New Roman" w:hAnsi="Arial" w:cs="Arial"/>
                <w:b/>
                <w:bCs/>
                <w:sz w:val="18"/>
                <w:szCs w:val="18"/>
                <w:lang w:val="sr-Cyrl-RS"/>
              </w:rPr>
            </w:pPr>
          </w:p>
        </w:tc>
      </w:tr>
      <w:tr w:rsidR="00EA0FD7" w:rsidRPr="00EA0FD7" w14:paraId="1E11DD4F" w14:textId="77777777" w:rsidTr="00EA0FD7">
        <w:trPr>
          <w:trHeight w:val="270"/>
        </w:trPr>
        <w:tc>
          <w:tcPr>
            <w:tcW w:w="1228" w:type="dxa"/>
            <w:vMerge w:val="restart"/>
            <w:tcBorders>
              <w:top w:val="nil"/>
              <w:left w:val="single" w:sz="8" w:space="0" w:color="auto"/>
              <w:bottom w:val="single" w:sz="8" w:space="0" w:color="000000"/>
              <w:right w:val="single" w:sz="8" w:space="0" w:color="auto"/>
            </w:tcBorders>
            <w:shd w:val="pct25" w:color="auto" w:fill="CCFFCC"/>
            <w:vAlign w:val="center"/>
            <w:hideMark/>
          </w:tcPr>
          <w:p w14:paraId="5BBEB728"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Економски</w:t>
            </w:r>
            <w:r w:rsidRPr="00EA0FD7">
              <w:rPr>
                <w:rFonts w:ascii="Arial" w:eastAsia="Times New Roman" w:hAnsi="Arial" w:cs="Arial"/>
                <w:b/>
                <w:bCs/>
                <w:sz w:val="18"/>
                <w:szCs w:val="18"/>
                <w:lang w:val="sr-Cyrl-RS"/>
              </w:rPr>
              <w:br/>
              <w:t>код</w:t>
            </w:r>
          </w:p>
        </w:tc>
        <w:tc>
          <w:tcPr>
            <w:tcW w:w="2215" w:type="dxa"/>
            <w:vMerge w:val="restart"/>
            <w:tcBorders>
              <w:top w:val="nil"/>
              <w:left w:val="single" w:sz="8" w:space="0" w:color="auto"/>
              <w:bottom w:val="single" w:sz="8" w:space="0" w:color="000000"/>
              <w:right w:val="single" w:sz="8" w:space="0" w:color="auto"/>
            </w:tcBorders>
            <w:shd w:val="pct25" w:color="auto" w:fill="CCFFCC"/>
            <w:vAlign w:val="center"/>
            <w:hideMark/>
          </w:tcPr>
          <w:p w14:paraId="3E8552C5"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Економска категорија</w:t>
            </w:r>
          </w:p>
        </w:tc>
        <w:tc>
          <w:tcPr>
            <w:tcW w:w="1425" w:type="dxa"/>
            <w:vMerge w:val="restart"/>
            <w:tcBorders>
              <w:top w:val="nil"/>
              <w:left w:val="single" w:sz="8" w:space="0" w:color="auto"/>
              <w:bottom w:val="single" w:sz="8" w:space="0" w:color="000000"/>
              <w:right w:val="single" w:sz="8" w:space="0" w:color="auto"/>
            </w:tcBorders>
            <w:shd w:val="pct25" w:color="auto" w:fill="CCFFCC"/>
            <w:vAlign w:val="center"/>
            <w:hideMark/>
          </w:tcPr>
          <w:p w14:paraId="1BC53638"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xml:space="preserve">Извршење </w:t>
            </w:r>
            <w:r w:rsidRPr="00EA0FD7">
              <w:rPr>
                <w:rFonts w:ascii="Arial" w:eastAsia="Times New Roman" w:hAnsi="Arial" w:cs="Arial"/>
                <w:b/>
                <w:bCs/>
                <w:sz w:val="18"/>
                <w:szCs w:val="18"/>
                <w:lang w:val="sr-Cyrl-RS"/>
              </w:rPr>
              <w:br/>
              <w:t>2021.</w:t>
            </w:r>
          </w:p>
        </w:tc>
        <w:tc>
          <w:tcPr>
            <w:tcW w:w="1447" w:type="dxa"/>
            <w:vMerge w:val="restart"/>
            <w:tcBorders>
              <w:top w:val="nil"/>
              <w:left w:val="single" w:sz="8" w:space="0" w:color="auto"/>
              <w:bottom w:val="single" w:sz="8" w:space="0" w:color="000000"/>
              <w:right w:val="single" w:sz="8" w:space="0" w:color="auto"/>
            </w:tcBorders>
            <w:shd w:val="pct25" w:color="auto" w:fill="CCFFCC"/>
            <w:vAlign w:val="center"/>
            <w:hideMark/>
          </w:tcPr>
          <w:p w14:paraId="77BDD656"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Финансијски план</w:t>
            </w:r>
            <w:r w:rsidRPr="00EA0FD7">
              <w:rPr>
                <w:rFonts w:ascii="Arial" w:eastAsia="Times New Roman" w:hAnsi="Arial" w:cs="Arial"/>
                <w:b/>
                <w:bCs/>
                <w:sz w:val="18"/>
                <w:szCs w:val="18"/>
                <w:lang w:val="sr-Cyrl-RS"/>
              </w:rPr>
              <w:br/>
              <w:t>2022.</w:t>
            </w:r>
          </w:p>
        </w:tc>
        <w:tc>
          <w:tcPr>
            <w:tcW w:w="3345" w:type="dxa"/>
            <w:gridSpan w:val="3"/>
            <w:tcBorders>
              <w:top w:val="single" w:sz="8" w:space="0" w:color="auto"/>
              <w:left w:val="nil"/>
              <w:bottom w:val="single" w:sz="8" w:space="0" w:color="auto"/>
              <w:right w:val="single" w:sz="8" w:space="0" w:color="000000"/>
            </w:tcBorders>
            <w:shd w:val="pct25" w:color="auto" w:fill="CCFFCC"/>
            <w:noWrap/>
            <w:vAlign w:val="center"/>
            <w:hideMark/>
          </w:tcPr>
          <w:p w14:paraId="48D492D5"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Процјена</w:t>
            </w:r>
          </w:p>
        </w:tc>
      </w:tr>
      <w:tr w:rsidR="00EA0FD7" w:rsidRPr="00EA0FD7" w14:paraId="7153036B" w14:textId="77777777" w:rsidTr="00EA0FD7">
        <w:trPr>
          <w:trHeight w:val="480"/>
        </w:trPr>
        <w:tc>
          <w:tcPr>
            <w:tcW w:w="0" w:type="auto"/>
            <w:vMerge/>
            <w:tcBorders>
              <w:top w:val="nil"/>
              <w:left w:val="single" w:sz="8" w:space="0" w:color="auto"/>
              <w:bottom w:val="single" w:sz="8" w:space="0" w:color="000000"/>
              <w:right w:val="single" w:sz="8" w:space="0" w:color="auto"/>
            </w:tcBorders>
            <w:vAlign w:val="center"/>
            <w:hideMark/>
          </w:tcPr>
          <w:p w14:paraId="2E63D0B4"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464A5B4A"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2D9CEDD1"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785C2CC9"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115" w:type="dxa"/>
            <w:tcBorders>
              <w:top w:val="nil"/>
              <w:left w:val="nil"/>
              <w:bottom w:val="single" w:sz="8" w:space="0" w:color="auto"/>
              <w:right w:val="single" w:sz="4" w:space="0" w:color="auto"/>
            </w:tcBorders>
            <w:shd w:val="pct25" w:color="auto" w:fill="CCFFCC"/>
            <w:noWrap/>
            <w:vAlign w:val="center"/>
            <w:hideMark/>
          </w:tcPr>
          <w:p w14:paraId="032F0E43" w14:textId="6F2EE821"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2023</w:t>
            </w:r>
            <w:r w:rsidR="00752F04">
              <w:rPr>
                <w:rFonts w:ascii="Arial" w:eastAsia="Times New Roman" w:hAnsi="Arial" w:cs="Arial"/>
                <w:b/>
                <w:bCs/>
                <w:sz w:val="18"/>
                <w:szCs w:val="18"/>
                <w:lang w:val="sr-Cyrl-RS"/>
              </w:rPr>
              <w:t>.</w:t>
            </w:r>
          </w:p>
        </w:tc>
        <w:tc>
          <w:tcPr>
            <w:tcW w:w="1115" w:type="dxa"/>
            <w:tcBorders>
              <w:top w:val="nil"/>
              <w:left w:val="nil"/>
              <w:bottom w:val="single" w:sz="8" w:space="0" w:color="auto"/>
              <w:right w:val="single" w:sz="4" w:space="0" w:color="auto"/>
            </w:tcBorders>
            <w:shd w:val="pct25" w:color="auto" w:fill="CCFFCC"/>
            <w:noWrap/>
            <w:vAlign w:val="center"/>
            <w:hideMark/>
          </w:tcPr>
          <w:p w14:paraId="3F42E1E7" w14:textId="758C1A7E"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2024</w:t>
            </w:r>
            <w:r w:rsidR="00752F04">
              <w:rPr>
                <w:rFonts w:ascii="Arial" w:eastAsia="Times New Roman" w:hAnsi="Arial" w:cs="Arial"/>
                <w:b/>
                <w:bCs/>
                <w:sz w:val="18"/>
                <w:szCs w:val="18"/>
                <w:lang w:val="sr-Cyrl-RS"/>
              </w:rPr>
              <w:t>.</w:t>
            </w:r>
          </w:p>
        </w:tc>
        <w:tc>
          <w:tcPr>
            <w:tcW w:w="1115" w:type="dxa"/>
            <w:tcBorders>
              <w:top w:val="nil"/>
              <w:left w:val="nil"/>
              <w:bottom w:val="single" w:sz="8" w:space="0" w:color="auto"/>
              <w:right w:val="single" w:sz="8" w:space="0" w:color="auto"/>
            </w:tcBorders>
            <w:shd w:val="pct25" w:color="auto" w:fill="CCFFCC"/>
            <w:noWrap/>
            <w:vAlign w:val="center"/>
            <w:hideMark/>
          </w:tcPr>
          <w:p w14:paraId="03E1324A" w14:textId="1AE1522E"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2025</w:t>
            </w:r>
            <w:r w:rsidR="00752F04">
              <w:rPr>
                <w:rFonts w:ascii="Arial" w:eastAsia="Times New Roman" w:hAnsi="Arial" w:cs="Arial"/>
                <w:b/>
                <w:bCs/>
                <w:sz w:val="18"/>
                <w:szCs w:val="18"/>
                <w:lang w:val="sr-Cyrl-RS"/>
              </w:rPr>
              <w:t>.</w:t>
            </w:r>
          </w:p>
        </w:tc>
      </w:tr>
      <w:tr w:rsidR="00EA0FD7" w:rsidRPr="00EA0FD7" w14:paraId="671E64F2" w14:textId="77777777" w:rsidTr="00EA0FD7">
        <w:trPr>
          <w:trHeight w:val="270"/>
        </w:trPr>
        <w:tc>
          <w:tcPr>
            <w:tcW w:w="1228" w:type="dxa"/>
            <w:tcBorders>
              <w:top w:val="nil"/>
              <w:left w:val="single" w:sz="8" w:space="0" w:color="auto"/>
              <w:bottom w:val="single" w:sz="8" w:space="0" w:color="auto"/>
              <w:right w:val="single" w:sz="4" w:space="0" w:color="auto"/>
            </w:tcBorders>
            <w:noWrap/>
            <w:vAlign w:val="bottom"/>
            <w:hideMark/>
          </w:tcPr>
          <w:p w14:paraId="18B7051A"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215" w:type="dxa"/>
            <w:tcBorders>
              <w:top w:val="nil"/>
              <w:left w:val="nil"/>
              <w:bottom w:val="single" w:sz="8" w:space="0" w:color="auto"/>
              <w:right w:val="single" w:sz="4" w:space="0" w:color="auto"/>
            </w:tcBorders>
            <w:noWrap/>
            <w:vAlign w:val="bottom"/>
            <w:hideMark/>
          </w:tcPr>
          <w:p w14:paraId="404B7935"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w:t>
            </w:r>
          </w:p>
        </w:tc>
        <w:tc>
          <w:tcPr>
            <w:tcW w:w="1425" w:type="dxa"/>
            <w:tcBorders>
              <w:top w:val="nil"/>
              <w:left w:val="nil"/>
              <w:bottom w:val="single" w:sz="8" w:space="0" w:color="auto"/>
              <w:right w:val="single" w:sz="4" w:space="0" w:color="auto"/>
            </w:tcBorders>
            <w:noWrap/>
            <w:vAlign w:val="bottom"/>
            <w:hideMark/>
          </w:tcPr>
          <w:p w14:paraId="2A75BA0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47" w:type="dxa"/>
            <w:tcBorders>
              <w:top w:val="nil"/>
              <w:left w:val="nil"/>
              <w:bottom w:val="single" w:sz="8" w:space="0" w:color="auto"/>
              <w:right w:val="single" w:sz="4" w:space="0" w:color="auto"/>
            </w:tcBorders>
            <w:noWrap/>
            <w:vAlign w:val="bottom"/>
            <w:hideMark/>
          </w:tcPr>
          <w:p w14:paraId="016E54D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5" w:type="dxa"/>
            <w:tcBorders>
              <w:top w:val="nil"/>
              <w:left w:val="nil"/>
              <w:bottom w:val="single" w:sz="8" w:space="0" w:color="auto"/>
              <w:right w:val="single" w:sz="4" w:space="0" w:color="auto"/>
            </w:tcBorders>
            <w:noWrap/>
            <w:vAlign w:val="bottom"/>
            <w:hideMark/>
          </w:tcPr>
          <w:p w14:paraId="00BA969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5" w:type="dxa"/>
            <w:tcBorders>
              <w:top w:val="nil"/>
              <w:left w:val="nil"/>
              <w:bottom w:val="single" w:sz="8" w:space="0" w:color="auto"/>
              <w:right w:val="single" w:sz="4" w:space="0" w:color="auto"/>
            </w:tcBorders>
            <w:noWrap/>
            <w:vAlign w:val="bottom"/>
            <w:hideMark/>
          </w:tcPr>
          <w:p w14:paraId="112F5BA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5" w:type="dxa"/>
            <w:tcBorders>
              <w:top w:val="nil"/>
              <w:left w:val="nil"/>
              <w:bottom w:val="single" w:sz="8" w:space="0" w:color="auto"/>
              <w:right w:val="single" w:sz="8" w:space="0" w:color="auto"/>
            </w:tcBorders>
            <w:noWrap/>
            <w:vAlign w:val="bottom"/>
            <w:hideMark/>
          </w:tcPr>
          <w:p w14:paraId="60DBB0E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0904358E" w14:textId="77777777" w:rsidTr="00EA0FD7">
        <w:trPr>
          <w:trHeight w:val="450"/>
        </w:trPr>
        <w:tc>
          <w:tcPr>
            <w:tcW w:w="1228" w:type="dxa"/>
            <w:tcBorders>
              <w:top w:val="nil"/>
              <w:left w:val="single" w:sz="8" w:space="0" w:color="auto"/>
              <w:bottom w:val="single" w:sz="4" w:space="0" w:color="auto"/>
              <w:right w:val="single" w:sz="4" w:space="0" w:color="auto"/>
            </w:tcBorders>
            <w:vAlign w:val="bottom"/>
            <w:hideMark/>
          </w:tcPr>
          <w:p w14:paraId="141383F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611100</w:t>
            </w:r>
            <w:r w:rsidRPr="00EA0FD7">
              <w:rPr>
                <w:rFonts w:ascii="Arial" w:eastAsia="Times New Roman" w:hAnsi="Arial" w:cs="Arial"/>
                <w:sz w:val="17"/>
                <w:szCs w:val="17"/>
                <w:lang w:val="sr-Cyrl-RS"/>
              </w:rPr>
              <w:br/>
              <w:t>612100</w:t>
            </w:r>
          </w:p>
        </w:tc>
        <w:tc>
          <w:tcPr>
            <w:tcW w:w="2215" w:type="dxa"/>
            <w:tcBorders>
              <w:top w:val="nil"/>
              <w:left w:val="nil"/>
              <w:bottom w:val="single" w:sz="4" w:space="0" w:color="auto"/>
              <w:right w:val="single" w:sz="4" w:space="0" w:color="auto"/>
            </w:tcBorders>
            <w:vAlign w:val="bottom"/>
            <w:hideMark/>
          </w:tcPr>
          <w:p w14:paraId="4BBA4B5C"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xml:space="preserve">Бруто плате и доприноси </w:t>
            </w:r>
            <w:r w:rsidRPr="00EA0FD7">
              <w:rPr>
                <w:rFonts w:ascii="Arial" w:eastAsia="Times New Roman" w:hAnsi="Arial" w:cs="Arial"/>
                <w:sz w:val="17"/>
                <w:szCs w:val="17"/>
                <w:lang w:val="sr-Cyrl-RS"/>
              </w:rPr>
              <w:br/>
              <w:t>послодавца</w:t>
            </w:r>
          </w:p>
        </w:tc>
        <w:tc>
          <w:tcPr>
            <w:tcW w:w="1425" w:type="dxa"/>
            <w:tcBorders>
              <w:top w:val="nil"/>
              <w:left w:val="nil"/>
              <w:bottom w:val="single" w:sz="4" w:space="0" w:color="auto"/>
              <w:right w:val="single" w:sz="4" w:space="0" w:color="auto"/>
            </w:tcBorders>
            <w:noWrap/>
            <w:vAlign w:val="bottom"/>
            <w:hideMark/>
          </w:tcPr>
          <w:p w14:paraId="44E9DDD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808,741.00</w:t>
            </w:r>
          </w:p>
        </w:tc>
        <w:tc>
          <w:tcPr>
            <w:tcW w:w="1447" w:type="dxa"/>
            <w:tcBorders>
              <w:top w:val="nil"/>
              <w:left w:val="nil"/>
              <w:bottom w:val="single" w:sz="4" w:space="0" w:color="auto"/>
              <w:right w:val="single" w:sz="4" w:space="0" w:color="auto"/>
            </w:tcBorders>
            <w:noWrap/>
            <w:vAlign w:val="bottom"/>
            <w:hideMark/>
          </w:tcPr>
          <w:p w14:paraId="5AF05DA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962,300.00</w:t>
            </w:r>
          </w:p>
        </w:tc>
        <w:tc>
          <w:tcPr>
            <w:tcW w:w="1115" w:type="dxa"/>
            <w:tcBorders>
              <w:top w:val="nil"/>
              <w:left w:val="nil"/>
              <w:bottom w:val="single" w:sz="4" w:space="0" w:color="auto"/>
              <w:right w:val="single" w:sz="4" w:space="0" w:color="auto"/>
            </w:tcBorders>
            <w:noWrap/>
            <w:vAlign w:val="bottom"/>
            <w:hideMark/>
          </w:tcPr>
          <w:p w14:paraId="524542E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1,008,000.00</w:t>
            </w:r>
          </w:p>
        </w:tc>
        <w:tc>
          <w:tcPr>
            <w:tcW w:w="1115" w:type="dxa"/>
            <w:tcBorders>
              <w:top w:val="nil"/>
              <w:left w:val="nil"/>
              <w:bottom w:val="single" w:sz="4" w:space="0" w:color="auto"/>
              <w:right w:val="single" w:sz="4" w:space="0" w:color="auto"/>
            </w:tcBorders>
            <w:noWrap/>
            <w:vAlign w:val="bottom"/>
            <w:hideMark/>
          </w:tcPr>
          <w:p w14:paraId="462582F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1,008,000.00</w:t>
            </w:r>
          </w:p>
        </w:tc>
        <w:tc>
          <w:tcPr>
            <w:tcW w:w="1115" w:type="dxa"/>
            <w:tcBorders>
              <w:top w:val="nil"/>
              <w:left w:val="nil"/>
              <w:bottom w:val="single" w:sz="4" w:space="0" w:color="auto"/>
              <w:right w:val="single" w:sz="8" w:space="0" w:color="auto"/>
            </w:tcBorders>
            <w:noWrap/>
            <w:vAlign w:val="bottom"/>
            <w:hideMark/>
          </w:tcPr>
          <w:p w14:paraId="281D59A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1,008,000.00</w:t>
            </w:r>
          </w:p>
        </w:tc>
      </w:tr>
      <w:tr w:rsidR="00EA0FD7" w:rsidRPr="00EA0FD7" w14:paraId="362F7542" w14:textId="77777777" w:rsidTr="00EA0FD7">
        <w:trPr>
          <w:trHeight w:val="450"/>
        </w:trPr>
        <w:tc>
          <w:tcPr>
            <w:tcW w:w="1228" w:type="dxa"/>
            <w:tcBorders>
              <w:top w:val="nil"/>
              <w:left w:val="single" w:sz="8" w:space="0" w:color="auto"/>
              <w:bottom w:val="single" w:sz="4" w:space="0" w:color="auto"/>
              <w:right w:val="single" w:sz="4" w:space="0" w:color="auto"/>
            </w:tcBorders>
            <w:vAlign w:val="bottom"/>
            <w:hideMark/>
          </w:tcPr>
          <w:p w14:paraId="018747A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611200</w:t>
            </w:r>
          </w:p>
        </w:tc>
        <w:tc>
          <w:tcPr>
            <w:tcW w:w="2215" w:type="dxa"/>
            <w:tcBorders>
              <w:top w:val="nil"/>
              <w:left w:val="nil"/>
              <w:bottom w:val="single" w:sz="4" w:space="0" w:color="auto"/>
              <w:right w:val="single" w:sz="4" w:space="0" w:color="auto"/>
            </w:tcBorders>
            <w:vAlign w:val="bottom"/>
            <w:hideMark/>
          </w:tcPr>
          <w:p w14:paraId="3DD58F70"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Накнаде трошкова запослених</w:t>
            </w:r>
          </w:p>
        </w:tc>
        <w:tc>
          <w:tcPr>
            <w:tcW w:w="1425" w:type="dxa"/>
            <w:tcBorders>
              <w:top w:val="nil"/>
              <w:left w:val="nil"/>
              <w:bottom w:val="single" w:sz="4" w:space="0" w:color="auto"/>
              <w:right w:val="single" w:sz="4" w:space="0" w:color="auto"/>
            </w:tcBorders>
            <w:noWrap/>
            <w:vAlign w:val="bottom"/>
            <w:hideMark/>
          </w:tcPr>
          <w:p w14:paraId="44ECA27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83,153.00</w:t>
            </w:r>
          </w:p>
        </w:tc>
        <w:tc>
          <w:tcPr>
            <w:tcW w:w="1447" w:type="dxa"/>
            <w:tcBorders>
              <w:top w:val="nil"/>
              <w:left w:val="nil"/>
              <w:bottom w:val="single" w:sz="4" w:space="0" w:color="auto"/>
              <w:right w:val="single" w:sz="4" w:space="0" w:color="auto"/>
            </w:tcBorders>
            <w:noWrap/>
            <w:vAlign w:val="bottom"/>
            <w:hideMark/>
          </w:tcPr>
          <w:p w14:paraId="452282C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45,440.00</w:t>
            </w:r>
          </w:p>
        </w:tc>
        <w:tc>
          <w:tcPr>
            <w:tcW w:w="1115" w:type="dxa"/>
            <w:tcBorders>
              <w:top w:val="nil"/>
              <w:left w:val="nil"/>
              <w:bottom w:val="single" w:sz="4" w:space="0" w:color="auto"/>
              <w:right w:val="single" w:sz="4" w:space="0" w:color="auto"/>
            </w:tcBorders>
            <w:noWrap/>
            <w:vAlign w:val="bottom"/>
            <w:hideMark/>
          </w:tcPr>
          <w:p w14:paraId="5800FA2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50,000.00</w:t>
            </w:r>
          </w:p>
        </w:tc>
        <w:tc>
          <w:tcPr>
            <w:tcW w:w="1115" w:type="dxa"/>
            <w:tcBorders>
              <w:top w:val="nil"/>
              <w:left w:val="nil"/>
              <w:bottom w:val="single" w:sz="4" w:space="0" w:color="auto"/>
              <w:right w:val="single" w:sz="4" w:space="0" w:color="auto"/>
            </w:tcBorders>
            <w:noWrap/>
            <w:vAlign w:val="bottom"/>
            <w:hideMark/>
          </w:tcPr>
          <w:p w14:paraId="388A1B9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50,000.00</w:t>
            </w:r>
          </w:p>
        </w:tc>
        <w:tc>
          <w:tcPr>
            <w:tcW w:w="1115" w:type="dxa"/>
            <w:tcBorders>
              <w:top w:val="nil"/>
              <w:left w:val="nil"/>
              <w:bottom w:val="single" w:sz="4" w:space="0" w:color="auto"/>
              <w:right w:val="single" w:sz="8" w:space="0" w:color="auto"/>
            </w:tcBorders>
            <w:noWrap/>
            <w:vAlign w:val="bottom"/>
            <w:hideMark/>
          </w:tcPr>
          <w:p w14:paraId="25512CC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50,000.00</w:t>
            </w:r>
          </w:p>
        </w:tc>
      </w:tr>
      <w:tr w:rsidR="00EA0FD7" w:rsidRPr="00EA0FD7" w14:paraId="2B4CB115" w14:textId="77777777" w:rsidTr="00EA0FD7">
        <w:trPr>
          <w:trHeight w:val="675"/>
        </w:trPr>
        <w:tc>
          <w:tcPr>
            <w:tcW w:w="1228" w:type="dxa"/>
            <w:tcBorders>
              <w:top w:val="nil"/>
              <w:left w:val="single" w:sz="8" w:space="0" w:color="auto"/>
              <w:bottom w:val="single" w:sz="4" w:space="0" w:color="auto"/>
              <w:right w:val="single" w:sz="4" w:space="0" w:color="auto"/>
            </w:tcBorders>
            <w:noWrap/>
            <w:vAlign w:val="bottom"/>
            <w:hideMark/>
          </w:tcPr>
          <w:p w14:paraId="55B229D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613000</w:t>
            </w:r>
          </w:p>
        </w:tc>
        <w:tc>
          <w:tcPr>
            <w:tcW w:w="2215" w:type="dxa"/>
            <w:tcBorders>
              <w:top w:val="nil"/>
              <w:left w:val="nil"/>
              <w:bottom w:val="single" w:sz="4" w:space="0" w:color="auto"/>
              <w:right w:val="single" w:sz="4" w:space="0" w:color="auto"/>
            </w:tcBorders>
            <w:vAlign w:val="bottom"/>
            <w:hideMark/>
          </w:tcPr>
          <w:p w14:paraId="2EFBCDCF"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материјал, робе, ситан инвентар и услуге</w:t>
            </w:r>
          </w:p>
        </w:tc>
        <w:tc>
          <w:tcPr>
            <w:tcW w:w="1425" w:type="dxa"/>
            <w:tcBorders>
              <w:top w:val="nil"/>
              <w:left w:val="nil"/>
              <w:bottom w:val="single" w:sz="4" w:space="0" w:color="auto"/>
              <w:right w:val="single" w:sz="4" w:space="0" w:color="auto"/>
            </w:tcBorders>
            <w:noWrap/>
            <w:vAlign w:val="bottom"/>
            <w:hideMark/>
          </w:tcPr>
          <w:p w14:paraId="0D135A9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298,691.00</w:t>
            </w:r>
          </w:p>
        </w:tc>
        <w:tc>
          <w:tcPr>
            <w:tcW w:w="1447" w:type="dxa"/>
            <w:tcBorders>
              <w:top w:val="nil"/>
              <w:left w:val="nil"/>
              <w:bottom w:val="single" w:sz="4" w:space="0" w:color="auto"/>
              <w:right w:val="single" w:sz="4" w:space="0" w:color="auto"/>
            </w:tcBorders>
            <w:noWrap/>
            <w:vAlign w:val="bottom"/>
            <w:hideMark/>
          </w:tcPr>
          <w:p w14:paraId="3A8704E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402,620.00</w:t>
            </w:r>
          </w:p>
        </w:tc>
        <w:tc>
          <w:tcPr>
            <w:tcW w:w="1115" w:type="dxa"/>
            <w:tcBorders>
              <w:top w:val="nil"/>
              <w:left w:val="nil"/>
              <w:bottom w:val="single" w:sz="4" w:space="0" w:color="auto"/>
              <w:right w:val="single" w:sz="4" w:space="0" w:color="auto"/>
            </w:tcBorders>
            <w:noWrap/>
            <w:vAlign w:val="bottom"/>
            <w:hideMark/>
          </w:tcPr>
          <w:p w14:paraId="68D41F0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430,000.00</w:t>
            </w:r>
          </w:p>
        </w:tc>
        <w:tc>
          <w:tcPr>
            <w:tcW w:w="1115" w:type="dxa"/>
            <w:tcBorders>
              <w:top w:val="nil"/>
              <w:left w:val="nil"/>
              <w:bottom w:val="single" w:sz="4" w:space="0" w:color="auto"/>
              <w:right w:val="single" w:sz="4" w:space="0" w:color="auto"/>
            </w:tcBorders>
            <w:noWrap/>
            <w:vAlign w:val="bottom"/>
            <w:hideMark/>
          </w:tcPr>
          <w:p w14:paraId="2CB66AB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410,000.00</w:t>
            </w:r>
          </w:p>
        </w:tc>
        <w:tc>
          <w:tcPr>
            <w:tcW w:w="1115" w:type="dxa"/>
            <w:tcBorders>
              <w:top w:val="nil"/>
              <w:left w:val="nil"/>
              <w:bottom w:val="single" w:sz="4" w:space="0" w:color="auto"/>
              <w:right w:val="single" w:sz="8" w:space="0" w:color="auto"/>
            </w:tcBorders>
            <w:noWrap/>
            <w:vAlign w:val="bottom"/>
            <w:hideMark/>
          </w:tcPr>
          <w:p w14:paraId="6D27CF6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410,000.00</w:t>
            </w:r>
          </w:p>
        </w:tc>
      </w:tr>
      <w:tr w:rsidR="00EA0FD7" w:rsidRPr="00EA0FD7" w14:paraId="016448C6" w14:textId="77777777" w:rsidTr="00EA0FD7">
        <w:trPr>
          <w:trHeight w:val="450"/>
        </w:trPr>
        <w:tc>
          <w:tcPr>
            <w:tcW w:w="1228" w:type="dxa"/>
            <w:tcBorders>
              <w:top w:val="nil"/>
              <w:left w:val="single" w:sz="8" w:space="0" w:color="auto"/>
              <w:bottom w:val="single" w:sz="4" w:space="0" w:color="auto"/>
              <w:right w:val="single" w:sz="4" w:space="0" w:color="auto"/>
            </w:tcBorders>
            <w:noWrap/>
            <w:vAlign w:val="bottom"/>
            <w:hideMark/>
          </w:tcPr>
          <w:p w14:paraId="3832467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614000</w:t>
            </w:r>
          </w:p>
        </w:tc>
        <w:tc>
          <w:tcPr>
            <w:tcW w:w="2215" w:type="dxa"/>
            <w:tcBorders>
              <w:top w:val="nil"/>
              <w:left w:val="nil"/>
              <w:bottom w:val="single" w:sz="4" w:space="0" w:color="auto"/>
              <w:right w:val="single" w:sz="4" w:space="0" w:color="auto"/>
            </w:tcBorders>
            <w:vAlign w:val="bottom"/>
            <w:hideMark/>
          </w:tcPr>
          <w:p w14:paraId="7BC6739C"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xml:space="preserve">Текући трансфери, </w:t>
            </w:r>
            <w:r w:rsidRPr="00EA0FD7">
              <w:rPr>
                <w:rFonts w:ascii="Arial" w:eastAsia="Times New Roman" w:hAnsi="Arial" w:cs="Arial"/>
                <w:sz w:val="17"/>
                <w:szCs w:val="17"/>
                <w:lang w:val="sr-Cyrl-RS"/>
              </w:rPr>
              <w:br/>
              <w:t>донације и субвенције</w:t>
            </w:r>
          </w:p>
        </w:tc>
        <w:tc>
          <w:tcPr>
            <w:tcW w:w="1425" w:type="dxa"/>
            <w:tcBorders>
              <w:top w:val="nil"/>
              <w:left w:val="nil"/>
              <w:bottom w:val="single" w:sz="4" w:space="0" w:color="auto"/>
              <w:right w:val="single" w:sz="4" w:space="0" w:color="auto"/>
            </w:tcBorders>
            <w:noWrap/>
            <w:vAlign w:val="bottom"/>
            <w:hideMark/>
          </w:tcPr>
          <w:p w14:paraId="074E17D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3,543,025.00</w:t>
            </w:r>
          </w:p>
        </w:tc>
        <w:tc>
          <w:tcPr>
            <w:tcW w:w="1447" w:type="dxa"/>
            <w:tcBorders>
              <w:top w:val="nil"/>
              <w:left w:val="nil"/>
              <w:bottom w:val="single" w:sz="4" w:space="0" w:color="auto"/>
              <w:right w:val="single" w:sz="4" w:space="0" w:color="auto"/>
            </w:tcBorders>
            <w:noWrap/>
            <w:vAlign w:val="bottom"/>
            <w:hideMark/>
          </w:tcPr>
          <w:p w14:paraId="59F569C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4,763,686.00</w:t>
            </w:r>
          </w:p>
        </w:tc>
        <w:tc>
          <w:tcPr>
            <w:tcW w:w="1115" w:type="dxa"/>
            <w:tcBorders>
              <w:top w:val="nil"/>
              <w:left w:val="nil"/>
              <w:bottom w:val="single" w:sz="4" w:space="0" w:color="auto"/>
              <w:right w:val="single" w:sz="4" w:space="0" w:color="auto"/>
            </w:tcBorders>
            <w:noWrap/>
            <w:vAlign w:val="bottom"/>
            <w:hideMark/>
          </w:tcPr>
          <w:p w14:paraId="36E8970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3,707,000.00</w:t>
            </w:r>
          </w:p>
        </w:tc>
        <w:tc>
          <w:tcPr>
            <w:tcW w:w="1115" w:type="dxa"/>
            <w:tcBorders>
              <w:top w:val="nil"/>
              <w:left w:val="nil"/>
              <w:bottom w:val="single" w:sz="4" w:space="0" w:color="auto"/>
              <w:right w:val="single" w:sz="4" w:space="0" w:color="auto"/>
            </w:tcBorders>
            <w:noWrap/>
            <w:vAlign w:val="bottom"/>
            <w:hideMark/>
          </w:tcPr>
          <w:p w14:paraId="13F6617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3,707,000.00</w:t>
            </w:r>
          </w:p>
        </w:tc>
        <w:tc>
          <w:tcPr>
            <w:tcW w:w="1115" w:type="dxa"/>
            <w:tcBorders>
              <w:top w:val="nil"/>
              <w:left w:val="nil"/>
              <w:bottom w:val="single" w:sz="4" w:space="0" w:color="auto"/>
              <w:right w:val="single" w:sz="8" w:space="0" w:color="auto"/>
            </w:tcBorders>
            <w:noWrap/>
            <w:vAlign w:val="bottom"/>
            <w:hideMark/>
          </w:tcPr>
          <w:p w14:paraId="6E0643C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3,707,000.00</w:t>
            </w:r>
          </w:p>
        </w:tc>
      </w:tr>
      <w:tr w:rsidR="00EA0FD7" w:rsidRPr="00EA0FD7" w14:paraId="7E6F86AF" w14:textId="77777777" w:rsidTr="00EA0FD7">
        <w:trPr>
          <w:trHeight w:val="450"/>
        </w:trPr>
        <w:tc>
          <w:tcPr>
            <w:tcW w:w="1228" w:type="dxa"/>
            <w:tcBorders>
              <w:top w:val="nil"/>
              <w:left w:val="single" w:sz="8" w:space="0" w:color="auto"/>
              <w:bottom w:val="single" w:sz="4" w:space="0" w:color="auto"/>
              <w:right w:val="single" w:sz="4" w:space="0" w:color="auto"/>
            </w:tcBorders>
            <w:noWrap/>
            <w:vAlign w:val="bottom"/>
            <w:hideMark/>
          </w:tcPr>
          <w:p w14:paraId="7F488F0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615000</w:t>
            </w:r>
          </w:p>
        </w:tc>
        <w:tc>
          <w:tcPr>
            <w:tcW w:w="2215" w:type="dxa"/>
            <w:tcBorders>
              <w:top w:val="nil"/>
              <w:left w:val="nil"/>
              <w:bottom w:val="single" w:sz="4" w:space="0" w:color="auto"/>
              <w:right w:val="single" w:sz="4" w:space="0" w:color="auto"/>
            </w:tcBorders>
            <w:vAlign w:val="bottom"/>
            <w:hideMark/>
          </w:tcPr>
          <w:p w14:paraId="1DA4A544"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Капитални трансфери и донације</w:t>
            </w:r>
          </w:p>
        </w:tc>
        <w:tc>
          <w:tcPr>
            <w:tcW w:w="1425" w:type="dxa"/>
            <w:tcBorders>
              <w:top w:val="nil"/>
              <w:left w:val="nil"/>
              <w:bottom w:val="single" w:sz="4" w:space="0" w:color="auto"/>
              <w:right w:val="single" w:sz="4" w:space="0" w:color="auto"/>
            </w:tcBorders>
            <w:noWrap/>
            <w:vAlign w:val="bottom"/>
            <w:hideMark/>
          </w:tcPr>
          <w:p w14:paraId="5064E1E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493BC16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4" w:space="0" w:color="auto"/>
            </w:tcBorders>
            <w:noWrap/>
            <w:vAlign w:val="bottom"/>
            <w:hideMark/>
          </w:tcPr>
          <w:p w14:paraId="1477356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4" w:space="0" w:color="auto"/>
            </w:tcBorders>
            <w:noWrap/>
            <w:vAlign w:val="bottom"/>
            <w:hideMark/>
          </w:tcPr>
          <w:p w14:paraId="3C4897F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8" w:space="0" w:color="auto"/>
            </w:tcBorders>
            <w:noWrap/>
            <w:vAlign w:val="bottom"/>
            <w:hideMark/>
          </w:tcPr>
          <w:p w14:paraId="47FADFF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EA0FD7" w:rsidRPr="00EA0FD7" w14:paraId="3AE65663" w14:textId="77777777" w:rsidTr="00EA0FD7">
        <w:trPr>
          <w:trHeight w:val="255"/>
        </w:trPr>
        <w:tc>
          <w:tcPr>
            <w:tcW w:w="1228" w:type="dxa"/>
            <w:tcBorders>
              <w:top w:val="nil"/>
              <w:left w:val="single" w:sz="8" w:space="0" w:color="auto"/>
              <w:bottom w:val="single" w:sz="4" w:space="0" w:color="auto"/>
              <w:right w:val="single" w:sz="4" w:space="0" w:color="auto"/>
            </w:tcBorders>
            <w:noWrap/>
            <w:vAlign w:val="bottom"/>
            <w:hideMark/>
          </w:tcPr>
          <w:p w14:paraId="178ED40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616000</w:t>
            </w:r>
          </w:p>
        </w:tc>
        <w:tc>
          <w:tcPr>
            <w:tcW w:w="2215" w:type="dxa"/>
            <w:tcBorders>
              <w:top w:val="nil"/>
              <w:left w:val="nil"/>
              <w:bottom w:val="single" w:sz="4" w:space="0" w:color="auto"/>
              <w:right w:val="single" w:sz="4" w:space="0" w:color="auto"/>
            </w:tcBorders>
            <w:vAlign w:val="bottom"/>
            <w:hideMark/>
          </w:tcPr>
          <w:p w14:paraId="5D67B12E"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камате</w:t>
            </w:r>
          </w:p>
        </w:tc>
        <w:tc>
          <w:tcPr>
            <w:tcW w:w="1425" w:type="dxa"/>
            <w:tcBorders>
              <w:top w:val="nil"/>
              <w:left w:val="nil"/>
              <w:bottom w:val="single" w:sz="4" w:space="0" w:color="auto"/>
              <w:right w:val="single" w:sz="4" w:space="0" w:color="auto"/>
            </w:tcBorders>
            <w:noWrap/>
            <w:vAlign w:val="bottom"/>
            <w:hideMark/>
          </w:tcPr>
          <w:p w14:paraId="6E051FD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55A3EED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4" w:space="0" w:color="auto"/>
            </w:tcBorders>
            <w:noWrap/>
            <w:vAlign w:val="bottom"/>
            <w:hideMark/>
          </w:tcPr>
          <w:p w14:paraId="0D0ED00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4" w:space="0" w:color="auto"/>
            </w:tcBorders>
            <w:noWrap/>
            <w:vAlign w:val="bottom"/>
            <w:hideMark/>
          </w:tcPr>
          <w:p w14:paraId="0C4F642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8" w:space="0" w:color="auto"/>
            </w:tcBorders>
            <w:noWrap/>
            <w:vAlign w:val="bottom"/>
            <w:hideMark/>
          </w:tcPr>
          <w:p w14:paraId="5CC2DEB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EA0FD7" w:rsidRPr="00EA0FD7" w14:paraId="790C6289" w14:textId="77777777" w:rsidTr="00EA0FD7">
        <w:trPr>
          <w:trHeight w:val="450"/>
        </w:trPr>
        <w:tc>
          <w:tcPr>
            <w:tcW w:w="1228" w:type="dxa"/>
            <w:tcBorders>
              <w:top w:val="nil"/>
              <w:left w:val="single" w:sz="8" w:space="0" w:color="auto"/>
              <w:bottom w:val="single" w:sz="4" w:space="0" w:color="auto"/>
              <w:right w:val="single" w:sz="4" w:space="0" w:color="auto"/>
            </w:tcBorders>
            <w:noWrap/>
            <w:vAlign w:val="bottom"/>
            <w:hideMark/>
          </w:tcPr>
          <w:p w14:paraId="318CFA3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821000</w:t>
            </w:r>
          </w:p>
        </w:tc>
        <w:tc>
          <w:tcPr>
            <w:tcW w:w="2215" w:type="dxa"/>
            <w:tcBorders>
              <w:top w:val="nil"/>
              <w:left w:val="nil"/>
              <w:bottom w:val="single" w:sz="4" w:space="0" w:color="auto"/>
              <w:right w:val="single" w:sz="4" w:space="0" w:color="auto"/>
            </w:tcBorders>
            <w:vAlign w:val="bottom"/>
            <w:hideMark/>
          </w:tcPr>
          <w:p w14:paraId="0868F40B"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xml:space="preserve">Издаци за набавку </w:t>
            </w:r>
            <w:r w:rsidRPr="00EA0FD7">
              <w:rPr>
                <w:rFonts w:ascii="Arial" w:eastAsia="Times New Roman" w:hAnsi="Arial" w:cs="Arial"/>
                <w:sz w:val="17"/>
                <w:szCs w:val="17"/>
                <w:lang w:val="sr-Cyrl-RS"/>
              </w:rPr>
              <w:br/>
              <w:t>сталних средстава</w:t>
            </w:r>
          </w:p>
        </w:tc>
        <w:tc>
          <w:tcPr>
            <w:tcW w:w="1425" w:type="dxa"/>
            <w:tcBorders>
              <w:top w:val="nil"/>
              <w:left w:val="nil"/>
              <w:bottom w:val="single" w:sz="4" w:space="0" w:color="auto"/>
              <w:right w:val="single" w:sz="4" w:space="0" w:color="auto"/>
            </w:tcBorders>
            <w:noWrap/>
            <w:vAlign w:val="bottom"/>
            <w:hideMark/>
          </w:tcPr>
          <w:p w14:paraId="3D67037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35,305.00</w:t>
            </w:r>
          </w:p>
        </w:tc>
        <w:tc>
          <w:tcPr>
            <w:tcW w:w="1447" w:type="dxa"/>
            <w:tcBorders>
              <w:top w:val="nil"/>
              <w:left w:val="nil"/>
              <w:bottom w:val="single" w:sz="4" w:space="0" w:color="auto"/>
              <w:right w:val="single" w:sz="4" w:space="0" w:color="auto"/>
            </w:tcBorders>
            <w:noWrap/>
            <w:vAlign w:val="bottom"/>
            <w:hideMark/>
          </w:tcPr>
          <w:p w14:paraId="33FCD24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194,000.00</w:t>
            </w:r>
          </w:p>
        </w:tc>
        <w:tc>
          <w:tcPr>
            <w:tcW w:w="1115" w:type="dxa"/>
            <w:tcBorders>
              <w:top w:val="nil"/>
              <w:left w:val="nil"/>
              <w:bottom w:val="single" w:sz="4" w:space="0" w:color="auto"/>
              <w:right w:val="single" w:sz="4" w:space="0" w:color="auto"/>
            </w:tcBorders>
            <w:noWrap/>
            <w:vAlign w:val="bottom"/>
            <w:hideMark/>
          </w:tcPr>
          <w:p w14:paraId="051BFD2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115,000.00</w:t>
            </w:r>
          </w:p>
        </w:tc>
        <w:tc>
          <w:tcPr>
            <w:tcW w:w="1115" w:type="dxa"/>
            <w:tcBorders>
              <w:top w:val="nil"/>
              <w:left w:val="nil"/>
              <w:bottom w:val="single" w:sz="4" w:space="0" w:color="auto"/>
              <w:right w:val="single" w:sz="4" w:space="0" w:color="auto"/>
            </w:tcBorders>
            <w:noWrap/>
            <w:vAlign w:val="bottom"/>
            <w:hideMark/>
          </w:tcPr>
          <w:p w14:paraId="1DCAC73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60,000.00</w:t>
            </w:r>
          </w:p>
        </w:tc>
        <w:tc>
          <w:tcPr>
            <w:tcW w:w="1115" w:type="dxa"/>
            <w:tcBorders>
              <w:top w:val="nil"/>
              <w:left w:val="nil"/>
              <w:bottom w:val="single" w:sz="4" w:space="0" w:color="auto"/>
              <w:right w:val="single" w:sz="8" w:space="0" w:color="auto"/>
            </w:tcBorders>
            <w:noWrap/>
            <w:vAlign w:val="bottom"/>
            <w:hideMark/>
          </w:tcPr>
          <w:p w14:paraId="07483B0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60,000.00</w:t>
            </w:r>
          </w:p>
        </w:tc>
      </w:tr>
      <w:tr w:rsidR="00EA0FD7" w:rsidRPr="00EA0FD7" w14:paraId="2FF1A319" w14:textId="77777777" w:rsidTr="00EA0FD7">
        <w:trPr>
          <w:trHeight w:val="450"/>
        </w:trPr>
        <w:tc>
          <w:tcPr>
            <w:tcW w:w="1228" w:type="dxa"/>
            <w:tcBorders>
              <w:top w:val="nil"/>
              <w:left w:val="single" w:sz="8" w:space="0" w:color="auto"/>
              <w:bottom w:val="single" w:sz="4" w:space="0" w:color="auto"/>
              <w:right w:val="single" w:sz="4" w:space="0" w:color="auto"/>
            </w:tcBorders>
            <w:noWrap/>
            <w:vAlign w:val="bottom"/>
            <w:hideMark/>
          </w:tcPr>
          <w:p w14:paraId="6B2D256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822000</w:t>
            </w:r>
          </w:p>
        </w:tc>
        <w:tc>
          <w:tcPr>
            <w:tcW w:w="2215" w:type="dxa"/>
            <w:tcBorders>
              <w:top w:val="nil"/>
              <w:left w:val="nil"/>
              <w:bottom w:val="single" w:sz="4" w:space="0" w:color="auto"/>
              <w:right w:val="single" w:sz="4" w:space="0" w:color="auto"/>
            </w:tcBorders>
            <w:vAlign w:val="bottom"/>
            <w:hideMark/>
          </w:tcPr>
          <w:p w14:paraId="3E015941"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финансијску имовину</w:t>
            </w:r>
          </w:p>
        </w:tc>
        <w:tc>
          <w:tcPr>
            <w:tcW w:w="1425" w:type="dxa"/>
            <w:tcBorders>
              <w:top w:val="nil"/>
              <w:left w:val="nil"/>
              <w:bottom w:val="single" w:sz="4" w:space="0" w:color="auto"/>
              <w:right w:val="single" w:sz="4" w:space="0" w:color="auto"/>
            </w:tcBorders>
            <w:noWrap/>
            <w:vAlign w:val="bottom"/>
            <w:hideMark/>
          </w:tcPr>
          <w:p w14:paraId="54C9F54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62D4208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4" w:space="0" w:color="auto"/>
            </w:tcBorders>
            <w:noWrap/>
            <w:vAlign w:val="bottom"/>
            <w:hideMark/>
          </w:tcPr>
          <w:p w14:paraId="7EF1A70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4" w:space="0" w:color="auto"/>
            </w:tcBorders>
            <w:noWrap/>
            <w:vAlign w:val="bottom"/>
            <w:hideMark/>
          </w:tcPr>
          <w:p w14:paraId="17A271C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8" w:space="0" w:color="auto"/>
            </w:tcBorders>
            <w:noWrap/>
            <w:vAlign w:val="bottom"/>
            <w:hideMark/>
          </w:tcPr>
          <w:p w14:paraId="4DF44B1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EA0FD7" w:rsidRPr="00EA0FD7" w14:paraId="3089D861" w14:textId="77777777" w:rsidTr="00EA0FD7">
        <w:trPr>
          <w:trHeight w:val="270"/>
        </w:trPr>
        <w:tc>
          <w:tcPr>
            <w:tcW w:w="1228" w:type="dxa"/>
            <w:tcBorders>
              <w:top w:val="nil"/>
              <w:left w:val="single" w:sz="8" w:space="0" w:color="auto"/>
              <w:bottom w:val="single" w:sz="8" w:space="0" w:color="auto"/>
              <w:right w:val="single" w:sz="4" w:space="0" w:color="auto"/>
            </w:tcBorders>
            <w:noWrap/>
            <w:vAlign w:val="bottom"/>
            <w:hideMark/>
          </w:tcPr>
          <w:p w14:paraId="640AC59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823000</w:t>
            </w:r>
          </w:p>
        </w:tc>
        <w:tc>
          <w:tcPr>
            <w:tcW w:w="2215" w:type="dxa"/>
            <w:tcBorders>
              <w:top w:val="nil"/>
              <w:left w:val="nil"/>
              <w:bottom w:val="nil"/>
              <w:right w:val="single" w:sz="4" w:space="0" w:color="auto"/>
            </w:tcBorders>
            <w:vAlign w:val="bottom"/>
            <w:hideMark/>
          </w:tcPr>
          <w:p w14:paraId="0C4AB442"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отплате дугова</w:t>
            </w:r>
          </w:p>
        </w:tc>
        <w:tc>
          <w:tcPr>
            <w:tcW w:w="1425" w:type="dxa"/>
            <w:tcBorders>
              <w:top w:val="nil"/>
              <w:left w:val="nil"/>
              <w:bottom w:val="single" w:sz="8" w:space="0" w:color="auto"/>
              <w:right w:val="single" w:sz="4" w:space="0" w:color="auto"/>
            </w:tcBorders>
            <w:noWrap/>
            <w:vAlign w:val="bottom"/>
            <w:hideMark/>
          </w:tcPr>
          <w:p w14:paraId="28F1F44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8" w:space="0" w:color="auto"/>
              <w:right w:val="single" w:sz="4" w:space="0" w:color="auto"/>
            </w:tcBorders>
            <w:noWrap/>
            <w:vAlign w:val="bottom"/>
            <w:hideMark/>
          </w:tcPr>
          <w:p w14:paraId="65346F3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8" w:space="0" w:color="auto"/>
              <w:right w:val="single" w:sz="4" w:space="0" w:color="auto"/>
            </w:tcBorders>
            <w:noWrap/>
            <w:vAlign w:val="bottom"/>
            <w:hideMark/>
          </w:tcPr>
          <w:p w14:paraId="279BE97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8" w:space="0" w:color="auto"/>
              <w:right w:val="single" w:sz="4" w:space="0" w:color="auto"/>
            </w:tcBorders>
            <w:noWrap/>
            <w:vAlign w:val="bottom"/>
            <w:hideMark/>
          </w:tcPr>
          <w:p w14:paraId="2357B16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8" w:space="0" w:color="auto"/>
              <w:right w:val="single" w:sz="8" w:space="0" w:color="auto"/>
            </w:tcBorders>
            <w:noWrap/>
            <w:vAlign w:val="bottom"/>
            <w:hideMark/>
          </w:tcPr>
          <w:p w14:paraId="763D80F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EA0FD7" w:rsidRPr="00EA0FD7" w14:paraId="220C257A" w14:textId="77777777" w:rsidTr="00EA0FD7">
        <w:trPr>
          <w:trHeight w:val="270"/>
        </w:trPr>
        <w:tc>
          <w:tcPr>
            <w:tcW w:w="1228" w:type="dxa"/>
            <w:tcBorders>
              <w:top w:val="nil"/>
              <w:left w:val="single" w:sz="8" w:space="0" w:color="auto"/>
              <w:bottom w:val="single" w:sz="8" w:space="0" w:color="auto"/>
              <w:right w:val="single" w:sz="4" w:space="0" w:color="auto"/>
            </w:tcBorders>
            <w:noWrap/>
            <w:vAlign w:val="bottom"/>
            <w:hideMark/>
          </w:tcPr>
          <w:p w14:paraId="333EC7E6" w14:textId="77777777" w:rsidR="00EA0FD7" w:rsidRPr="00EA0FD7" w:rsidRDefault="00EA0FD7" w:rsidP="00EA0FD7">
            <w:pPr>
              <w:spacing w:after="0" w:line="240" w:lineRule="auto"/>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 </w:t>
            </w:r>
          </w:p>
        </w:tc>
        <w:tc>
          <w:tcPr>
            <w:tcW w:w="2215" w:type="dxa"/>
            <w:tcBorders>
              <w:top w:val="single" w:sz="8" w:space="0" w:color="auto"/>
              <w:left w:val="nil"/>
              <w:bottom w:val="single" w:sz="8" w:space="0" w:color="auto"/>
              <w:right w:val="single" w:sz="4" w:space="0" w:color="auto"/>
            </w:tcBorders>
            <w:noWrap/>
            <w:vAlign w:val="bottom"/>
            <w:hideMark/>
          </w:tcPr>
          <w:p w14:paraId="0A87810C" w14:textId="77777777" w:rsidR="00EA0FD7" w:rsidRPr="00EA0FD7" w:rsidRDefault="00EA0FD7" w:rsidP="00EA0FD7">
            <w:pPr>
              <w:spacing w:after="0" w:line="240" w:lineRule="auto"/>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Укупни расходи</w:t>
            </w:r>
          </w:p>
        </w:tc>
        <w:tc>
          <w:tcPr>
            <w:tcW w:w="1425" w:type="dxa"/>
            <w:tcBorders>
              <w:top w:val="nil"/>
              <w:left w:val="nil"/>
              <w:bottom w:val="single" w:sz="8" w:space="0" w:color="auto"/>
              <w:right w:val="single" w:sz="4" w:space="0" w:color="auto"/>
            </w:tcBorders>
            <w:noWrap/>
            <w:vAlign w:val="bottom"/>
            <w:hideMark/>
          </w:tcPr>
          <w:p w14:paraId="0B6E6F92"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4,768,915.00</w:t>
            </w:r>
          </w:p>
        </w:tc>
        <w:tc>
          <w:tcPr>
            <w:tcW w:w="1447" w:type="dxa"/>
            <w:tcBorders>
              <w:top w:val="nil"/>
              <w:left w:val="nil"/>
              <w:bottom w:val="single" w:sz="8" w:space="0" w:color="auto"/>
              <w:right w:val="single" w:sz="4" w:space="0" w:color="auto"/>
            </w:tcBorders>
            <w:noWrap/>
            <w:vAlign w:val="bottom"/>
            <w:hideMark/>
          </w:tcPr>
          <w:p w14:paraId="26BAEF16"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6,368,046.00</w:t>
            </w:r>
          </w:p>
        </w:tc>
        <w:tc>
          <w:tcPr>
            <w:tcW w:w="1115" w:type="dxa"/>
            <w:tcBorders>
              <w:top w:val="nil"/>
              <w:left w:val="nil"/>
              <w:bottom w:val="single" w:sz="8" w:space="0" w:color="auto"/>
              <w:right w:val="single" w:sz="4" w:space="0" w:color="auto"/>
            </w:tcBorders>
            <w:noWrap/>
            <w:vAlign w:val="bottom"/>
            <w:hideMark/>
          </w:tcPr>
          <w:p w14:paraId="6C72D790"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5,310,000.00</w:t>
            </w:r>
          </w:p>
        </w:tc>
        <w:tc>
          <w:tcPr>
            <w:tcW w:w="1115" w:type="dxa"/>
            <w:tcBorders>
              <w:top w:val="nil"/>
              <w:left w:val="nil"/>
              <w:bottom w:val="single" w:sz="8" w:space="0" w:color="auto"/>
              <w:right w:val="single" w:sz="4" w:space="0" w:color="auto"/>
            </w:tcBorders>
            <w:noWrap/>
            <w:vAlign w:val="bottom"/>
            <w:hideMark/>
          </w:tcPr>
          <w:p w14:paraId="0CC48E7A"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5,235,000.00</w:t>
            </w:r>
          </w:p>
        </w:tc>
        <w:tc>
          <w:tcPr>
            <w:tcW w:w="1115" w:type="dxa"/>
            <w:tcBorders>
              <w:top w:val="nil"/>
              <w:left w:val="nil"/>
              <w:bottom w:val="single" w:sz="8" w:space="0" w:color="auto"/>
              <w:right w:val="single" w:sz="8" w:space="0" w:color="auto"/>
            </w:tcBorders>
            <w:noWrap/>
            <w:vAlign w:val="bottom"/>
            <w:hideMark/>
          </w:tcPr>
          <w:p w14:paraId="6B9A85CE"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5,235,000.00</w:t>
            </w:r>
          </w:p>
        </w:tc>
      </w:tr>
      <w:tr w:rsidR="00EA0FD7" w:rsidRPr="00EA0FD7" w14:paraId="5D9113E2" w14:textId="77777777" w:rsidTr="00EA0FD7">
        <w:trPr>
          <w:trHeight w:val="270"/>
        </w:trPr>
        <w:tc>
          <w:tcPr>
            <w:tcW w:w="9660" w:type="dxa"/>
            <w:gridSpan w:val="7"/>
            <w:tcBorders>
              <w:top w:val="nil"/>
              <w:left w:val="nil"/>
              <w:bottom w:val="single" w:sz="8" w:space="0" w:color="auto"/>
              <w:right w:val="nil"/>
            </w:tcBorders>
            <w:noWrap/>
            <w:vAlign w:val="bottom"/>
            <w:hideMark/>
          </w:tcPr>
          <w:p w14:paraId="470673B0"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419C1006" w14:textId="77777777" w:rsidTr="00EA0FD7">
        <w:trPr>
          <w:trHeight w:val="270"/>
        </w:trPr>
        <w:tc>
          <w:tcPr>
            <w:tcW w:w="1228" w:type="dxa"/>
            <w:tcBorders>
              <w:top w:val="nil"/>
              <w:left w:val="single" w:sz="8" w:space="0" w:color="auto"/>
              <w:bottom w:val="single" w:sz="8" w:space="0" w:color="auto"/>
              <w:right w:val="single" w:sz="4" w:space="0" w:color="auto"/>
            </w:tcBorders>
            <w:noWrap/>
            <w:vAlign w:val="bottom"/>
            <w:hideMark/>
          </w:tcPr>
          <w:p w14:paraId="21B4A2FD"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lastRenderedPageBreak/>
              <w:t> </w:t>
            </w:r>
          </w:p>
        </w:tc>
        <w:tc>
          <w:tcPr>
            <w:tcW w:w="2215" w:type="dxa"/>
            <w:tcBorders>
              <w:top w:val="nil"/>
              <w:left w:val="nil"/>
              <w:bottom w:val="single" w:sz="8" w:space="0" w:color="auto"/>
              <w:right w:val="single" w:sz="4" w:space="0" w:color="auto"/>
            </w:tcBorders>
            <w:noWrap/>
            <w:vAlign w:val="bottom"/>
            <w:hideMark/>
          </w:tcPr>
          <w:p w14:paraId="29DD8E3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425" w:type="dxa"/>
            <w:tcBorders>
              <w:top w:val="nil"/>
              <w:left w:val="nil"/>
              <w:bottom w:val="single" w:sz="8" w:space="0" w:color="auto"/>
              <w:right w:val="single" w:sz="4" w:space="0" w:color="auto"/>
            </w:tcBorders>
            <w:noWrap/>
            <w:vAlign w:val="bottom"/>
            <w:hideMark/>
          </w:tcPr>
          <w:p w14:paraId="33A69B3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w:t>
            </w:r>
          </w:p>
        </w:tc>
        <w:tc>
          <w:tcPr>
            <w:tcW w:w="1447" w:type="dxa"/>
            <w:tcBorders>
              <w:top w:val="nil"/>
              <w:left w:val="nil"/>
              <w:bottom w:val="single" w:sz="8" w:space="0" w:color="auto"/>
              <w:right w:val="single" w:sz="4" w:space="0" w:color="auto"/>
            </w:tcBorders>
            <w:noWrap/>
            <w:vAlign w:val="bottom"/>
            <w:hideMark/>
          </w:tcPr>
          <w:p w14:paraId="199C894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w:t>
            </w:r>
          </w:p>
        </w:tc>
        <w:tc>
          <w:tcPr>
            <w:tcW w:w="1115" w:type="dxa"/>
            <w:tcBorders>
              <w:top w:val="nil"/>
              <w:left w:val="nil"/>
              <w:bottom w:val="single" w:sz="8" w:space="0" w:color="auto"/>
              <w:right w:val="single" w:sz="4" w:space="0" w:color="auto"/>
            </w:tcBorders>
            <w:noWrap/>
            <w:vAlign w:val="bottom"/>
            <w:hideMark/>
          </w:tcPr>
          <w:p w14:paraId="254A766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30</w:t>
            </w:r>
          </w:p>
        </w:tc>
        <w:tc>
          <w:tcPr>
            <w:tcW w:w="1115" w:type="dxa"/>
            <w:tcBorders>
              <w:top w:val="nil"/>
              <w:left w:val="nil"/>
              <w:bottom w:val="single" w:sz="8" w:space="0" w:color="auto"/>
              <w:right w:val="single" w:sz="4" w:space="0" w:color="auto"/>
            </w:tcBorders>
            <w:noWrap/>
            <w:vAlign w:val="bottom"/>
            <w:hideMark/>
          </w:tcPr>
          <w:p w14:paraId="34AC3311"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30</w:t>
            </w:r>
          </w:p>
        </w:tc>
        <w:tc>
          <w:tcPr>
            <w:tcW w:w="1115" w:type="dxa"/>
            <w:tcBorders>
              <w:top w:val="nil"/>
              <w:left w:val="nil"/>
              <w:bottom w:val="single" w:sz="8" w:space="0" w:color="auto"/>
              <w:right w:val="single" w:sz="8" w:space="0" w:color="auto"/>
            </w:tcBorders>
            <w:noWrap/>
            <w:vAlign w:val="bottom"/>
            <w:hideMark/>
          </w:tcPr>
          <w:p w14:paraId="4D2FE61F"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30</w:t>
            </w:r>
          </w:p>
        </w:tc>
      </w:tr>
    </w:tbl>
    <w:p w14:paraId="1B1F8B13"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p>
    <w:tbl>
      <w:tblPr>
        <w:tblpPr w:leftFromText="180" w:rightFromText="180" w:vertAnchor="text" w:horzAnchor="margin" w:tblpY="197"/>
        <w:tblW w:w="9942" w:type="dxa"/>
        <w:tblLook w:val="04A0" w:firstRow="1" w:lastRow="0" w:firstColumn="1" w:lastColumn="0" w:noHBand="0" w:noVBand="1"/>
      </w:tblPr>
      <w:tblGrid>
        <w:gridCol w:w="1228"/>
        <w:gridCol w:w="2215"/>
        <w:gridCol w:w="1425"/>
        <w:gridCol w:w="1447"/>
        <w:gridCol w:w="1209"/>
        <w:gridCol w:w="1209"/>
        <w:gridCol w:w="1209"/>
      </w:tblGrid>
      <w:tr w:rsidR="00752F04" w:rsidRPr="00EA0FD7" w14:paraId="531F3070" w14:textId="77777777" w:rsidTr="00752F04">
        <w:trPr>
          <w:trHeight w:val="450"/>
        </w:trPr>
        <w:tc>
          <w:tcPr>
            <w:tcW w:w="9942" w:type="dxa"/>
            <w:gridSpan w:val="7"/>
            <w:vMerge w:val="restart"/>
            <w:tcBorders>
              <w:top w:val="nil"/>
              <w:left w:val="nil"/>
              <w:bottom w:val="single" w:sz="8" w:space="0" w:color="000000"/>
              <w:right w:val="nil"/>
            </w:tcBorders>
            <w:vAlign w:val="bottom"/>
            <w:hideMark/>
          </w:tcPr>
          <w:p w14:paraId="1F45C83B" w14:textId="226911DC"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Табела 4.7.</w:t>
            </w:r>
            <w:r w:rsidRPr="00EA0FD7">
              <w:rPr>
                <w:rFonts w:ascii="Arial" w:eastAsia="Times New Roman" w:hAnsi="Arial" w:cs="Arial"/>
                <w:sz w:val="18"/>
                <w:szCs w:val="18"/>
                <w:lang w:val="sr-Cyrl-RS"/>
              </w:rPr>
              <w:t xml:space="preserve"> Финансијски план расхода Завода за запошљавање Брчко дистрикта БиХ 2023</w:t>
            </w:r>
            <w:r>
              <w:rPr>
                <w:rFonts w:ascii="Arial" w:eastAsia="Times New Roman" w:hAnsi="Arial" w:cs="Arial"/>
                <w:sz w:val="18"/>
                <w:szCs w:val="18"/>
                <w:lang w:val="sr-Cyrl-RS"/>
              </w:rPr>
              <w:t>–</w:t>
            </w:r>
            <w:r w:rsidRPr="00EA0FD7">
              <w:rPr>
                <w:rFonts w:ascii="Arial" w:eastAsia="Times New Roman" w:hAnsi="Arial" w:cs="Arial"/>
                <w:sz w:val="18"/>
                <w:szCs w:val="18"/>
                <w:lang w:val="sr-Cyrl-RS"/>
              </w:rPr>
              <w:t xml:space="preserve">2025. године </w:t>
            </w:r>
            <w:r w:rsidRPr="00EA0FD7">
              <w:rPr>
                <w:rFonts w:ascii="Arial" w:eastAsia="Times New Roman" w:hAnsi="Arial" w:cs="Arial"/>
                <w:sz w:val="18"/>
                <w:szCs w:val="18"/>
                <w:lang w:val="sr-Cyrl-RS"/>
              </w:rPr>
              <w:br/>
              <w:t xml:space="preserve">                          (по извору финансирања) </w:t>
            </w:r>
          </w:p>
        </w:tc>
      </w:tr>
      <w:tr w:rsidR="00752F04" w:rsidRPr="00EA0FD7" w14:paraId="73ACE46C" w14:textId="77777777" w:rsidTr="00752F04">
        <w:trPr>
          <w:trHeight w:val="450"/>
        </w:trPr>
        <w:tc>
          <w:tcPr>
            <w:tcW w:w="0" w:type="auto"/>
            <w:gridSpan w:val="7"/>
            <w:vMerge/>
            <w:tcBorders>
              <w:top w:val="nil"/>
              <w:left w:val="nil"/>
              <w:bottom w:val="single" w:sz="8" w:space="0" w:color="000000"/>
              <w:right w:val="nil"/>
            </w:tcBorders>
            <w:vAlign w:val="center"/>
            <w:hideMark/>
          </w:tcPr>
          <w:p w14:paraId="6E920A95" w14:textId="77777777" w:rsidR="00752F04" w:rsidRPr="00EA0FD7" w:rsidRDefault="00752F04" w:rsidP="00752F04">
            <w:pPr>
              <w:spacing w:after="0" w:line="240" w:lineRule="auto"/>
              <w:rPr>
                <w:rFonts w:ascii="Arial" w:eastAsia="Times New Roman" w:hAnsi="Arial" w:cs="Arial"/>
                <w:b/>
                <w:bCs/>
                <w:sz w:val="18"/>
                <w:szCs w:val="18"/>
                <w:lang w:val="sr-Cyrl-RS"/>
              </w:rPr>
            </w:pPr>
          </w:p>
        </w:tc>
      </w:tr>
      <w:tr w:rsidR="00752F04" w:rsidRPr="00EA0FD7" w14:paraId="54469900" w14:textId="77777777" w:rsidTr="00752F04">
        <w:trPr>
          <w:trHeight w:val="270"/>
        </w:trPr>
        <w:tc>
          <w:tcPr>
            <w:tcW w:w="1228" w:type="dxa"/>
            <w:vMerge w:val="restart"/>
            <w:tcBorders>
              <w:top w:val="nil"/>
              <w:left w:val="single" w:sz="8" w:space="0" w:color="auto"/>
              <w:bottom w:val="single" w:sz="8" w:space="0" w:color="000000"/>
              <w:right w:val="single" w:sz="8" w:space="0" w:color="auto"/>
            </w:tcBorders>
            <w:shd w:val="pct25" w:color="auto" w:fill="CCFFCC"/>
            <w:vAlign w:val="center"/>
            <w:hideMark/>
          </w:tcPr>
          <w:p w14:paraId="4AC3EB76"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215" w:type="dxa"/>
            <w:vMerge w:val="restart"/>
            <w:tcBorders>
              <w:top w:val="nil"/>
              <w:left w:val="single" w:sz="8" w:space="0" w:color="auto"/>
              <w:bottom w:val="single" w:sz="8" w:space="0" w:color="000000"/>
              <w:right w:val="single" w:sz="8" w:space="0" w:color="auto"/>
            </w:tcBorders>
            <w:shd w:val="pct25" w:color="auto" w:fill="CCFFCC"/>
            <w:vAlign w:val="center"/>
            <w:hideMark/>
          </w:tcPr>
          <w:p w14:paraId="592CDAD1"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ИЗВОР ФИНАНСИРАЊА</w:t>
            </w:r>
          </w:p>
        </w:tc>
        <w:tc>
          <w:tcPr>
            <w:tcW w:w="1425" w:type="dxa"/>
            <w:vMerge w:val="restart"/>
            <w:tcBorders>
              <w:top w:val="nil"/>
              <w:left w:val="single" w:sz="8" w:space="0" w:color="auto"/>
              <w:bottom w:val="single" w:sz="8" w:space="0" w:color="000000"/>
              <w:right w:val="single" w:sz="8" w:space="0" w:color="auto"/>
            </w:tcBorders>
            <w:shd w:val="pct25" w:color="auto" w:fill="CCFFCC"/>
            <w:vAlign w:val="center"/>
            <w:hideMark/>
          </w:tcPr>
          <w:p w14:paraId="28D372AC"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xml:space="preserve">Извршење </w:t>
            </w:r>
            <w:r w:rsidRPr="00EA0FD7">
              <w:rPr>
                <w:rFonts w:ascii="Arial" w:eastAsia="Times New Roman" w:hAnsi="Arial" w:cs="Arial"/>
                <w:b/>
                <w:bCs/>
                <w:sz w:val="18"/>
                <w:szCs w:val="18"/>
                <w:lang w:val="sr-Cyrl-RS"/>
              </w:rPr>
              <w:br/>
              <w:t>2021.</w:t>
            </w:r>
          </w:p>
        </w:tc>
        <w:tc>
          <w:tcPr>
            <w:tcW w:w="1447" w:type="dxa"/>
            <w:vMerge w:val="restart"/>
            <w:tcBorders>
              <w:top w:val="nil"/>
              <w:left w:val="single" w:sz="8" w:space="0" w:color="auto"/>
              <w:bottom w:val="single" w:sz="8" w:space="0" w:color="000000"/>
              <w:right w:val="single" w:sz="8" w:space="0" w:color="auto"/>
            </w:tcBorders>
            <w:shd w:val="pct25" w:color="auto" w:fill="CCFFCC"/>
            <w:vAlign w:val="center"/>
            <w:hideMark/>
          </w:tcPr>
          <w:p w14:paraId="52E2F5CB"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Финансијски план</w:t>
            </w:r>
            <w:r w:rsidRPr="00EA0FD7">
              <w:rPr>
                <w:rFonts w:ascii="Arial" w:eastAsia="Times New Roman" w:hAnsi="Arial" w:cs="Arial"/>
                <w:b/>
                <w:bCs/>
                <w:sz w:val="18"/>
                <w:szCs w:val="18"/>
                <w:lang w:val="sr-Cyrl-RS"/>
              </w:rPr>
              <w:br/>
              <w:t>2022.</w:t>
            </w:r>
          </w:p>
        </w:tc>
        <w:tc>
          <w:tcPr>
            <w:tcW w:w="3627" w:type="dxa"/>
            <w:gridSpan w:val="3"/>
            <w:tcBorders>
              <w:top w:val="single" w:sz="8" w:space="0" w:color="auto"/>
              <w:left w:val="nil"/>
              <w:bottom w:val="single" w:sz="8" w:space="0" w:color="auto"/>
              <w:right w:val="single" w:sz="8" w:space="0" w:color="000000"/>
            </w:tcBorders>
            <w:shd w:val="pct25" w:color="auto" w:fill="CCFFCC"/>
            <w:noWrap/>
            <w:vAlign w:val="center"/>
            <w:hideMark/>
          </w:tcPr>
          <w:p w14:paraId="67FC4742"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Процјена</w:t>
            </w:r>
          </w:p>
        </w:tc>
      </w:tr>
      <w:tr w:rsidR="00752F04" w:rsidRPr="00EA0FD7" w14:paraId="64E6289C" w14:textId="77777777" w:rsidTr="00752F04">
        <w:trPr>
          <w:trHeight w:val="480"/>
        </w:trPr>
        <w:tc>
          <w:tcPr>
            <w:tcW w:w="0" w:type="auto"/>
            <w:vMerge/>
            <w:tcBorders>
              <w:top w:val="nil"/>
              <w:left w:val="single" w:sz="8" w:space="0" w:color="auto"/>
              <w:bottom w:val="single" w:sz="8" w:space="0" w:color="000000"/>
              <w:right w:val="single" w:sz="8" w:space="0" w:color="auto"/>
            </w:tcBorders>
            <w:vAlign w:val="center"/>
            <w:hideMark/>
          </w:tcPr>
          <w:p w14:paraId="33686FAA"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48909E5B"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6F17DB7A"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014BD009"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1209" w:type="dxa"/>
            <w:tcBorders>
              <w:top w:val="nil"/>
              <w:left w:val="nil"/>
              <w:bottom w:val="single" w:sz="8" w:space="0" w:color="auto"/>
              <w:right w:val="single" w:sz="4" w:space="0" w:color="auto"/>
            </w:tcBorders>
            <w:shd w:val="pct25" w:color="auto" w:fill="CCFFCC"/>
            <w:noWrap/>
            <w:vAlign w:val="center"/>
            <w:hideMark/>
          </w:tcPr>
          <w:p w14:paraId="54788E5C" w14:textId="33DEE570"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2023</w:t>
            </w:r>
            <w:r>
              <w:rPr>
                <w:rFonts w:ascii="Arial" w:eastAsia="Times New Roman" w:hAnsi="Arial" w:cs="Arial"/>
                <w:b/>
                <w:bCs/>
                <w:sz w:val="18"/>
                <w:szCs w:val="18"/>
                <w:lang w:val="sr-Cyrl-RS"/>
              </w:rPr>
              <w:t>.</w:t>
            </w:r>
          </w:p>
        </w:tc>
        <w:tc>
          <w:tcPr>
            <w:tcW w:w="1209" w:type="dxa"/>
            <w:tcBorders>
              <w:top w:val="nil"/>
              <w:left w:val="nil"/>
              <w:bottom w:val="single" w:sz="8" w:space="0" w:color="auto"/>
              <w:right w:val="single" w:sz="4" w:space="0" w:color="auto"/>
            </w:tcBorders>
            <w:shd w:val="pct25" w:color="auto" w:fill="CCFFCC"/>
            <w:noWrap/>
            <w:vAlign w:val="center"/>
            <w:hideMark/>
          </w:tcPr>
          <w:p w14:paraId="2FFA35E4" w14:textId="0914BC3A"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2024</w:t>
            </w:r>
            <w:r>
              <w:rPr>
                <w:rFonts w:ascii="Arial" w:eastAsia="Times New Roman" w:hAnsi="Arial" w:cs="Arial"/>
                <w:b/>
                <w:bCs/>
                <w:sz w:val="18"/>
                <w:szCs w:val="18"/>
                <w:lang w:val="sr-Cyrl-RS"/>
              </w:rPr>
              <w:t>.</w:t>
            </w:r>
          </w:p>
        </w:tc>
        <w:tc>
          <w:tcPr>
            <w:tcW w:w="1209" w:type="dxa"/>
            <w:tcBorders>
              <w:top w:val="nil"/>
              <w:left w:val="nil"/>
              <w:bottom w:val="single" w:sz="8" w:space="0" w:color="auto"/>
              <w:right w:val="single" w:sz="8" w:space="0" w:color="auto"/>
            </w:tcBorders>
            <w:shd w:val="pct25" w:color="auto" w:fill="CCFFCC"/>
            <w:noWrap/>
            <w:vAlign w:val="center"/>
            <w:hideMark/>
          </w:tcPr>
          <w:p w14:paraId="2CF2424C" w14:textId="7B85BBEF"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2025</w:t>
            </w:r>
            <w:r>
              <w:rPr>
                <w:rFonts w:ascii="Arial" w:eastAsia="Times New Roman" w:hAnsi="Arial" w:cs="Arial"/>
                <w:b/>
                <w:bCs/>
                <w:sz w:val="18"/>
                <w:szCs w:val="18"/>
                <w:lang w:val="sr-Cyrl-RS"/>
              </w:rPr>
              <w:t>.</w:t>
            </w:r>
          </w:p>
        </w:tc>
      </w:tr>
      <w:tr w:rsidR="00752F04" w:rsidRPr="00EA0FD7" w14:paraId="346A9C94" w14:textId="77777777" w:rsidTr="00752F04">
        <w:trPr>
          <w:trHeight w:val="270"/>
        </w:trPr>
        <w:tc>
          <w:tcPr>
            <w:tcW w:w="1228" w:type="dxa"/>
            <w:tcBorders>
              <w:top w:val="nil"/>
              <w:left w:val="single" w:sz="8" w:space="0" w:color="auto"/>
              <w:bottom w:val="single" w:sz="8" w:space="0" w:color="auto"/>
              <w:right w:val="single" w:sz="4" w:space="0" w:color="auto"/>
            </w:tcBorders>
            <w:noWrap/>
            <w:vAlign w:val="bottom"/>
            <w:hideMark/>
          </w:tcPr>
          <w:p w14:paraId="6CB0E20E"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215" w:type="dxa"/>
            <w:tcBorders>
              <w:top w:val="nil"/>
              <w:left w:val="nil"/>
              <w:bottom w:val="single" w:sz="8" w:space="0" w:color="auto"/>
              <w:right w:val="single" w:sz="4" w:space="0" w:color="auto"/>
            </w:tcBorders>
            <w:noWrap/>
            <w:vAlign w:val="bottom"/>
            <w:hideMark/>
          </w:tcPr>
          <w:p w14:paraId="58DD16D0"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w:t>
            </w:r>
          </w:p>
        </w:tc>
        <w:tc>
          <w:tcPr>
            <w:tcW w:w="1425" w:type="dxa"/>
            <w:tcBorders>
              <w:top w:val="nil"/>
              <w:left w:val="nil"/>
              <w:bottom w:val="single" w:sz="8" w:space="0" w:color="auto"/>
              <w:right w:val="single" w:sz="4" w:space="0" w:color="auto"/>
            </w:tcBorders>
            <w:noWrap/>
            <w:vAlign w:val="bottom"/>
            <w:hideMark/>
          </w:tcPr>
          <w:p w14:paraId="34C120C6"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47" w:type="dxa"/>
            <w:tcBorders>
              <w:top w:val="nil"/>
              <w:left w:val="nil"/>
              <w:bottom w:val="single" w:sz="8" w:space="0" w:color="auto"/>
              <w:right w:val="single" w:sz="4" w:space="0" w:color="auto"/>
            </w:tcBorders>
            <w:noWrap/>
            <w:vAlign w:val="bottom"/>
            <w:hideMark/>
          </w:tcPr>
          <w:p w14:paraId="70132564"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4" w:space="0" w:color="auto"/>
            </w:tcBorders>
            <w:noWrap/>
            <w:vAlign w:val="bottom"/>
            <w:hideMark/>
          </w:tcPr>
          <w:p w14:paraId="298E68E3"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4" w:space="0" w:color="auto"/>
            </w:tcBorders>
            <w:noWrap/>
            <w:vAlign w:val="bottom"/>
            <w:hideMark/>
          </w:tcPr>
          <w:p w14:paraId="575A942C"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8" w:space="0" w:color="auto"/>
            </w:tcBorders>
            <w:noWrap/>
            <w:vAlign w:val="bottom"/>
            <w:hideMark/>
          </w:tcPr>
          <w:p w14:paraId="48F32F4E"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752F04" w:rsidRPr="00EA0FD7" w14:paraId="76D9AA3F" w14:textId="77777777" w:rsidTr="00752F04">
        <w:trPr>
          <w:trHeight w:val="450"/>
        </w:trPr>
        <w:tc>
          <w:tcPr>
            <w:tcW w:w="1228" w:type="dxa"/>
            <w:tcBorders>
              <w:top w:val="nil"/>
              <w:left w:val="single" w:sz="8" w:space="0" w:color="auto"/>
              <w:bottom w:val="single" w:sz="4" w:space="0" w:color="auto"/>
              <w:right w:val="single" w:sz="4" w:space="0" w:color="auto"/>
            </w:tcBorders>
            <w:noWrap/>
            <w:vAlign w:val="bottom"/>
            <w:hideMark/>
          </w:tcPr>
          <w:p w14:paraId="79059A0D"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215" w:type="dxa"/>
            <w:tcBorders>
              <w:top w:val="nil"/>
              <w:left w:val="nil"/>
              <w:bottom w:val="single" w:sz="4" w:space="0" w:color="auto"/>
              <w:right w:val="single" w:sz="4" w:space="0" w:color="auto"/>
            </w:tcBorders>
            <w:vAlign w:val="bottom"/>
            <w:hideMark/>
          </w:tcPr>
          <w:p w14:paraId="66F3DF14" w14:textId="5487A8DF"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властитих</w:t>
            </w:r>
            <w:r w:rsidRPr="00EA0FD7">
              <w:rPr>
                <w:rFonts w:ascii="Arial" w:eastAsia="Times New Roman" w:hAnsi="Arial" w:cs="Arial"/>
                <w:sz w:val="17"/>
                <w:szCs w:val="17"/>
                <w:lang w:val="sr-Cyrl-RS"/>
              </w:rPr>
              <w:br/>
              <w:t>прихода</w:t>
            </w:r>
          </w:p>
        </w:tc>
        <w:tc>
          <w:tcPr>
            <w:tcW w:w="1425" w:type="dxa"/>
            <w:tcBorders>
              <w:top w:val="nil"/>
              <w:left w:val="nil"/>
              <w:bottom w:val="single" w:sz="4" w:space="0" w:color="auto"/>
              <w:right w:val="single" w:sz="4" w:space="0" w:color="auto"/>
            </w:tcBorders>
            <w:noWrap/>
            <w:vAlign w:val="bottom"/>
            <w:hideMark/>
          </w:tcPr>
          <w:p w14:paraId="34C1F3EF"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3,765,415.00</w:t>
            </w:r>
          </w:p>
        </w:tc>
        <w:tc>
          <w:tcPr>
            <w:tcW w:w="1447" w:type="dxa"/>
            <w:tcBorders>
              <w:top w:val="nil"/>
              <w:left w:val="nil"/>
              <w:bottom w:val="single" w:sz="4" w:space="0" w:color="auto"/>
              <w:right w:val="single" w:sz="4" w:space="0" w:color="auto"/>
            </w:tcBorders>
            <w:noWrap/>
            <w:vAlign w:val="bottom"/>
            <w:hideMark/>
          </w:tcPr>
          <w:p w14:paraId="0FB7E05C"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4,175,360.00</w:t>
            </w:r>
          </w:p>
        </w:tc>
        <w:tc>
          <w:tcPr>
            <w:tcW w:w="1209" w:type="dxa"/>
            <w:tcBorders>
              <w:top w:val="nil"/>
              <w:left w:val="nil"/>
              <w:bottom w:val="single" w:sz="4" w:space="0" w:color="auto"/>
              <w:right w:val="single" w:sz="4" w:space="0" w:color="auto"/>
            </w:tcBorders>
            <w:noWrap/>
            <w:vAlign w:val="bottom"/>
            <w:hideMark/>
          </w:tcPr>
          <w:p w14:paraId="1C26D64E"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4,274,000.00</w:t>
            </w:r>
          </w:p>
        </w:tc>
        <w:tc>
          <w:tcPr>
            <w:tcW w:w="1209" w:type="dxa"/>
            <w:tcBorders>
              <w:top w:val="nil"/>
              <w:left w:val="nil"/>
              <w:bottom w:val="single" w:sz="4" w:space="0" w:color="auto"/>
              <w:right w:val="single" w:sz="4" w:space="0" w:color="auto"/>
            </w:tcBorders>
            <w:noWrap/>
            <w:vAlign w:val="bottom"/>
            <w:hideMark/>
          </w:tcPr>
          <w:p w14:paraId="18F8409C"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4,199,000.00</w:t>
            </w:r>
          </w:p>
        </w:tc>
        <w:tc>
          <w:tcPr>
            <w:tcW w:w="1209" w:type="dxa"/>
            <w:tcBorders>
              <w:top w:val="nil"/>
              <w:left w:val="nil"/>
              <w:bottom w:val="single" w:sz="4" w:space="0" w:color="auto"/>
              <w:right w:val="single" w:sz="8" w:space="0" w:color="auto"/>
            </w:tcBorders>
            <w:noWrap/>
            <w:vAlign w:val="bottom"/>
            <w:hideMark/>
          </w:tcPr>
          <w:p w14:paraId="06D36516"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4,199,000.00</w:t>
            </w:r>
          </w:p>
        </w:tc>
      </w:tr>
      <w:tr w:rsidR="00752F04" w:rsidRPr="00EA0FD7" w14:paraId="50863ED4" w14:textId="77777777" w:rsidTr="00752F04">
        <w:trPr>
          <w:trHeight w:val="450"/>
        </w:trPr>
        <w:tc>
          <w:tcPr>
            <w:tcW w:w="1228" w:type="dxa"/>
            <w:tcBorders>
              <w:top w:val="nil"/>
              <w:left w:val="single" w:sz="8" w:space="0" w:color="auto"/>
              <w:bottom w:val="single" w:sz="4" w:space="0" w:color="auto"/>
              <w:right w:val="single" w:sz="4" w:space="0" w:color="auto"/>
            </w:tcBorders>
            <w:noWrap/>
            <w:vAlign w:val="bottom"/>
            <w:hideMark/>
          </w:tcPr>
          <w:p w14:paraId="17652801"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215" w:type="dxa"/>
            <w:tcBorders>
              <w:top w:val="nil"/>
              <w:left w:val="nil"/>
              <w:bottom w:val="single" w:sz="4" w:space="0" w:color="auto"/>
              <w:right w:val="single" w:sz="4" w:space="0" w:color="auto"/>
            </w:tcBorders>
            <w:vAlign w:val="bottom"/>
            <w:hideMark/>
          </w:tcPr>
          <w:p w14:paraId="1EBC5E3F"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кредитних средстава</w:t>
            </w:r>
          </w:p>
        </w:tc>
        <w:tc>
          <w:tcPr>
            <w:tcW w:w="1425" w:type="dxa"/>
            <w:tcBorders>
              <w:top w:val="nil"/>
              <w:left w:val="nil"/>
              <w:bottom w:val="single" w:sz="4" w:space="0" w:color="auto"/>
              <w:right w:val="single" w:sz="4" w:space="0" w:color="auto"/>
            </w:tcBorders>
            <w:noWrap/>
            <w:vAlign w:val="bottom"/>
            <w:hideMark/>
          </w:tcPr>
          <w:p w14:paraId="3B784CFC"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112E3EEF"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36311311"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13B54E84"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2D91E18A"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3080818C" w14:textId="77777777" w:rsidTr="00752F04">
        <w:trPr>
          <w:trHeight w:val="255"/>
        </w:trPr>
        <w:tc>
          <w:tcPr>
            <w:tcW w:w="1228" w:type="dxa"/>
            <w:tcBorders>
              <w:top w:val="nil"/>
              <w:left w:val="single" w:sz="8" w:space="0" w:color="auto"/>
              <w:bottom w:val="single" w:sz="4" w:space="0" w:color="auto"/>
              <w:right w:val="single" w:sz="4" w:space="0" w:color="auto"/>
            </w:tcBorders>
            <w:noWrap/>
            <w:vAlign w:val="bottom"/>
            <w:hideMark/>
          </w:tcPr>
          <w:p w14:paraId="492520BC"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215" w:type="dxa"/>
            <w:tcBorders>
              <w:top w:val="nil"/>
              <w:left w:val="nil"/>
              <w:bottom w:val="single" w:sz="4" w:space="0" w:color="auto"/>
              <w:right w:val="single" w:sz="4" w:space="0" w:color="auto"/>
            </w:tcBorders>
            <w:vAlign w:val="bottom"/>
            <w:hideMark/>
          </w:tcPr>
          <w:p w14:paraId="30659E58"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донација</w:t>
            </w:r>
          </w:p>
        </w:tc>
        <w:tc>
          <w:tcPr>
            <w:tcW w:w="1425" w:type="dxa"/>
            <w:tcBorders>
              <w:top w:val="nil"/>
              <w:left w:val="nil"/>
              <w:bottom w:val="single" w:sz="4" w:space="0" w:color="auto"/>
              <w:right w:val="single" w:sz="4" w:space="0" w:color="auto"/>
            </w:tcBorders>
            <w:noWrap/>
            <w:vAlign w:val="bottom"/>
            <w:hideMark/>
          </w:tcPr>
          <w:p w14:paraId="45786BD6"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48,000.00</w:t>
            </w:r>
          </w:p>
        </w:tc>
        <w:tc>
          <w:tcPr>
            <w:tcW w:w="1447" w:type="dxa"/>
            <w:tcBorders>
              <w:top w:val="nil"/>
              <w:left w:val="nil"/>
              <w:bottom w:val="single" w:sz="4" w:space="0" w:color="auto"/>
              <w:right w:val="single" w:sz="4" w:space="0" w:color="auto"/>
            </w:tcBorders>
            <w:noWrap/>
            <w:vAlign w:val="bottom"/>
            <w:hideMark/>
          </w:tcPr>
          <w:p w14:paraId="37CDD0BA"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36,000.00</w:t>
            </w:r>
          </w:p>
        </w:tc>
        <w:tc>
          <w:tcPr>
            <w:tcW w:w="1209" w:type="dxa"/>
            <w:tcBorders>
              <w:top w:val="nil"/>
              <w:left w:val="nil"/>
              <w:bottom w:val="single" w:sz="4" w:space="0" w:color="auto"/>
              <w:right w:val="single" w:sz="4" w:space="0" w:color="auto"/>
            </w:tcBorders>
            <w:noWrap/>
            <w:vAlign w:val="bottom"/>
            <w:hideMark/>
          </w:tcPr>
          <w:p w14:paraId="6DCD3D32"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36,000.00</w:t>
            </w:r>
          </w:p>
        </w:tc>
        <w:tc>
          <w:tcPr>
            <w:tcW w:w="1209" w:type="dxa"/>
            <w:tcBorders>
              <w:top w:val="nil"/>
              <w:left w:val="nil"/>
              <w:bottom w:val="single" w:sz="4" w:space="0" w:color="auto"/>
              <w:right w:val="single" w:sz="4" w:space="0" w:color="auto"/>
            </w:tcBorders>
            <w:noWrap/>
            <w:vAlign w:val="bottom"/>
            <w:hideMark/>
          </w:tcPr>
          <w:p w14:paraId="75B187E5"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36,000.00</w:t>
            </w:r>
          </w:p>
        </w:tc>
        <w:tc>
          <w:tcPr>
            <w:tcW w:w="1209" w:type="dxa"/>
            <w:tcBorders>
              <w:top w:val="nil"/>
              <w:left w:val="nil"/>
              <w:bottom w:val="single" w:sz="4" w:space="0" w:color="auto"/>
              <w:right w:val="single" w:sz="8" w:space="0" w:color="auto"/>
            </w:tcBorders>
            <w:noWrap/>
            <w:vAlign w:val="bottom"/>
            <w:hideMark/>
          </w:tcPr>
          <w:p w14:paraId="36B74937"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36,000.00</w:t>
            </w:r>
          </w:p>
        </w:tc>
      </w:tr>
      <w:tr w:rsidR="00752F04" w:rsidRPr="00EA0FD7" w14:paraId="4229D616" w14:textId="77777777" w:rsidTr="00752F04">
        <w:trPr>
          <w:trHeight w:val="270"/>
        </w:trPr>
        <w:tc>
          <w:tcPr>
            <w:tcW w:w="1228" w:type="dxa"/>
            <w:tcBorders>
              <w:top w:val="nil"/>
              <w:left w:val="single" w:sz="8" w:space="0" w:color="auto"/>
              <w:bottom w:val="single" w:sz="4" w:space="0" w:color="auto"/>
              <w:right w:val="single" w:sz="4" w:space="0" w:color="auto"/>
            </w:tcBorders>
            <w:noWrap/>
            <w:vAlign w:val="bottom"/>
            <w:hideMark/>
          </w:tcPr>
          <w:p w14:paraId="4CF6A509"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215" w:type="dxa"/>
            <w:tcBorders>
              <w:top w:val="nil"/>
              <w:left w:val="nil"/>
              <w:bottom w:val="single" w:sz="4" w:space="0" w:color="auto"/>
              <w:right w:val="single" w:sz="4" w:space="0" w:color="auto"/>
            </w:tcBorders>
            <w:noWrap/>
            <w:vAlign w:val="bottom"/>
            <w:hideMark/>
          </w:tcPr>
          <w:p w14:paraId="2D26278F"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буџета</w:t>
            </w:r>
          </w:p>
        </w:tc>
        <w:tc>
          <w:tcPr>
            <w:tcW w:w="1425" w:type="dxa"/>
            <w:tcBorders>
              <w:top w:val="nil"/>
              <w:left w:val="nil"/>
              <w:bottom w:val="single" w:sz="4" w:space="0" w:color="auto"/>
              <w:right w:val="single" w:sz="4" w:space="0" w:color="auto"/>
            </w:tcBorders>
            <w:noWrap/>
            <w:vAlign w:val="bottom"/>
            <w:hideMark/>
          </w:tcPr>
          <w:p w14:paraId="2BC851E5"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955,500.00</w:t>
            </w:r>
          </w:p>
        </w:tc>
        <w:tc>
          <w:tcPr>
            <w:tcW w:w="1447" w:type="dxa"/>
            <w:tcBorders>
              <w:top w:val="nil"/>
              <w:left w:val="nil"/>
              <w:bottom w:val="single" w:sz="4" w:space="0" w:color="auto"/>
              <w:right w:val="single" w:sz="4" w:space="0" w:color="auto"/>
            </w:tcBorders>
            <w:noWrap/>
            <w:vAlign w:val="bottom"/>
            <w:hideMark/>
          </w:tcPr>
          <w:p w14:paraId="3EFA99D4"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2,156,686.00</w:t>
            </w:r>
          </w:p>
        </w:tc>
        <w:tc>
          <w:tcPr>
            <w:tcW w:w="1209" w:type="dxa"/>
            <w:tcBorders>
              <w:top w:val="nil"/>
              <w:left w:val="nil"/>
              <w:bottom w:val="single" w:sz="4" w:space="0" w:color="auto"/>
              <w:right w:val="single" w:sz="4" w:space="0" w:color="auto"/>
            </w:tcBorders>
            <w:noWrap/>
            <w:vAlign w:val="bottom"/>
            <w:hideMark/>
          </w:tcPr>
          <w:p w14:paraId="2EEC397A"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1,000,000.00</w:t>
            </w:r>
          </w:p>
        </w:tc>
        <w:tc>
          <w:tcPr>
            <w:tcW w:w="1209" w:type="dxa"/>
            <w:tcBorders>
              <w:top w:val="nil"/>
              <w:left w:val="nil"/>
              <w:bottom w:val="single" w:sz="4" w:space="0" w:color="auto"/>
              <w:right w:val="single" w:sz="4" w:space="0" w:color="auto"/>
            </w:tcBorders>
            <w:noWrap/>
            <w:vAlign w:val="bottom"/>
            <w:hideMark/>
          </w:tcPr>
          <w:p w14:paraId="3765C088"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1,000,000.00</w:t>
            </w:r>
          </w:p>
        </w:tc>
        <w:tc>
          <w:tcPr>
            <w:tcW w:w="1209" w:type="dxa"/>
            <w:tcBorders>
              <w:top w:val="nil"/>
              <w:left w:val="nil"/>
              <w:bottom w:val="single" w:sz="4" w:space="0" w:color="auto"/>
              <w:right w:val="single" w:sz="8" w:space="0" w:color="auto"/>
            </w:tcBorders>
            <w:noWrap/>
            <w:vAlign w:val="bottom"/>
            <w:hideMark/>
          </w:tcPr>
          <w:p w14:paraId="5597F89F"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1,000,000.00</w:t>
            </w:r>
          </w:p>
        </w:tc>
      </w:tr>
      <w:tr w:rsidR="00752F04" w:rsidRPr="00EA0FD7" w14:paraId="116C55AC" w14:textId="77777777" w:rsidTr="00752F04">
        <w:trPr>
          <w:trHeight w:val="270"/>
        </w:trPr>
        <w:tc>
          <w:tcPr>
            <w:tcW w:w="1228" w:type="dxa"/>
            <w:tcBorders>
              <w:top w:val="single" w:sz="8" w:space="0" w:color="auto"/>
              <w:left w:val="single" w:sz="8" w:space="0" w:color="auto"/>
              <w:bottom w:val="single" w:sz="8" w:space="0" w:color="auto"/>
              <w:right w:val="single" w:sz="4" w:space="0" w:color="auto"/>
            </w:tcBorders>
            <w:noWrap/>
            <w:vAlign w:val="bottom"/>
            <w:hideMark/>
          </w:tcPr>
          <w:p w14:paraId="5A06DA2A" w14:textId="77777777" w:rsidR="00752F04" w:rsidRPr="00EA0FD7" w:rsidRDefault="00752F04" w:rsidP="00752F04">
            <w:pPr>
              <w:spacing w:after="0" w:line="240" w:lineRule="auto"/>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 </w:t>
            </w:r>
          </w:p>
        </w:tc>
        <w:tc>
          <w:tcPr>
            <w:tcW w:w="2215" w:type="dxa"/>
            <w:tcBorders>
              <w:top w:val="single" w:sz="8" w:space="0" w:color="auto"/>
              <w:left w:val="nil"/>
              <w:bottom w:val="single" w:sz="8" w:space="0" w:color="auto"/>
              <w:right w:val="single" w:sz="4" w:space="0" w:color="auto"/>
            </w:tcBorders>
            <w:noWrap/>
            <w:vAlign w:val="bottom"/>
            <w:hideMark/>
          </w:tcPr>
          <w:p w14:paraId="53EC64BC" w14:textId="77777777" w:rsidR="00752F04" w:rsidRPr="00EA0FD7" w:rsidRDefault="00752F04" w:rsidP="00752F04">
            <w:pPr>
              <w:spacing w:after="0" w:line="240" w:lineRule="auto"/>
              <w:jc w:val="center"/>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У К У П Н О</w:t>
            </w:r>
          </w:p>
        </w:tc>
        <w:tc>
          <w:tcPr>
            <w:tcW w:w="1425" w:type="dxa"/>
            <w:tcBorders>
              <w:top w:val="single" w:sz="8" w:space="0" w:color="auto"/>
              <w:left w:val="nil"/>
              <w:bottom w:val="single" w:sz="8" w:space="0" w:color="auto"/>
              <w:right w:val="single" w:sz="4" w:space="0" w:color="auto"/>
            </w:tcBorders>
            <w:noWrap/>
            <w:vAlign w:val="bottom"/>
            <w:hideMark/>
          </w:tcPr>
          <w:p w14:paraId="2EE15438"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4,768,915.00</w:t>
            </w:r>
          </w:p>
        </w:tc>
        <w:tc>
          <w:tcPr>
            <w:tcW w:w="1447" w:type="dxa"/>
            <w:tcBorders>
              <w:top w:val="single" w:sz="8" w:space="0" w:color="auto"/>
              <w:left w:val="nil"/>
              <w:bottom w:val="single" w:sz="8" w:space="0" w:color="auto"/>
              <w:right w:val="single" w:sz="4" w:space="0" w:color="auto"/>
            </w:tcBorders>
            <w:noWrap/>
            <w:vAlign w:val="bottom"/>
            <w:hideMark/>
          </w:tcPr>
          <w:p w14:paraId="1568AC9B"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6,368,046.00</w:t>
            </w:r>
          </w:p>
        </w:tc>
        <w:tc>
          <w:tcPr>
            <w:tcW w:w="1209" w:type="dxa"/>
            <w:tcBorders>
              <w:top w:val="single" w:sz="8" w:space="0" w:color="auto"/>
              <w:left w:val="nil"/>
              <w:bottom w:val="single" w:sz="8" w:space="0" w:color="auto"/>
              <w:right w:val="single" w:sz="4" w:space="0" w:color="auto"/>
            </w:tcBorders>
            <w:noWrap/>
            <w:vAlign w:val="bottom"/>
            <w:hideMark/>
          </w:tcPr>
          <w:p w14:paraId="6BB27BFD"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5,310,000.00</w:t>
            </w:r>
          </w:p>
        </w:tc>
        <w:tc>
          <w:tcPr>
            <w:tcW w:w="1209" w:type="dxa"/>
            <w:tcBorders>
              <w:top w:val="single" w:sz="8" w:space="0" w:color="auto"/>
              <w:left w:val="nil"/>
              <w:bottom w:val="single" w:sz="8" w:space="0" w:color="auto"/>
              <w:right w:val="single" w:sz="4" w:space="0" w:color="auto"/>
            </w:tcBorders>
            <w:noWrap/>
            <w:vAlign w:val="bottom"/>
            <w:hideMark/>
          </w:tcPr>
          <w:p w14:paraId="394B9644"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5,235,000.00</w:t>
            </w:r>
          </w:p>
        </w:tc>
        <w:tc>
          <w:tcPr>
            <w:tcW w:w="1209" w:type="dxa"/>
            <w:tcBorders>
              <w:top w:val="single" w:sz="8" w:space="0" w:color="auto"/>
              <w:left w:val="nil"/>
              <w:bottom w:val="single" w:sz="8" w:space="0" w:color="auto"/>
              <w:right w:val="single" w:sz="8" w:space="0" w:color="auto"/>
            </w:tcBorders>
            <w:noWrap/>
            <w:vAlign w:val="bottom"/>
            <w:hideMark/>
          </w:tcPr>
          <w:p w14:paraId="23D08433"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5,235,000.00</w:t>
            </w:r>
          </w:p>
        </w:tc>
      </w:tr>
    </w:tbl>
    <w:p w14:paraId="24272A07"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p>
    <w:p w14:paraId="0D840505"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p>
    <w:p w14:paraId="4E4AF7C9"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Завод за запошљавање је у 2021. години остварио укупне расходе у износу од 4.768.915 КМ, док им је финансијски план за 2022. годину 6.368.046 КМ, што је за  33,53% више у односу на остварење из 2021. године. </w:t>
      </w:r>
    </w:p>
    <w:p w14:paraId="2D10AE9D"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r w:rsidRPr="00EA0FD7">
        <w:rPr>
          <w:rFonts w:ascii="Times New Roman" w:eastAsia="Times New Roman" w:hAnsi="Times New Roman" w:cs="Times New Roman"/>
          <w:bCs/>
          <w:sz w:val="24"/>
          <w:szCs w:val="24"/>
          <w:lang w:val="sr-Cyrl-RS" w:eastAsia="hr-HR"/>
        </w:rPr>
        <w:t>Процјењује се да ће Финансијски план Завода за запошљавање за 2023. годину износити 5.310.000 КМ, а за  2024. и 2025. годину износити 5.235.000. КМ.</w:t>
      </w:r>
    </w:p>
    <w:p w14:paraId="740799A5" w14:textId="77777777" w:rsidR="00EA0FD7" w:rsidRPr="00EA0FD7" w:rsidRDefault="00EA0FD7" w:rsidP="00EA0FD7">
      <w:pPr>
        <w:spacing w:after="0" w:line="240" w:lineRule="auto"/>
        <w:jc w:val="both"/>
        <w:rPr>
          <w:rFonts w:ascii="Times New Roman" w:eastAsia="Times New Roman" w:hAnsi="Times New Roman" w:cs="Times New Roman"/>
          <w:bCs/>
          <w:sz w:val="24"/>
          <w:szCs w:val="24"/>
          <w:lang w:val="sr-Cyrl-RS" w:eastAsia="hr-HR"/>
        </w:rPr>
      </w:pPr>
    </w:p>
    <w:tbl>
      <w:tblPr>
        <w:tblW w:w="9660" w:type="dxa"/>
        <w:tblInd w:w="96" w:type="dxa"/>
        <w:tblLook w:val="04A0" w:firstRow="1" w:lastRow="0" w:firstColumn="1" w:lastColumn="0" w:noHBand="0" w:noVBand="1"/>
      </w:tblPr>
      <w:tblGrid>
        <w:gridCol w:w="1228"/>
        <w:gridCol w:w="2215"/>
        <w:gridCol w:w="1425"/>
        <w:gridCol w:w="1447"/>
        <w:gridCol w:w="1209"/>
        <w:gridCol w:w="1209"/>
        <w:gridCol w:w="1209"/>
      </w:tblGrid>
      <w:tr w:rsidR="00EA0FD7" w:rsidRPr="00EA0FD7" w14:paraId="6B7AB0C7" w14:textId="77777777" w:rsidTr="00EA0FD7">
        <w:trPr>
          <w:trHeight w:val="450"/>
        </w:trPr>
        <w:tc>
          <w:tcPr>
            <w:tcW w:w="9660" w:type="dxa"/>
            <w:gridSpan w:val="7"/>
            <w:vMerge w:val="restart"/>
            <w:tcBorders>
              <w:top w:val="nil"/>
              <w:left w:val="nil"/>
              <w:bottom w:val="single" w:sz="8" w:space="0" w:color="000000"/>
              <w:right w:val="nil"/>
            </w:tcBorders>
            <w:vAlign w:val="bottom"/>
            <w:hideMark/>
          </w:tcPr>
          <w:p w14:paraId="629E3C43" w14:textId="44CFD5D6"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Табела 4.8.</w:t>
            </w:r>
            <w:r w:rsidRPr="00EA0FD7">
              <w:rPr>
                <w:rFonts w:ascii="Arial" w:eastAsia="Times New Roman" w:hAnsi="Arial" w:cs="Arial"/>
                <w:sz w:val="20"/>
                <w:szCs w:val="20"/>
                <w:lang w:val="sr-Cyrl-RS"/>
              </w:rPr>
              <w:t xml:space="preserve"> Финансијски план расхода Развојно</w:t>
            </w:r>
            <w:r w:rsidR="00752F04">
              <w:rPr>
                <w:rFonts w:ascii="Arial" w:eastAsia="Times New Roman" w:hAnsi="Arial" w:cs="Arial"/>
                <w:sz w:val="20"/>
                <w:szCs w:val="20"/>
                <w:lang w:val="sr-Cyrl-RS"/>
              </w:rPr>
              <w:t>-</w:t>
            </w:r>
            <w:r w:rsidRPr="00EA0FD7">
              <w:rPr>
                <w:rFonts w:ascii="Arial" w:eastAsia="Times New Roman" w:hAnsi="Arial" w:cs="Arial"/>
                <w:sz w:val="20"/>
                <w:szCs w:val="20"/>
                <w:lang w:val="sr-Cyrl-RS"/>
              </w:rPr>
              <w:t>гарантног фонда Брчко дистрикта БиХ 2023</w:t>
            </w:r>
            <w:r w:rsidR="00752F04">
              <w:rPr>
                <w:rFonts w:ascii="Arial" w:eastAsia="Times New Roman" w:hAnsi="Arial" w:cs="Arial"/>
                <w:sz w:val="20"/>
                <w:szCs w:val="20"/>
                <w:lang w:val="sr-Cyrl-RS"/>
              </w:rPr>
              <w:t>–</w:t>
            </w:r>
            <w:r w:rsidRPr="00EA0FD7">
              <w:rPr>
                <w:rFonts w:ascii="Arial" w:eastAsia="Times New Roman" w:hAnsi="Arial" w:cs="Arial"/>
                <w:sz w:val="20"/>
                <w:szCs w:val="20"/>
                <w:lang w:val="sr-Cyrl-RS"/>
              </w:rPr>
              <w:t xml:space="preserve">2025. године (по економској класификацији) </w:t>
            </w:r>
          </w:p>
        </w:tc>
      </w:tr>
      <w:tr w:rsidR="00EA0FD7" w:rsidRPr="00EA0FD7" w14:paraId="17C02645" w14:textId="77777777" w:rsidTr="00EA0FD7">
        <w:trPr>
          <w:trHeight w:val="450"/>
        </w:trPr>
        <w:tc>
          <w:tcPr>
            <w:tcW w:w="0" w:type="auto"/>
            <w:gridSpan w:val="7"/>
            <w:vMerge/>
            <w:tcBorders>
              <w:top w:val="nil"/>
              <w:left w:val="nil"/>
              <w:bottom w:val="single" w:sz="8" w:space="0" w:color="000000"/>
              <w:right w:val="nil"/>
            </w:tcBorders>
            <w:vAlign w:val="center"/>
            <w:hideMark/>
          </w:tcPr>
          <w:p w14:paraId="5CDCA559" w14:textId="77777777" w:rsidR="00EA0FD7" w:rsidRPr="00EA0FD7" w:rsidRDefault="00EA0FD7" w:rsidP="00EA0FD7">
            <w:pPr>
              <w:spacing w:after="0" w:line="240" w:lineRule="auto"/>
              <w:rPr>
                <w:rFonts w:ascii="Arial" w:eastAsia="Times New Roman" w:hAnsi="Arial" w:cs="Arial"/>
                <w:b/>
                <w:bCs/>
                <w:sz w:val="18"/>
                <w:szCs w:val="18"/>
                <w:lang w:val="sr-Cyrl-RS"/>
              </w:rPr>
            </w:pPr>
          </w:p>
        </w:tc>
      </w:tr>
      <w:tr w:rsidR="00EA0FD7" w:rsidRPr="00EA0FD7" w14:paraId="15E91033" w14:textId="77777777" w:rsidTr="00EA0FD7">
        <w:trPr>
          <w:trHeight w:val="270"/>
        </w:trPr>
        <w:tc>
          <w:tcPr>
            <w:tcW w:w="1228" w:type="dxa"/>
            <w:vMerge w:val="restart"/>
            <w:tcBorders>
              <w:top w:val="nil"/>
              <w:left w:val="single" w:sz="8" w:space="0" w:color="auto"/>
              <w:bottom w:val="single" w:sz="8" w:space="0" w:color="000000"/>
              <w:right w:val="single" w:sz="8" w:space="0" w:color="auto"/>
            </w:tcBorders>
            <w:shd w:val="pct25" w:color="auto" w:fill="CCFFCC"/>
            <w:vAlign w:val="center"/>
            <w:hideMark/>
          </w:tcPr>
          <w:p w14:paraId="4188DDDD"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Економски</w:t>
            </w:r>
            <w:r w:rsidRPr="00EA0FD7">
              <w:rPr>
                <w:rFonts w:ascii="Arial" w:eastAsia="Times New Roman" w:hAnsi="Arial" w:cs="Arial"/>
                <w:b/>
                <w:bCs/>
                <w:sz w:val="18"/>
                <w:szCs w:val="18"/>
                <w:lang w:val="sr-Cyrl-RS"/>
              </w:rPr>
              <w:br/>
              <w:t>код</w:t>
            </w:r>
          </w:p>
        </w:tc>
        <w:tc>
          <w:tcPr>
            <w:tcW w:w="2215" w:type="dxa"/>
            <w:vMerge w:val="restart"/>
            <w:tcBorders>
              <w:top w:val="nil"/>
              <w:left w:val="single" w:sz="8" w:space="0" w:color="auto"/>
              <w:bottom w:val="single" w:sz="8" w:space="0" w:color="000000"/>
              <w:right w:val="single" w:sz="8" w:space="0" w:color="auto"/>
            </w:tcBorders>
            <w:shd w:val="pct25" w:color="auto" w:fill="CCFFCC"/>
            <w:vAlign w:val="center"/>
            <w:hideMark/>
          </w:tcPr>
          <w:p w14:paraId="3AB434FD"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Економска категорија</w:t>
            </w:r>
          </w:p>
        </w:tc>
        <w:tc>
          <w:tcPr>
            <w:tcW w:w="1425" w:type="dxa"/>
            <w:vMerge w:val="restart"/>
            <w:tcBorders>
              <w:top w:val="nil"/>
              <w:left w:val="single" w:sz="8" w:space="0" w:color="auto"/>
              <w:bottom w:val="single" w:sz="8" w:space="0" w:color="000000"/>
              <w:right w:val="single" w:sz="8" w:space="0" w:color="auto"/>
            </w:tcBorders>
            <w:shd w:val="pct25" w:color="auto" w:fill="CCFFCC"/>
            <w:vAlign w:val="center"/>
            <w:hideMark/>
          </w:tcPr>
          <w:p w14:paraId="2E618F40"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xml:space="preserve">Извршење </w:t>
            </w:r>
            <w:r w:rsidRPr="00EA0FD7">
              <w:rPr>
                <w:rFonts w:ascii="Arial" w:eastAsia="Times New Roman" w:hAnsi="Arial" w:cs="Arial"/>
                <w:b/>
                <w:bCs/>
                <w:sz w:val="18"/>
                <w:szCs w:val="18"/>
                <w:lang w:val="sr-Cyrl-RS"/>
              </w:rPr>
              <w:br/>
              <w:t>2021.</w:t>
            </w:r>
          </w:p>
        </w:tc>
        <w:tc>
          <w:tcPr>
            <w:tcW w:w="1447" w:type="dxa"/>
            <w:vMerge w:val="restart"/>
            <w:tcBorders>
              <w:top w:val="nil"/>
              <w:left w:val="single" w:sz="8" w:space="0" w:color="auto"/>
              <w:bottom w:val="single" w:sz="8" w:space="0" w:color="000000"/>
              <w:right w:val="single" w:sz="8" w:space="0" w:color="auto"/>
            </w:tcBorders>
            <w:shd w:val="pct25" w:color="auto" w:fill="CCFFCC"/>
            <w:vAlign w:val="center"/>
            <w:hideMark/>
          </w:tcPr>
          <w:p w14:paraId="6FC14CB5"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Финансијски план</w:t>
            </w:r>
            <w:r w:rsidRPr="00EA0FD7">
              <w:rPr>
                <w:rFonts w:ascii="Arial" w:eastAsia="Times New Roman" w:hAnsi="Arial" w:cs="Arial"/>
                <w:b/>
                <w:bCs/>
                <w:sz w:val="18"/>
                <w:szCs w:val="18"/>
                <w:lang w:val="sr-Cyrl-RS"/>
              </w:rPr>
              <w:br/>
              <w:t>2022.</w:t>
            </w:r>
          </w:p>
        </w:tc>
        <w:tc>
          <w:tcPr>
            <w:tcW w:w="3345" w:type="dxa"/>
            <w:gridSpan w:val="3"/>
            <w:tcBorders>
              <w:top w:val="single" w:sz="8" w:space="0" w:color="auto"/>
              <w:left w:val="nil"/>
              <w:bottom w:val="single" w:sz="8" w:space="0" w:color="auto"/>
              <w:right w:val="single" w:sz="8" w:space="0" w:color="000000"/>
            </w:tcBorders>
            <w:shd w:val="pct25" w:color="auto" w:fill="CCFFCC"/>
            <w:noWrap/>
            <w:vAlign w:val="center"/>
            <w:hideMark/>
          </w:tcPr>
          <w:p w14:paraId="65A8C060"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Процјена</w:t>
            </w:r>
          </w:p>
        </w:tc>
      </w:tr>
      <w:tr w:rsidR="00EA0FD7" w:rsidRPr="00EA0FD7" w14:paraId="2CFD1422" w14:textId="77777777" w:rsidTr="00EA0FD7">
        <w:trPr>
          <w:trHeight w:val="450"/>
        </w:trPr>
        <w:tc>
          <w:tcPr>
            <w:tcW w:w="0" w:type="auto"/>
            <w:vMerge/>
            <w:tcBorders>
              <w:top w:val="nil"/>
              <w:left w:val="single" w:sz="8" w:space="0" w:color="auto"/>
              <w:bottom w:val="single" w:sz="8" w:space="0" w:color="000000"/>
              <w:right w:val="single" w:sz="8" w:space="0" w:color="auto"/>
            </w:tcBorders>
            <w:vAlign w:val="center"/>
            <w:hideMark/>
          </w:tcPr>
          <w:p w14:paraId="291F2888"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2B629F22"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017F97E6"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16F2FD0B"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115" w:type="dxa"/>
            <w:tcBorders>
              <w:top w:val="nil"/>
              <w:left w:val="nil"/>
              <w:bottom w:val="single" w:sz="8" w:space="0" w:color="auto"/>
              <w:right w:val="single" w:sz="4" w:space="0" w:color="auto"/>
            </w:tcBorders>
            <w:shd w:val="pct25" w:color="auto" w:fill="CCFFCC"/>
            <w:noWrap/>
            <w:vAlign w:val="center"/>
            <w:hideMark/>
          </w:tcPr>
          <w:p w14:paraId="02E2421A" w14:textId="744B4383"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2023</w:t>
            </w:r>
            <w:r w:rsidR="00752F04">
              <w:rPr>
                <w:rFonts w:ascii="Arial" w:eastAsia="Times New Roman" w:hAnsi="Arial" w:cs="Arial"/>
                <w:b/>
                <w:bCs/>
                <w:sz w:val="18"/>
                <w:szCs w:val="18"/>
                <w:lang w:val="sr-Cyrl-RS"/>
              </w:rPr>
              <w:t>.</w:t>
            </w:r>
          </w:p>
        </w:tc>
        <w:tc>
          <w:tcPr>
            <w:tcW w:w="1115" w:type="dxa"/>
            <w:tcBorders>
              <w:top w:val="nil"/>
              <w:left w:val="nil"/>
              <w:bottom w:val="single" w:sz="8" w:space="0" w:color="auto"/>
              <w:right w:val="single" w:sz="4" w:space="0" w:color="auto"/>
            </w:tcBorders>
            <w:shd w:val="pct25" w:color="auto" w:fill="CCFFCC"/>
            <w:noWrap/>
            <w:vAlign w:val="center"/>
            <w:hideMark/>
          </w:tcPr>
          <w:p w14:paraId="3D0E99C7" w14:textId="0669F174"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2024</w:t>
            </w:r>
            <w:r w:rsidR="00752F04">
              <w:rPr>
                <w:rFonts w:ascii="Arial" w:eastAsia="Times New Roman" w:hAnsi="Arial" w:cs="Arial"/>
                <w:b/>
                <w:bCs/>
                <w:sz w:val="18"/>
                <w:szCs w:val="18"/>
                <w:lang w:val="sr-Cyrl-RS"/>
              </w:rPr>
              <w:t>.</w:t>
            </w:r>
          </w:p>
        </w:tc>
        <w:tc>
          <w:tcPr>
            <w:tcW w:w="1115" w:type="dxa"/>
            <w:tcBorders>
              <w:top w:val="nil"/>
              <w:left w:val="nil"/>
              <w:bottom w:val="single" w:sz="8" w:space="0" w:color="auto"/>
              <w:right w:val="single" w:sz="8" w:space="0" w:color="auto"/>
            </w:tcBorders>
            <w:shd w:val="pct25" w:color="auto" w:fill="CCFFCC"/>
            <w:noWrap/>
            <w:vAlign w:val="center"/>
            <w:hideMark/>
          </w:tcPr>
          <w:p w14:paraId="742E3D93" w14:textId="2960A22B"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2025</w:t>
            </w:r>
            <w:r w:rsidR="00752F04">
              <w:rPr>
                <w:rFonts w:ascii="Arial" w:eastAsia="Times New Roman" w:hAnsi="Arial" w:cs="Arial"/>
                <w:b/>
                <w:bCs/>
                <w:sz w:val="18"/>
                <w:szCs w:val="18"/>
                <w:lang w:val="sr-Cyrl-RS"/>
              </w:rPr>
              <w:t>.</w:t>
            </w:r>
          </w:p>
        </w:tc>
      </w:tr>
      <w:tr w:rsidR="00EA0FD7" w:rsidRPr="00EA0FD7" w14:paraId="2656AFA8" w14:textId="77777777" w:rsidTr="00EA0FD7">
        <w:trPr>
          <w:trHeight w:val="270"/>
        </w:trPr>
        <w:tc>
          <w:tcPr>
            <w:tcW w:w="1228" w:type="dxa"/>
            <w:tcBorders>
              <w:top w:val="nil"/>
              <w:left w:val="single" w:sz="8" w:space="0" w:color="auto"/>
              <w:bottom w:val="single" w:sz="8" w:space="0" w:color="auto"/>
              <w:right w:val="single" w:sz="4" w:space="0" w:color="auto"/>
            </w:tcBorders>
            <w:noWrap/>
            <w:vAlign w:val="bottom"/>
            <w:hideMark/>
          </w:tcPr>
          <w:p w14:paraId="03FA2D3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215" w:type="dxa"/>
            <w:tcBorders>
              <w:top w:val="nil"/>
              <w:left w:val="nil"/>
              <w:bottom w:val="single" w:sz="8" w:space="0" w:color="auto"/>
              <w:right w:val="single" w:sz="4" w:space="0" w:color="auto"/>
            </w:tcBorders>
            <w:noWrap/>
            <w:vAlign w:val="bottom"/>
            <w:hideMark/>
          </w:tcPr>
          <w:p w14:paraId="2FA4D6FE"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w:t>
            </w:r>
          </w:p>
        </w:tc>
        <w:tc>
          <w:tcPr>
            <w:tcW w:w="1425" w:type="dxa"/>
            <w:tcBorders>
              <w:top w:val="nil"/>
              <w:left w:val="nil"/>
              <w:bottom w:val="single" w:sz="8" w:space="0" w:color="auto"/>
              <w:right w:val="single" w:sz="4" w:space="0" w:color="auto"/>
            </w:tcBorders>
            <w:noWrap/>
            <w:vAlign w:val="bottom"/>
            <w:hideMark/>
          </w:tcPr>
          <w:p w14:paraId="61D8A37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47" w:type="dxa"/>
            <w:tcBorders>
              <w:top w:val="nil"/>
              <w:left w:val="nil"/>
              <w:bottom w:val="single" w:sz="8" w:space="0" w:color="auto"/>
              <w:right w:val="single" w:sz="4" w:space="0" w:color="auto"/>
            </w:tcBorders>
            <w:noWrap/>
            <w:vAlign w:val="bottom"/>
            <w:hideMark/>
          </w:tcPr>
          <w:p w14:paraId="4F03FA3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5" w:type="dxa"/>
            <w:tcBorders>
              <w:top w:val="nil"/>
              <w:left w:val="nil"/>
              <w:bottom w:val="single" w:sz="8" w:space="0" w:color="auto"/>
              <w:right w:val="single" w:sz="4" w:space="0" w:color="auto"/>
            </w:tcBorders>
            <w:noWrap/>
            <w:vAlign w:val="bottom"/>
            <w:hideMark/>
          </w:tcPr>
          <w:p w14:paraId="66A34F6C"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5" w:type="dxa"/>
            <w:tcBorders>
              <w:top w:val="nil"/>
              <w:left w:val="nil"/>
              <w:bottom w:val="single" w:sz="8" w:space="0" w:color="auto"/>
              <w:right w:val="single" w:sz="4" w:space="0" w:color="auto"/>
            </w:tcBorders>
            <w:noWrap/>
            <w:vAlign w:val="bottom"/>
            <w:hideMark/>
          </w:tcPr>
          <w:p w14:paraId="222ABF99"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115" w:type="dxa"/>
            <w:tcBorders>
              <w:top w:val="nil"/>
              <w:left w:val="nil"/>
              <w:bottom w:val="single" w:sz="8" w:space="0" w:color="auto"/>
              <w:right w:val="single" w:sz="8" w:space="0" w:color="auto"/>
            </w:tcBorders>
            <w:noWrap/>
            <w:vAlign w:val="bottom"/>
            <w:hideMark/>
          </w:tcPr>
          <w:p w14:paraId="5D05107F"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6365CEEB" w14:textId="77777777" w:rsidTr="00EA0FD7">
        <w:trPr>
          <w:trHeight w:val="450"/>
        </w:trPr>
        <w:tc>
          <w:tcPr>
            <w:tcW w:w="1228" w:type="dxa"/>
            <w:tcBorders>
              <w:top w:val="nil"/>
              <w:left w:val="single" w:sz="8" w:space="0" w:color="auto"/>
              <w:bottom w:val="single" w:sz="4" w:space="0" w:color="auto"/>
              <w:right w:val="single" w:sz="4" w:space="0" w:color="auto"/>
            </w:tcBorders>
            <w:vAlign w:val="bottom"/>
            <w:hideMark/>
          </w:tcPr>
          <w:p w14:paraId="669D798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611100</w:t>
            </w:r>
            <w:r w:rsidRPr="00EA0FD7">
              <w:rPr>
                <w:rFonts w:ascii="Arial" w:eastAsia="Times New Roman" w:hAnsi="Arial" w:cs="Arial"/>
                <w:sz w:val="17"/>
                <w:szCs w:val="17"/>
                <w:lang w:val="sr-Cyrl-RS"/>
              </w:rPr>
              <w:br/>
              <w:t>612100</w:t>
            </w:r>
          </w:p>
        </w:tc>
        <w:tc>
          <w:tcPr>
            <w:tcW w:w="2215" w:type="dxa"/>
            <w:tcBorders>
              <w:top w:val="nil"/>
              <w:left w:val="nil"/>
              <w:bottom w:val="single" w:sz="4" w:space="0" w:color="auto"/>
              <w:right w:val="single" w:sz="4" w:space="0" w:color="auto"/>
            </w:tcBorders>
            <w:vAlign w:val="bottom"/>
            <w:hideMark/>
          </w:tcPr>
          <w:p w14:paraId="424B098D"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xml:space="preserve">Бруто плате и доприноси </w:t>
            </w:r>
            <w:r w:rsidRPr="00EA0FD7">
              <w:rPr>
                <w:rFonts w:ascii="Arial" w:eastAsia="Times New Roman" w:hAnsi="Arial" w:cs="Arial"/>
                <w:sz w:val="17"/>
                <w:szCs w:val="17"/>
                <w:lang w:val="sr-Cyrl-RS"/>
              </w:rPr>
              <w:br/>
              <w:t>послодавца</w:t>
            </w:r>
          </w:p>
        </w:tc>
        <w:tc>
          <w:tcPr>
            <w:tcW w:w="1425" w:type="dxa"/>
            <w:tcBorders>
              <w:top w:val="nil"/>
              <w:left w:val="nil"/>
              <w:bottom w:val="single" w:sz="4" w:space="0" w:color="auto"/>
              <w:right w:val="single" w:sz="4" w:space="0" w:color="auto"/>
            </w:tcBorders>
            <w:noWrap/>
            <w:vAlign w:val="bottom"/>
            <w:hideMark/>
          </w:tcPr>
          <w:p w14:paraId="53BA4F3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172,638.00</w:t>
            </w:r>
          </w:p>
        </w:tc>
        <w:tc>
          <w:tcPr>
            <w:tcW w:w="1447" w:type="dxa"/>
            <w:tcBorders>
              <w:top w:val="nil"/>
              <w:left w:val="nil"/>
              <w:bottom w:val="single" w:sz="4" w:space="0" w:color="auto"/>
              <w:right w:val="single" w:sz="4" w:space="0" w:color="auto"/>
            </w:tcBorders>
            <w:noWrap/>
            <w:vAlign w:val="bottom"/>
            <w:hideMark/>
          </w:tcPr>
          <w:p w14:paraId="2D7D1D5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527,420.00</w:t>
            </w:r>
          </w:p>
        </w:tc>
        <w:tc>
          <w:tcPr>
            <w:tcW w:w="1115" w:type="dxa"/>
            <w:tcBorders>
              <w:top w:val="nil"/>
              <w:left w:val="nil"/>
              <w:bottom w:val="single" w:sz="4" w:space="0" w:color="auto"/>
              <w:right w:val="single" w:sz="4" w:space="0" w:color="auto"/>
            </w:tcBorders>
            <w:noWrap/>
            <w:vAlign w:val="bottom"/>
            <w:hideMark/>
          </w:tcPr>
          <w:p w14:paraId="33DC375A"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695,000.00</w:t>
            </w:r>
          </w:p>
        </w:tc>
        <w:tc>
          <w:tcPr>
            <w:tcW w:w="1115" w:type="dxa"/>
            <w:tcBorders>
              <w:top w:val="nil"/>
              <w:left w:val="nil"/>
              <w:bottom w:val="single" w:sz="4" w:space="0" w:color="auto"/>
              <w:right w:val="single" w:sz="4" w:space="0" w:color="auto"/>
            </w:tcBorders>
            <w:noWrap/>
            <w:vAlign w:val="bottom"/>
            <w:hideMark/>
          </w:tcPr>
          <w:p w14:paraId="224444E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695,000.00</w:t>
            </w:r>
          </w:p>
        </w:tc>
        <w:tc>
          <w:tcPr>
            <w:tcW w:w="1115" w:type="dxa"/>
            <w:tcBorders>
              <w:top w:val="nil"/>
              <w:left w:val="nil"/>
              <w:bottom w:val="single" w:sz="4" w:space="0" w:color="auto"/>
              <w:right w:val="single" w:sz="8" w:space="0" w:color="auto"/>
            </w:tcBorders>
            <w:noWrap/>
            <w:vAlign w:val="bottom"/>
            <w:hideMark/>
          </w:tcPr>
          <w:p w14:paraId="3012FC4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695,000.00</w:t>
            </w:r>
          </w:p>
        </w:tc>
      </w:tr>
      <w:tr w:rsidR="00EA0FD7" w:rsidRPr="00EA0FD7" w14:paraId="3B800511" w14:textId="77777777" w:rsidTr="00EA0FD7">
        <w:trPr>
          <w:trHeight w:val="450"/>
        </w:trPr>
        <w:tc>
          <w:tcPr>
            <w:tcW w:w="1228" w:type="dxa"/>
            <w:tcBorders>
              <w:top w:val="nil"/>
              <w:left w:val="single" w:sz="8" w:space="0" w:color="auto"/>
              <w:bottom w:val="single" w:sz="4" w:space="0" w:color="auto"/>
              <w:right w:val="single" w:sz="4" w:space="0" w:color="auto"/>
            </w:tcBorders>
            <w:vAlign w:val="bottom"/>
            <w:hideMark/>
          </w:tcPr>
          <w:p w14:paraId="53BFE90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611200</w:t>
            </w:r>
          </w:p>
        </w:tc>
        <w:tc>
          <w:tcPr>
            <w:tcW w:w="2215" w:type="dxa"/>
            <w:tcBorders>
              <w:top w:val="nil"/>
              <w:left w:val="nil"/>
              <w:bottom w:val="single" w:sz="4" w:space="0" w:color="auto"/>
              <w:right w:val="single" w:sz="4" w:space="0" w:color="auto"/>
            </w:tcBorders>
            <w:vAlign w:val="bottom"/>
            <w:hideMark/>
          </w:tcPr>
          <w:p w14:paraId="045AD130"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Накнаде трошкова запослених</w:t>
            </w:r>
          </w:p>
        </w:tc>
        <w:tc>
          <w:tcPr>
            <w:tcW w:w="1425" w:type="dxa"/>
            <w:tcBorders>
              <w:top w:val="nil"/>
              <w:left w:val="nil"/>
              <w:bottom w:val="single" w:sz="4" w:space="0" w:color="auto"/>
              <w:right w:val="single" w:sz="4" w:space="0" w:color="auto"/>
            </w:tcBorders>
            <w:noWrap/>
            <w:vAlign w:val="bottom"/>
            <w:hideMark/>
          </w:tcPr>
          <w:p w14:paraId="2B17E1A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2,135.00</w:t>
            </w:r>
          </w:p>
        </w:tc>
        <w:tc>
          <w:tcPr>
            <w:tcW w:w="1447" w:type="dxa"/>
            <w:tcBorders>
              <w:top w:val="nil"/>
              <w:left w:val="nil"/>
              <w:bottom w:val="single" w:sz="4" w:space="0" w:color="auto"/>
              <w:right w:val="single" w:sz="4" w:space="0" w:color="auto"/>
            </w:tcBorders>
            <w:noWrap/>
            <w:vAlign w:val="bottom"/>
            <w:hideMark/>
          </w:tcPr>
          <w:p w14:paraId="4E387485"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25,500.00</w:t>
            </w:r>
          </w:p>
        </w:tc>
        <w:tc>
          <w:tcPr>
            <w:tcW w:w="1115" w:type="dxa"/>
            <w:tcBorders>
              <w:top w:val="nil"/>
              <w:left w:val="nil"/>
              <w:bottom w:val="single" w:sz="4" w:space="0" w:color="auto"/>
              <w:right w:val="single" w:sz="4" w:space="0" w:color="auto"/>
            </w:tcBorders>
            <w:noWrap/>
            <w:vAlign w:val="bottom"/>
            <w:hideMark/>
          </w:tcPr>
          <w:p w14:paraId="66DAFCA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35,000.00</w:t>
            </w:r>
          </w:p>
        </w:tc>
        <w:tc>
          <w:tcPr>
            <w:tcW w:w="1115" w:type="dxa"/>
            <w:tcBorders>
              <w:top w:val="nil"/>
              <w:left w:val="nil"/>
              <w:bottom w:val="single" w:sz="4" w:space="0" w:color="auto"/>
              <w:right w:val="single" w:sz="4" w:space="0" w:color="auto"/>
            </w:tcBorders>
            <w:noWrap/>
            <w:vAlign w:val="bottom"/>
            <w:hideMark/>
          </w:tcPr>
          <w:p w14:paraId="7A1AEFC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35,000.00</w:t>
            </w:r>
          </w:p>
        </w:tc>
        <w:tc>
          <w:tcPr>
            <w:tcW w:w="1115" w:type="dxa"/>
            <w:tcBorders>
              <w:top w:val="nil"/>
              <w:left w:val="nil"/>
              <w:bottom w:val="single" w:sz="4" w:space="0" w:color="auto"/>
              <w:right w:val="single" w:sz="8" w:space="0" w:color="auto"/>
            </w:tcBorders>
            <w:noWrap/>
            <w:vAlign w:val="bottom"/>
            <w:hideMark/>
          </w:tcPr>
          <w:p w14:paraId="766C803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35,000.00</w:t>
            </w:r>
          </w:p>
        </w:tc>
      </w:tr>
      <w:tr w:rsidR="00EA0FD7" w:rsidRPr="00EA0FD7" w14:paraId="4388E1A7" w14:textId="77777777" w:rsidTr="00EA0FD7">
        <w:trPr>
          <w:trHeight w:val="675"/>
        </w:trPr>
        <w:tc>
          <w:tcPr>
            <w:tcW w:w="1228" w:type="dxa"/>
            <w:tcBorders>
              <w:top w:val="nil"/>
              <w:left w:val="single" w:sz="8" w:space="0" w:color="auto"/>
              <w:bottom w:val="single" w:sz="4" w:space="0" w:color="auto"/>
              <w:right w:val="single" w:sz="4" w:space="0" w:color="auto"/>
            </w:tcBorders>
            <w:noWrap/>
            <w:vAlign w:val="bottom"/>
            <w:hideMark/>
          </w:tcPr>
          <w:p w14:paraId="394F287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613000</w:t>
            </w:r>
          </w:p>
        </w:tc>
        <w:tc>
          <w:tcPr>
            <w:tcW w:w="2215" w:type="dxa"/>
            <w:tcBorders>
              <w:top w:val="nil"/>
              <w:left w:val="nil"/>
              <w:bottom w:val="single" w:sz="4" w:space="0" w:color="auto"/>
              <w:right w:val="single" w:sz="4" w:space="0" w:color="auto"/>
            </w:tcBorders>
            <w:vAlign w:val="bottom"/>
            <w:hideMark/>
          </w:tcPr>
          <w:p w14:paraId="2CD0BF37"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материјал, робе, ситан инвентар и услуге</w:t>
            </w:r>
          </w:p>
        </w:tc>
        <w:tc>
          <w:tcPr>
            <w:tcW w:w="1425" w:type="dxa"/>
            <w:tcBorders>
              <w:top w:val="nil"/>
              <w:left w:val="nil"/>
              <w:bottom w:val="single" w:sz="4" w:space="0" w:color="auto"/>
              <w:right w:val="single" w:sz="4" w:space="0" w:color="auto"/>
            </w:tcBorders>
            <w:noWrap/>
            <w:vAlign w:val="bottom"/>
            <w:hideMark/>
          </w:tcPr>
          <w:p w14:paraId="5F44743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75,757.00</w:t>
            </w:r>
          </w:p>
        </w:tc>
        <w:tc>
          <w:tcPr>
            <w:tcW w:w="1447" w:type="dxa"/>
            <w:tcBorders>
              <w:top w:val="nil"/>
              <w:left w:val="nil"/>
              <w:bottom w:val="single" w:sz="4" w:space="0" w:color="auto"/>
              <w:right w:val="single" w:sz="4" w:space="0" w:color="auto"/>
            </w:tcBorders>
            <w:noWrap/>
            <w:vAlign w:val="bottom"/>
            <w:hideMark/>
          </w:tcPr>
          <w:p w14:paraId="602BA75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143,080.00</w:t>
            </w:r>
          </w:p>
        </w:tc>
        <w:tc>
          <w:tcPr>
            <w:tcW w:w="1115" w:type="dxa"/>
            <w:tcBorders>
              <w:top w:val="nil"/>
              <w:left w:val="nil"/>
              <w:bottom w:val="single" w:sz="4" w:space="0" w:color="auto"/>
              <w:right w:val="single" w:sz="4" w:space="0" w:color="auto"/>
            </w:tcBorders>
            <w:noWrap/>
            <w:vAlign w:val="bottom"/>
            <w:hideMark/>
          </w:tcPr>
          <w:p w14:paraId="05BF9F6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195,000.00</w:t>
            </w:r>
          </w:p>
        </w:tc>
        <w:tc>
          <w:tcPr>
            <w:tcW w:w="1115" w:type="dxa"/>
            <w:tcBorders>
              <w:top w:val="nil"/>
              <w:left w:val="nil"/>
              <w:bottom w:val="single" w:sz="4" w:space="0" w:color="auto"/>
              <w:right w:val="single" w:sz="4" w:space="0" w:color="auto"/>
            </w:tcBorders>
            <w:noWrap/>
            <w:vAlign w:val="bottom"/>
            <w:hideMark/>
          </w:tcPr>
          <w:p w14:paraId="23521FD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195,000.00</w:t>
            </w:r>
          </w:p>
        </w:tc>
        <w:tc>
          <w:tcPr>
            <w:tcW w:w="1115" w:type="dxa"/>
            <w:tcBorders>
              <w:top w:val="nil"/>
              <w:left w:val="nil"/>
              <w:bottom w:val="single" w:sz="4" w:space="0" w:color="auto"/>
              <w:right w:val="single" w:sz="8" w:space="0" w:color="auto"/>
            </w:tcBorders>
            <w:noWrap/>
            <w:vAlign w:val="bottom"/>
            <w:hideMark/>
          </w:tcPr>
          <w:p w14:paraId="209D09A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195,000.00</w:t>
            </w:r>
          </w:p>
        </w:tc>
      </w:tr>
      <w:tr w:rsidR="00EA0FD7" w:rsidRPr="00EA0FD7" w14:paraId="05B414FF" w14:textId="77777777" w:rsidTr="00EA0FD7">
        <w:trPr>
          <w:trHeight w:val="450"/>
        </w:trPr>
        <w:tc>
          <w:tcPr>
            <w:tcW w:w="1228" w:type="dxa"/>
            <w:tcBorders>
              <w:top w:val="nil"/>
              <w:left w:val="single" w:sz="8" w:space="0" w:color="auto"/>
              <w:bottom w:val="single" w:sz="4" w:space="0" w:color="auto"/>
              <w:right w:val="single" w:sz="4" w:space="0" w:color="auto"/>
            </w:tcBorders>
            <w:noWrap/>
            <w:vAlign w:val="bottom"/>
            <w:hideMark/>
          </w:tcPr>
          <w:p w14:paraId="7545992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614000</w:t>
            </w:r>
          </w:p>
        </w:tc>
        <w:tc>
          <w:tcPr>
            <w:tcW w:w="2215" w:type="dxa"/>
            <w:tcBorders>
              <w:top w:val="nil"/>
              <w:left w:val="nil"/>
              <w:bottom w:val="single" w:sz="4" w:space="0" w:color="auto"/>
              <w:right w:val="single" w:sz="4" w:space="0" w:color="auto"/>
            </w:tcBorders>
            <w:vAlign w:val="bottom"/>
            <w:hideMark/>
          </w:tcPr>
          <w:p w14:paraId="0A119D67"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xml:space="preserve">Текући трансфери, </w:t>
            </w:r>
            <w:r w:rsidRPr="00EA0FD7">
              <w:rPr>
                <w:rFonts w:ascii="Arial" w:eastAsia="Times New Roman" w:hAnsi="Arial" w:cs="Arial"/>
                <w:sz w:val="17"/>
                <w:szCs w:val="17"/>
                <w:lang w:val="sr-Cyrl-RS"/>
              </w:rPr>
              <w:br/>
              <w:t>донације и субвенције</w:t>
            </w:r>
          </w:p>
        </w:tc>
        <w:tc>
          <w:tcPr>
            <w:tcW w:w="1425" w:type="dxa"/>
            <w:tcBorders>
              <w:top w:val="nil"/>
              <w:left w:val="nil"/>
              <w:bottom w:val="single" w:sz="4" w:space="0" w:color="auto"/>
              <w:right w:val="single" w:sz="4" w:space="0" w:color="auto"/>
            </w:tcBorders>
            <w:noWrap/>
            <w:vAlign w:val="bottom"/>
            <w:hideMark/>
          </w:tcPr>
          <w:p w14:paraId="60D0344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1,273,884.00</w:t>
            </w:r>
          </w:p>
        </w:tc>
        <w:tc>
          <w:tcPr>
            <w:tcW w:w="1447" w:type="dxa"/>
            <w:tcBorders>
              <w:top w:val="nil"/>
              <w:left w:val="nil"/>
              <w:bottom w:val="single" w:sz="4" w:space="0" w:color="auto"/>
              <w:right w:val="single" w:sz="4" w:space="0" w:color="auto"/>
            </w:tcBorders>
            <w:noWrap/>
            <w:vAlign w:val="bottom"/>
            <w:hideMark/>
          </w:tcPr>
          <w:p w14:paraId="2E72B36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1,350,000.00</w:t>
            </w:r>
          </w:p>
        </w:tc>
        <w:tc>
          <w:tcPr>
            <w:tcW w:w="1115" w:type="dxa"/>
            <w:tcBorders>
              <w:top w:val="nil"/>
              <w:left w:val="nil"/>
              <w:bottom w:val="single" w:sz="4" w:space="0" w:color="auto"/>
              <w:right w:val="single" w:sz="4" w:space="0" w:color="auto"/>
            </w:tcBorders>
            <w:noWrap/>
            <w:vAlign w:val="bottom"/>
            <w:hideMark/>
          </w:tcPr>
          <w:p w14:paraId="0158686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1,450,000.00</w:t>
            </w:r>
          </w:p>
        </w:tc>
        <w:tc>
          <w:tcPr>
            <w:tcW w:w="1115" w:type="dxa"/>
            <w:tcBorders>
              <w:top w:val="nil"/>
              <w:left w:val="nil"/>
              <w:bottom w:val="single" w:sz="4" w:space="0" w:color="auto"/>
              <w:right w:val="single" w:sz="4" w:space="0" w:color="auto"/>
            </w:tcBorders>
            <w:noWrap/>
            <w:vAlign w:val="bottom"/>
            <w:hideMark/>
          </w:tcPr>
          <w:p w14:paraId="37AB15C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1,500,000.00</w:t>
            </w:r>
          </w:p>
        </w:tc>
        <w:tc>
          <w:tcPr>
            <w:tcW w:w="1115" w:type="dxa"/>
            <w:tcBorders>
              <w:top w:val="nil"/>
              <w:left w:val="nil"/>
              <w:bottom w:val="single" w:sz="4" w:space="0" w:color="auto"/>
              <w:right w:val="single" w:sz="8" w:space="0" w:color="auto"/>
            </w:tcBorders>
            <w:noWrap/>
            <w:vAlign w:val="bottom"/>
            <w:hideMark/>
          </w:tcPr>
          <w:p w14:paraId="396F80F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1,530,000.00</w:t>
            </w:r>
          </w:p>
        </w:tc>
      </w:tr>
      <w:tr w:rsidR="00EA0FD7" w:rsidRPr="00EA0FD7" w14:paraId="6570121C" w14:textId="77777777" w:rsidTr="00EA0FD7">
        <w:trPr>
          <w:trHeight w:val="450"/>
        </w:trPr>
        <w:tc>
          <w:tcPr>
            <w:tcW w:w="1228" w:type="dxa"/>
            <w:tcBorders>
              <w:top w:val="nil"/>
              <w:left w:val="single" w:sz="8" w:space="0" w:color="auto"/>
              <w:bottom w:val="single" w:sz="4" w:space="0" w:color="auto"/>
              <w:right w:val="single" w:sz="4" w:space="0" w:color="auto"/>
            </w:tcBorders>
            <w:noWrap/>
            <w:vAlign w:val="bottom"/>
            <w:hideMark/>
          </w:tcPr>
          <w:p w14:paraId="68963F1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615000</w:t>
            </w:r>
          </w:p>
        </w:tc>
        <w:tc>
          <w:tcPr>
            <w:tcW w:w="2215" w:type="dxa"/>
            <w:tcBorders>
              <w:top w:val="nil"/>
              <w:left w:val="nil"/>
              <w:bottom w:val="single" w:sz="4" w:space="0" w:color="auto"/>
              <w:right w:val="single" w:sz="4" w:space="0" w:color="auto"/>
            </w:tcBorders>
            <w:vAlign w:val="bottom"/>
            <w:hideMark/>
          </w:tcPr>
          <w:p w14:paraId="670062D9"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Капитални трансфери и донације</w:t>
            </w:r>
          </w:p>
        </w:tc>
        <w:tc>
          <w:tcPr>
            <w:tcW w:w="1425" w:type="dxa"/>
            <w:tcBorders>
              <w:top w:val="nil"/>
              <w:left w:val="nil"/>
              <w:bottom w:val="single" w:sz="4" w:space="0" w:color="auto"/>
              <w:right w:val="single" w:sz="4" w:space="0" w:color="auto"/>
            </w:tcBorders>
            <w:noWrap/>
            <w:vAlign w:val="bottom"/>
            <w:hideMark/>
          </w:tcPr>
          <w:p w14:paraId="14DD0FD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7FB4E83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4" w:space="0" w:color="auto"/>
            </w:tcBorders>
            <w:noWrap/>
            <w:vAlign w:val="bottom"/>
            <w:hideMark/>
          </w:tcPr>
          <w:p w14:paraId="5A3C982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4" w:space="0" w:color="auto"/>
            </w:tcBorders>
            <w:noWrap/>
            <w:vAlign w:val="bottom"/>
            <w:hideMark/>
          </w:tcPr>
          <w:p w14:paraId="61A545C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8" w:space="0" w:color="auto"/>
            </w:tcBorders>
            <w:noWrap/>
            <w:vAlign w:val="bottom"/>
            <w:hideMark/>
          </w:tcPr>
          <w:p w14:paraId="1C723BE2"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EA0FD7" w:rsidRPr="00EA0FD7" w14:paraId="1E560E32" w14:textId="77777777" w:rsidTr="00EA0FD7">
        <w:trPr>
          <w:trHeight w:val="255"/>
        </w:trPr>
        <w:tc>
          <w:tcPr>
            <w:tcW w:w="1228" w:type="dxa"/>
            <w:tcBorders>
              <w:top w:val="nil"/>
              <w:left w:val="single" w:sz="8" w:space="0" w:color="auto"/>
              <w:bottom w:val="single" w:sz="4" w:space="0" w:color="auto"/>
              <w:right w:val="single" w:sz="4" w:space="0" w:color="auto"/>
            </w:tcBorders>
            <w:noWrap/>
            <w:vAlign w:val="bottom"/>
            <w:hideMark/>
          </w:tcPr>
          <w:p w14:paraId="1773A12E"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616000</w:t>
            </w:r>
          </w:p>
        </w:tc>
        <w:tc>
          <w:tcPr>
            <w:tcW w:w="2215" w:type="dxa"/>
            <w:tcBorders>
              <w:top w:val="nil"/>
              <w:left w:val="nil"/>
              <w:bottom w:val="single" w:sz="4" w:space="0" w:color="auto"/>
              <w:right w:val="single" w:sz="4" w:space="0" w:color="auto"/>
            </w:tcBorders>
            <w:vAlign w:val="bottom"/>
            <w:hideMark/>
          </w:tcPr>
          <w:p w14:paraId="49FB0F7E"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камате</w:t>
            </w:r>
          </w:p>
        </w:tc>
        <w:tc>
          <w:tcPr>
            <w:tcW w:w="1425" w:type="dxa"/>
            <w:tcBorders>
              <w:top w:val="nil"/>
              <w:left w:val="nil"/>
              <w:bottom w:val="single" w:sz="4" w:space="0" w:color="auto"/>
              <w:right w:val="single" w:sz="4" w:space="0" w:color="auto"/>
            </w:tcBorders>
            <w:noWrap/>
            <w:vAlign w:val="bottom"/>
            <w:hideMark/>
          </w:tcPr>
          <w:p w14:paraId="3F8E2DF0"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4C852FD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4" w:space="0" w:color="auto"/>
            </w:tcBorders>
            <w:noWrap/>
            <w:vAlign w:val="bottom"/>
            <w:hideMark/>
          </w:tcPr>
          <w:p w14:paraId="2C8A562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4" w:space="0" w:color="auto"/>
            </w:tcBorders>
            <w:noWrap/>
            <w:vAlign w:val="bottom"/>
            <w:hideMark/>
          </w:tcPr>
          <w:p w14:paraId="5216FAD7"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8" w:space="0" w:color="auto"/>
            </w:tcBorders>
            <w:noWrap/>
            <w:vAlign w:val="bottom"/>
            <w:hideMark/>
          </w:tcPr>
          <w:p w14:paraId="56A1F58D"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EA0FD7" w:rsidRPr="00EA0FD7" w14:paraId="282FE56F" w14:textId="77777777" w:rsidTr="00EA0FD7">
        <w:trPr>
          <w:trHeight w:val="450"/>
        </w:trPr>
        <w:tc>
          <w:tcPr>
            <w:tcW w:w="1228" w:type="dxa"/>
            <w:tcBorders>
              <w:top w:val="nil"/>
              <w:left w:val="single" w:sz="8" w:space="0" w:color="auto"/>
              <w:bottom w:val="single" w:sz="4" w:space="0" w:color="auto"/>
              <w:right w:val="single" w:sz="4" w:space="0" w:color="auto"/>
            </w:tcBorders>
            <w:noWrap/>
            <w:vAlign w:val="bottom"/>
            <w:hideMark/>
          </w:tcPr>
          <w:p w14:paraId="666B642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821000</w:t>
            </w:r>
          </w:p>
        </w:tc>
        <w:tc>
          <w:tcPr>
            <w:tcW w:w="2215" w:type="dxa"/>
            <w:tcBorders>
              <w:top w:val="nil"/>
              <w:left w:val="nil"/>
              <w:bottom w:val="single" w:sz="4" w:space="0" w:color="auto"/>
              <w:right w:val="single" w:sz="4" w:space="0" w:color="auto"/>
            </w:tcBorders>
            <w:vAlign w:val="bottom"/>
            <w:hideMark/>
          </w:tcPr>
          <w:p w14:paraId="40EF5EFA"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xml:space="preserve">Издаци за набавку </w:t>
            </w:r>
            <w:r w:rsidRPr="00EA0FD7">
              <w:rPr>
                <w:rFonts w:ascii="Arial" w:eastAsia="Times New Roman" w:hAnsi="Arial" w:cs="Arial"/>
                <w:sz w:val="17"/>
                <w:szCs w:val="17"/>
                <w:lang w:val="sr-Cyrl-RS"/>
              </w:rPr>
              <w:br/>
              <w:t>сталних средстава</w:t>
            </w:r>
          </w:p>
        </w:tc>
        <w:tc>
          <w:tcPr>
            <w:tcW w:w="1425" w:type="dxa"/>
            <w:tcBorders>
              <w:top w:val="nil"/>
              <w:left w:val="nil"/>
              <w:bottom w:val="single" w:sz="4" w:space="0" w:color="auto"/>
              <w:right w:val="single" w:sz="4" w:space="0" w:color="auto"/>
            </w:tcBorders>
            <w:noWrap/>
            <w:vAlign w:val="bottom"/>
            <w:hideMark/>
          </w:tcPr>
          <w:p w14:paraId="3A1B78F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40,380.00</w:t>
            </w:r>
          </w:p>
        </w:tc>
        <w:tc>
          <w:tcPr>
            <w:tcW w:w="1447" w:type="dxa"/>
            <w:tcBorders>
              <w:top w:val="nil"/>
              <w:left w:val="nil"/>
              <w:bottom w:val="single" w:sz="4" w:space="0" w:color="auto"/>
              <w:right w:val="single" w:sz="4" w:space="0" w:color="auto"/>
            </w:tcBorders>
            <w:noWrap/>
            <w:vAlign w:val="bottom"/>
            <w:hideMark/>
          </w:tcPr>
          <w:p w14:paraId="4AFD1F0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54,000.00</w:t>
            </w:r>
          </w:p>
        </w:tc>
        <w:tc>
          <w:tcPr>
            <w:tcW w:w="1115" w:type="dxa"/>
            <w:tcBorders>
              <w:top w:val="nil"/>
              <w:left w:val="nil"/>
              <w:bottom w:val="single" w:sz="4" w:space="0" w:color="auto"/>
              <w:right w:val="single" w:sz="4" w:space="0" w:color="auto"/>
            </w:tcBorders>
            <w:noWrap/>
            <w:vAlign w:val="bottom"/>
            <w:hideMark/>
          </w:tcPr>
          <w:p w14:paraId="6B9D4F2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50,000.00</w:t>
            </w:r>
          </w:p>
        </w:tc>
        <w:tc>
          <w:tcPr>
            <w:tcW w:w="1115" w:type="dxa"/>
            <w:tcBorders>
              <w:top w:val="nil"/>
              <w:left w:val="nil"/>
              <w:bottom w:val="single" w:sz="4" w:space="0" w:color="auto"/>
              <w:right w:val="single" w:sz="4" w:space="0" w:color="auto"/>
            </w:tcBorders>
            <w:noWrap/>
            <w:vAlign w:val="bottom"/>
            <w:hideMark/>
          </w:tcPr>
          <w:p w14:paraId="0CF34B31"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50,000.00</w:t>
            </w:r>
          </w:p>
        </w:tc>
        <w:tc>
          <w:tcPr>
            <w:tcW w:w="1115" w:type="dxa"/>
            <w:tcBorders>
              <w:top w:val="nil"/>
              <w:left w:val="nil"/>
              <w:bottom w:val="single" w:sz="4" w:space="0" w:color="auto"/>
              <w:right w:val="single" w:sz="8" w:space="0" w:color="auto"/>
            </w:tcBorders>
            <w:noWrap/>
            <w:vAlign w:val="bottom"/>
            <w:hideMark/>
          </w:tcPr>
          <w:p w14:paraId="6C98422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50,000.00</w:t>
            </w:r>
          </w:p>
        </w:tc>
      </w:tr>
      <w:tr w:rsidR="00EA0FD7" w:rsidRPr="00EA0FD7" w14:paraId="4B46D7D8" w14:textId="77777777" w:rsidTr="00EA0FD7">
        <w:trPr>
          <w:trHeight w:val="450"/>
        </w:trPr>
        <w:tc>
          <w:tcPr>
            <w:tcW w:w="1228" w:type="dxa"/>
            <w:tcBorders>
              <w:top w:val="nil"/>
              <w:left w:val="single" w:sz="8" w:space="0" w:color="auto"/>
              <w:bottom w:val="single" w:sz="4" w:space="0" w:color="auto"/>
              <w:right w:val="single" w:sz="4" w:space="0" w:color="auto"/>
            </w:tcBorders>
            <w:noWrap/>
            <w:vAlign w:val="bottom"/>
            <w:hideMark/>
          </w:tcPr>
          <w:p w14:paraId="50819D94"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822000</w:t>
            </w:r>
          </w:p>
        </w:tc>
        <w:tc>
          <w:tcPr>
            <w:tcW w:w="2215" w:type="dxa"/>
            <w:tcBorders>
              <w:top w:val="nil"/>
              <w:left w:val="nil"/>
              <w:bottom w:val="single" w:sz="4" w:space="0" w:color="auto"/>
              <w:right w:val="single" w:sz="4" w:space="0" w:color="auto"/>
            </w:tcBorders>
            <w:vAlign w:val="bottom"/>
            <w:hideMark/>
          </w:tcPr>
          <w:p w14:paraId="178710D5"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финансијску имовину</w:t>
            </w:r>
          </w:p>
        </w:tc>
        <w:tc>
          <w:tcPr>
            <w:tcW w:w="1425" w:type="dxa"/>
            <w:tcBorders>
              <w:top w:val="nil"/>
              <w:left w:val="nil"/>
              <w:bottom w:val="single" w:sz="4" w:space="0" w:color="auto"/>
              <w:right w:val="single" w:sz="4" w:space="0" w:color="auto"/>
            </w:tcBorders>
            <w:noWrap/>
            <w:vAlign w:val="bottom"/>
            <w:hideMark/>
          </w:tcPr>
          <w:p w14:paraId="339D7B9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3B9B433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4" w:space="0" w:color="auto"/>
            </w:tcBorders>
            <w:noWrap/>
            <w:vAlign w:val="bottom"/>
            <w:hideMark/>
          </w:tcPr>
          <w:p w14:paraId="4E6F973C"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4" w:space="0" w:color="auto"/>
            </w:tcBorders>
            <w:noWrap/>
            <w:vAlign w:val="bottom"/>
            <w:hideMark/>
          </w:tcPr>
          <w:p w14:paraId="2A09C059"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8" w:space="0" w:color="auto"/>
            </w:tcBorders>
            <w:noWrap/>
            <w:vAlign w:val="bottom"/>
            <w:hideMark/>
          </w:tcPr>
          <w:p w14:paraId="5324F13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EA0FD7" w:rsidRPr="00EA0FD7" w14:paraId="02100F0A" w14:textId="77777777" w:rsidTr="00EA0FD7">
        <w:trPr>
          <w:trHeight w:val="270"/>
        </w:trPr>
        <w:tc>
          <w:tcPr>
            <w:tcW w:w="1228" w:type="dxa"/>
            <w:tcBorders>
              <w:top w:val="nil"/>
              <w:left w:val="single" w:sz="8" w:space="0" w:color="auto"/>
              <w:bottom w:val="nil"/>
              <w:right w:val="single" w:sz="4" w:space="0" w:color="auto"/>
            </w:tcBorders>
            <w:noWrap/>
            <w:vAlign w:val="bottom"/>
            <w:hideMark/>
          </w:tcPr>
          <w:p w14:paraId="77D365E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823000</w:t>
            </w:r>
          </w:p>
        </w:tc>
        <w:tc>
          <w:tcPr>
            <w:tcW w:w="2215" w:type="dxa"/>
            <w:tcBorders>
              <w:top w:val="nil"/>
              <w:left w:val="nil"/>
              <w:bottom w:val="nil"/>
              <w:right w:val="single" w:sz="4" w:space="0" w:color="auto"/>
            </w:tcBorders>
            <w:vAlign w:val="bottom"/>
            <w:hideMark/>
          </w:tcPr>
          <w:p w14:paraId="03F8AF4D" w14:textId="77777777" w:rsidR="00EA0FD7" w:rsidRPr="00EA0FD7" w:rsidRDefault="00EA0FD7" w:rsidP="00EA0FD7">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отплате дугова</w:t>
            </w:r>
          </w:p>
        </w:tc>
        <w:tc>
          <w:tcPr>
            <w:tcW w:w="1425" w:type="dxa"/>
            <w:tcBorders>
              <w:top w:val="nil"/>
              <w:left w:val="nil"/>
              <w:bottom w:val="single" w:sz="4" w:space="0" w:color="auto"/>
              <w:right w:val="single" w:sz="4" w:space="0" w:color="auto"/>
            </w:tcBorders>
            <w:noWrap/>
            <w:vAlign w:val="bottom"/>
            <w:hideMark/>
          </w:tcPr>
          <w:p w14:paraId="7669DDEF"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5674062B"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4" w:space="0" w:color="auto"/>
            </w:tcBorders>
            <w:noWrap/>
            <w:vAlign w:val="bottom"/>
            <w:hideMark/>
          </w:tcPr>
          <w:p w14:paraId="3C1D92A3"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4" w:space="0" w:color="auto"/>
            </w:tcBorders>
            <w:noWrap/>
            <w:vAlign w:val="bottom"/>
            <w:hideMark/>
          </w:tcPr>
          <w:p w14:paraId="558F4A16"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115" w:type="dxa"/>
            <w:tcBorders>
              <w:top w:val="nil"/>
              <w:left w:val="nil"/>
              <w:bottom w:val="single" w:sz="4" w:space="0" w:color="auto"/>
              <w:right w:val="single" w:sz="8" w:space="0" w:color="auto"/>
            </w:tcBorders>
            <w:noWrap/>
            <w:vAlign w:val="bottom"/>
            <w:hideMark/>
          </w:tcPr>
          <w:p w14:paraId="751A03C8" w14:textId="77777777" w:rsidR="00EA0FD7" w:rsidRPr="00EA0FD7" w:rsidRDefault="00EA0FD7" w:rsidP="00EA0FD7">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EA0FD7" w:rsidRPr="00EA0FD7" w14:paraId="35A6BA49" w14:textId="77777777" w:rsidTr="00EA0FD7">
        <w:trPr>
          <w:trHeight w:val="270"/>
        </w:trPr>
        <w:tc>
          <w:tcPr>
            <w:tcW w:w="1228" w:type="dxa"/>
            <w:tcBorders>
              <w:top w:val="single" w:sz="8" w:space="0" w:color="auto"/>
              <w:left w:val="single" w:sz="8" w:space="0" w:color="auto"/>
              <w:bottom w:val="single" w:sz="8" w:space="0" w:color="auto"/>
              <w:right w:val="single" w:sz="4" w:space="0" w:color="auto"/>
            </w:tcBorders>
            <w:noWrap/>
            <w:vAlign w:val="bottom"/>
            <w:hideMark/>
          </w:tcPr>
          <w:p w14:paraId="3D1D9E04" w14:textId="77777777" w:rsidR="00EA0FD7" w:rsidRPr="00EA0FD7" w:rsidRDefault="00EA0FD7" w:rsidP="00EA0FD7">
            <w:pPr>
              <w:spacing w:after="0" w:line="240" w:lineRule="auto"/>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 </w:t>
            </w:r>
          </w:p>
        </w:tc>
        <w:tc>
          <w:tcPr>
            <w:tcW w:w="2215" w:type="dxa"/>
            <w:tcBorders>
              <w:top w:val="single" w:sz="8" w:space="0" w:color="auto"/>
              <w:left w:val="nil"/>
              <w:bottom w:val="single" w:sz="8" w:space="0" w:color="auto"/>
              <w:right w:val="single" w:sz="4" w:space="0" w:color="auto"/>
            </w:tcBorders>
            <w:noWrap/>
            <w:vAlign w:val="bottom"/>
            <w:hideMark/>
          </w:tcPr>
          <w:p w14:paraId="3443DFD0" w14:textId="77777777" w:rsidR="00EA0FD7" w:rsidRPr="00EA0FD7" w:rsidRDefault="00EA0FD7" w:rsidP="00EA0FD7">
            <w:pPr>
              <w:spacing w:after="0" w:line="240" w:lineRule="auto"/>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Укупни расходи</w:t>
            </w:r>
          </w:p>
        </w:tc>
        <w:tc>
          <w:tcPr>
            <w:tcW w:w="1425" w:type="dxa"/>
            <w:tcBorders>
              <w:top w:val="single" w:sz="8" w:space="0" w:color="auto"/>
              <w:left w:val="nil"/>
              <w:bottom w:val="single" w:sz="8" w:space="0" w:color="auto"/>
              <w:right w:val="single" w:sz="4" w:space="0" w:color="auto"/>
            </w:tcBorders>
            <w:noWrap/>
            <w:vAlign w:val="bottom"/>
            <w:hideMark/>
          </w:tcPr>
          <w:p w14:paraId="2AEE0FAC"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1,564,794.00</w:t>
            </w:r>
          </w:p>
        </w:tc>
        <w:tc>
          <w:tcPr>
            <w:tcW w:w="1447" w:type="dxa"/>
            <w:tcBorders>
              <w:top w:val="single" w:sz="8" w:space="0" w:color="auto"/>
              <w:left w:val="nil"/>
              <w:bottom w:val="single" w:sz="8" w:space="0" w:color="auto"/>
              <w:right w:val="single" w:sz="4" w:space="0" w:color="auto"/>
            </w:tcBorders>
            <w:noWrap/>
            <w:vAlign w:val="bottom"/>
            <w:hideMark/>
          </w:tcPr>
          <w:p w14:paraId="09DBFC8D"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2,100,000.00</w:t>
            </w:r>
          </w:p>
        </w:tc>
        <w:tc>
          <w:tcPr>
            <w:tcW w:w="1115" w:type="dxa"/>
            <w:tcBorders>
              <w:top w:val="single" w:sz="8" w:space="0" w:color="auto"/>
              <w:left w:val="nil"/>
              <w:bottom w:val="single" w:sz="8" w:space="0" w:color="auto"/>
              <w:right w:val="single" w:sz="4" w:space="0" w:color="auto"/>
            </w:tcBorders>
            <w:noWrap/>
            <w:vAlign w:val="bottom"/>
            <w:hideMark/>
          </w:tcPr>
          <w:p w14:paraId="57745023"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2,425,000.00</w:t>
            </w:r>
          </w:p>
        </w:tc>
        <w:tc>
          <w:tcPr>
            <w:tcW w:w="1115" w:type="dxa"/>
            <w:tcBorders>
              <w:top w:val="single" w:sz="8" w:space="0" w:color="auto"/>
              <w:left w:val="nil"/>
              <w:bottom w:val="single" w:sz="8" w:space="0" w:color="auto"/>
              <w:right w:val="single" w:sz="4" w:space="0" w:color="auto"/>
            </w:tcBorders>
            <w:noWrap/>
            <w:vAlign w:val="bottom"/>
            <w:hideMark/>
          </w:tcPr>
          <w:p w14:paraId="24334148"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2,475,000.00</w:t>
            </w:r>
          </w:p>
        </w:tc>
        <w:tc>
          <w:tcPr>
            <w:tcW w:w="1115" w:type="dxa"/>
            <w:tcBorders>
              <w:top w:val="single" w:sz="8" w:space="0" w:color="auto"/>
              <w:left w:val="nil"/>
              <w:bottom w:val="single" w:sz="8" w:space="0" w:color="auto"/>
              <w:right w:val="single" w:sz="8" w:space="0" w:color="auto"/>
            </w:tcBorders>
            <w:noWrap/>
            <w:vAlign w:val="bottom"/>
            <w:hideMark/>
          </w:tcPr>
          <w:p w14:paraId="5D5C3694" w14:textId="77777777" w:rsidR="00EA0FD7" w:rsidRPr="00EA0FD7" w:rsidRDefault="00EA0FD7" w:rsidP="00EA0FD7">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2,505,000.00</w:t>
            </w:r>
          </w:p>
        </w:tc>
      </w:tr>
      <w:tr w:rsidR="00EA0FD7" w:rsidRPr="00EA0FD7" w14:paraId="777F2C65" w14:textId="77777777" w:rsidTr="00EA0FD7">
        <w:trPr>
          <w:trHeight w:val="270"/>
        </w:trPr>
        <w:tc>
          <w:tcPr>
            <w:tcW w:w="9660" w:type="dxa"/>
            <w:gridSpan w:val="7"/>
            <w:tcBorders>
              <w:top w:val="single" w:sz="8" w:space="0" w:color="auto"/>
              <w:left w:val="nil"/>
              <w:bottom w:val="single" w:sz="8" w:space="0" w:color="auto"/>
              <w:right w:val="nil"/>
            </w:tcBorders>
            <w:noWrap/>
            <w:vAlign w:val="bottom"/>
            <w:hideMark/>
          </w:tcPr>
          <w:p w14:paraId="58455949"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71934E1A" w14:textId="77777777" w:rsidTr="00EA0FD7">
        <w:trPr>
          <w:trHeight w:val="270"/>
        </w:trPr>
        <w:tc>
          <w:tcPr>
            <w:tcW w:w="1228" w:type="dxa"/>
            <w:tcBorders>
              <w:top w:val="nil"/>
              <w:left w:val="single" w:sz="8" w:space="0" w:color="auto"/>
              <w:bottom w:val="single" w:sz="8" w:space="0" w:color="auto"/>
              <w:right w:val="single" w:sz="4" w:space="0" w:color="auto"/>
            </w:tcBorders>
            <w:noWrap/>
            <w:vAlign w:val="bottom"/>
            <w:hideMark/>
          </w:tcPr>
          <w:p w14:paraId="64D70797"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lastRenderedPageBreak/>
              <w:t> </w:t>
            </w:r>
          </w:p>
        </w:tc>
        <w:tc>
          <w:tcPr>
            <w:tcW w:w="2215" w:type="dxa"/>
            <w:tcBorders>
              <w:top w:val="nil"/>
              <w:left w:val="nil"/>
              <w:bottom w:val="single" w:sz="8" w:space="0" w:color="auto"/>
              <w:right w:val="single" w:sz="4" w:space="0" w:color="auto"/>
            </w:tcBorders>
            <w:noWrap/>
            <w:vAlign w:val="bottom"/>
            <w:hideMark/>
          </w:tcPr>
          <w:p w14:paraId="284B1116"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425" w:type="dxa"/>
            <w:tcBorders>
              <w:top w:val="nil"/>
              <w:left w:val="nil"/>
              <w:bottom w:val="single" w:sz="8" w:space="0" w:color="auto"/>
              <w:right w:val="single" w:sz="4" w:space="0" w:color="auto"/>
            </w:tcBorders>
            <w:noWrap/>
            <w:vAlign w:val="bottom"/>
            <w:hideMark/>
          </w:tcPr>
          <w:p w14:paraId="62DB3BAD"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w:t>
            </w:r>
          </w:p>
        </w:tc>
        <w:tc>
          <w:tcPr>
            <w:tcW w:w="1447" w:type="dxa"/>
            <w:tcBorders>
              <w:top w:val="nil"/>
              <w:left w:val="nil"/>
              <w:bottom w:val="single" w:sz="8" w:space="0" w:color="auto"/>
              <w:right w:val="single" w:sz="4" w:space="0" w:color="auto"/>
            </w:tcBorders>
            <w:noWrap/>
            <w:vAlign w:val="bottom"/>
            <w:hideMark/>
          </w:tcPr>
          <w:p w14:paraId="0F8D4F04"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19</w:t>
            </w:r>
          </w:p>
        </w:tc>
        <w:tc>
          <w:tcPr>
            <w:tcW w:w="1115" w:type="dxa"/>
            <w:tcBorders>
              <w:top w:val="nil"/>
              <w:left w:val="nil"/>
              <w:bottom w:val="single" w:sz="8" w:space="0" w:color="auto"/>
              <w:right w:val="single" w:sz="4" w:space="0" w:color="auto"/>
            </w:tcBorders>
            <w:noWrap/>
            <w:vAlign w:val="bottom"/>
            <w:hideMark/>
          </w:tcPr>
          <w:p w14:paraId="3B1D06E6"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19</w:t>
            </w:r>
          </w:p>
        </w:tc>
        <w:tc>
          <w:tcPr>
            <w:tcW w:w="1115" w:type="dxa"/>
            <w:tcBorders>
              <w:top w:val="nil"/>
              <w:left w:val="nil"/>
              <w:bottom w:val="single" w:sz="8" w:space="0" w:color="auto"/>
              <w:right w:val="single" w:sz="4" w:space="0" w:color="auto"/>
            </w:tcBorders>
            <w:noWrap/>
            <w:vAlign w:val="bottom"/>
            <w:hideMark/>
          </w:tcPr>
          <w:p w14:paraId="639E731B"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19</w:t>
            </w:r>
          </w:p>
        </w:tc>
        <w:tc>
          <w:tcPr>
            <w:tcW w:w="1115" w:type="dxa"/>
            <w:tcBorders>
              <w:top w:val="nil"/>
              <w:left w:val="nil"/>
              <w:bottom w:val="single" w:sz="8" w:space="0" w:color="auto"/>
              <w:right w:val="single" w:sz="8" w:space="0" w:color="auto"/>
            </w:tcBorders>
            <w:noWrap/>
            <w:vAlign w:val="bottom"/>
            <w:hideMark/>
          </w:tcPr>
          <w:p w14:paraId="50B2AC92" w14:textId="77777777" w:rsidR="00EA0FD7" w:rsidRPr="00EA0FD7" w:rsidRDefault="00EA0FD7" w:rsidP="00EA0FD7">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19</w:t>
            </w:r>
          </w:p>
        </w:tc>
      </w:tr>
    </w:tbl>
    <w:p w14:paraId="3B283F52"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tbl>
      <w:tblPr>
        <w:tblpPr w:leftFromText="180" w:rightFromText="180" w:vertAnchor="text" w:horzAnchor="margin" w:tblpY="48"/>
        <w:tblW w:w="9942" w:type="dxa"/>
        <w:tblLook w:val="04A0" w:firstRow="1" w:lastRow="0" w:firstColumn="1" w:lastColumn="0" w:noHBand="0" w:noVBand="1"/>
      </w:tblPr>
      <w:tblGrid>
        <w:gridCol w:w="1228"/>
        <w:gridCol w:w="2215"/>
        <w:gridCol w:w="1425"/>
        <w:gridCol w:w="1447"/>
        <w:gridCol w:w="1209"/>
        <w:gridCol w:w="1209"/>
        <w:gridCol w:w="1209"/>
      </w:tblGrid>
      <w:tr w:rsidR="00752F04" w:rsidRPr="00EA0FD7" w14:paraId="68DEB08B" w14:textId="77777777" w:rsidTr="00752F04">
        <w:trPr>
          <w:trHeight w:val="450"/>
        </w:trPr>
        <w:tc>
          <w:tcPr>
            <w:tcW w:w="9942" w:type="dxa"/>
            <w:gridSpan w:val="7"/>
            <w:vMerge w:val="restart"/>
            <w:tcBorders>
              <w:top w:val="nil"/>
              <w:left w:val="nil"/>
              <w:bottom w:val="single" w:sz="8" w:space="0" w:color="000000"/>
              <w:right w:val="nil"/>
            </w:tcBorders>
            <w:vAlign w:val="bottom"/>
            <w:hideMark/>
          </w:tcPr>
          <w:p w14:paraId="3C6424A5" w14:textId="672BFD4D"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Табела 4.9.</w:t>
            </w:r>
            <w:r w:rsidRPr="00EA0FD7">
              <w:rPr>
                <w:rFonts w:ascii="Arial" w:eastAsia="Times New Roman" w:hAnsi="Arial" w:cs="Arial"/>
                <w:sz w:val="18"/>
                <w:szCs w:val="18"/>
                <w:lang w:val="sr-Cyrl-RS"/>
              </w:rPr>
              <w:t xml:space="preserve"> Финансијски план расхода Развојно</w:t>
            </w:r>
            <w:r>
              <w:rPr>
                <w:rFonts w:ascii="Arial" w:eastAsia="Times New Roman" w:hAnsi="Arial" w:cs="Arial"/>
                <w:sz w:val="18"/>
                <w:szCs w:val="18"/>
                <w:lang w:val="sr-Cyrl-RS"/>
              </w:rPr>
              <w:t>-</w:t>
            </w:r>
            <w:r w:rsidRPr="00EA0FD7">
              <w:rPr>
                <w:rFonts w:ascii="Arial" w:eastAsia="Times New Roman" w:hAnsi="Arial" w:cs="Arial"/>
                <w:sz w:val="18"/>
                <w:szCs w:val="18"/>
                <w:lang w:val="sr-Cyrl-RS"/>
              </w:rPr>
              <w:t>гарантног фонда Брчко дистрикта БиХ 2023</w:t>
            </w:r>
            <w:r>
              <w:rPr>
                <w:rFonts w:ascii="Arial" w:eastAsia="Times New Roman" w:hAnsi="Arial" w:cs="Arial"/>
                <w:sz w:val="18"/>
                <w:szCs w:val="18"/>
                <w:lang w:val="sr-Cyrl-RS"/>
              </w:rPr>
              <w:t>–</w:t>
            </w:r>
            <w:r w:rsidRPr="00EA0FD7">
              <w:rPr>
                <w:rFonts w:ascii="Arial" w:eastAsia="Times New Roman" w:hAnsi="Arial" w:cs="Arial"/>
                <w:sz w:val="18"/>
                <w:szCs w:val="18"/>
                <w:lang w:val="sr-Cyrl-RS"/>
              </w:rPr>
              <w:t>2025. године</w:t>
            </w:r>
            <w:r w:rsidRPr="00EA0FD7">
              <w:rPr>
                <w:rFonts w:ascii="Arial" w:eastAsia="Times New Roman" w:hAnsi="Arial" w:cs="Arial"/>
                <w:sz w:val="18"/>
                <w:szCs w:val="18"/>
                <w:lang w:val="sr-Cyrl-RS"/>
              </w:rPr>
              <w:br/>
              <w:t xml:space="preserve">                          (по извору финансирања) </w:t>
            </w:r>
          </w:p>
        </w:tc>
      </w:tr>
      <w:tr w:rsidR="00752F04" w:rsidRPr="00EA0FD7" w14:paraId="0AEB561E" w14:textId="77777777" w:rsidTr="00752F04">
        <w:trPr>
          <w:trHeight w:val="450"/>
        </w:trPr>
        <w:tc>
          <w:tcPr>
            <w:tcW w:w="0" w:type="auto"/>
            <w:gridSpan w:val="7"/>
            <w:vMerge/>
            <w:tcBorders>
              <w:top w:val="nil"/>
              <w:left w:val="nil"/>
              <w:bottom w:val="single" w:sz="8" w:space="0" w:color="000000"/>
              <w:right w:val="nil"/>
            </w:tcBorders>
            <w:vAlign w:val="center"/>
            <w:hideMark/>
          </w:tcPr>
          <w:p w14:paraId="4227C632" w14:textId="77777777" w:rsidR="00752F04" w:rsidRPr="00EA0FD7" w:rsidRDefault="00752F04" w:rsidP="00752F04">
            <w:pPr>
              <w:spacing w:after="0" w:line="240" w:lineRule="auto"/>
              <w:rPr>
                <w:rFonts w:ascii="Arial" w:eastAsia="Times New Roman" w:hAnsi="Arial" w:cs="Arial"/>
                <w:b/>
                <w:bCs/>
                <w:sz w:val="18"/>
                <w:szCs w:val="18"/>
                <w:lang w:val="sr-Cyrl-RS"/>
              </w:rPr>
            </w:pPr>
          </w:p>
        </w:tc>
      </w:tr>
      <w:tr w:rsidR="00752F04" w:rsidRPr="00EA0FD7" w14:paraId="33422C9B" w14:textId="77777777" w:rsidTr="00752F04">
        <w:trPr>
          <w:trHeight w:val="270"/>
        </w:trPr>
        <w:tc>
          <w:tcPr>
            <w:tcW w:w="1228" w:type="dxa"/>
            <w:vMerge w:val="restart"/>
            <w:tcBorders>
              <w:top w:val="nil"/>
              <w:left w:val="single" w:sz="8" w:space="0" w:color="auto"/>
              <w:bottom w:val="single" w:sz="8" w:space="0" w:color="000000"/>
              <w:right w:val="single" w:sz="8" w:space="0" w:color="auto"/>
            </w:tcBorders>
            <w:shd w:val="pct25" w:color="auto" w:fill="CCFFCC"/>
            <w:vAlign w:val="center"/>
            <w:hideMark/>
          </w:tcPr>
          <w:p w14:paraId="01536A3C"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215" w:type="dxa"/>
            <w:vMerge w:val="restart"/>
            <w:tcBorders>
              <w:top w:val="nil"/>
              <w:left w:val="single" w:sz="8" w:space="0" w:color="auto"/>
              <w:bottom w:val="single" w:sz="8" w:space="0" w:color="000000"/>
              <w:right w:val="single" w:sz="8" w:space="0" w:color="auto"/>
            </w:tcBorders>
            <w:shd w:val="pct25" w:color="auto" w:fill="CCFFCC"/>
            <w:vAlign w:val="center"/>
            <w:hideMark/>
          </w:tcPr>
          <w:p w14:paraId="781F2F26"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ИЗВОР ФИНАНСИРАЊА</w:t>
            </w:r>
          </w:p>
        </w:tc>
        <w:tc>
          <w:tcPr>
            <w:tcW w:w="1425" w:type="dxa"/>
            <w:vMerge w:val="restart"/>
            <w:tcBorders>
              <w:top w:val="nil"/>
              <w:left w:val="single" w:sz="8" w:space="0" w:color="auto"/>
              <w:bottom w:val="single" w:sz="8" w:space="0" w:color="000000"/>
              <w:right w:val="single" w:sz="8" w:space="0" w:color="auto"/>
            </w:tcBorders>
            <w:shd w:val="pct25" w:color="auto" w:fill="CCFFCC"/>
            <w:vAlign w:val="center"/>
            <w:hideMark/>
          </w:tcPr>
          <w:p w14:paraId="5F60BD37"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xml:space="preserve">Извршење </w:t>
            </w:r>
            <w:r w:rsidRPr="00EA0FD7">
              <w:rPr>
                <w:rFonts w:ascii="Arial" w:eastAsia="Times New Roman" w:hAnsi="Arial" w:cs="Arial"/>
                <w:b/>
                <w:bCs/>
                <w:sz w:val="18"/>
                <w:szCs w:val="18"/>
                <w:lang w:val="sr-Cyrl-RS"/>
              </w:rPr>
              <w:br/>
              <w:t>2021.</w:t>
            </w:r>
          </w:p>
        </w:tc>
        <w:tc>
          <w:tcPr>
            <w:tcW w:w="1447" w:type="dxa"/>
            <w:vMerge w:val="restart"/>
            <w:tcBorders>
              <w:top w:val="nil"/>
              <w:left w:val="single" w:sz="8" w:space="0" w:color="auto"/>
              <w:bottom w:val="single" w:sz="8" w:space="0" w:color="000000"/>
              <w:right w:val="single" w:sz="8" w:space="0" w:color="auto"/>
            </w:tcBorders>
            <w:shd w:val="pct25" w:color="auto" w:fill="CCFFCC"/>
            <w:vAlign w:val="center"/>
            <w:hideMark/>
          </w:tcPr>
          <w:p w14:paraId="1D47C877"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Финансијски план</w:t>
            </w:r>
            <w:r w:rsidRPr="00EA0FD7">
              <w:rPr>
                <w:rFonts w:ascii="Arial" w:eastAsia="Times New Roman" w:hAnsi="Arial" w:cs="Arial"/>
                <w:b/>
                <w:bCs/>
                <w:sz w:val="18"/>
                <w:szCs w:val="18"/>
                <w:lang w:val="sr-Cyrl-RS"/>
              </w:rPr>
              <w:br/>
              <w:t>2022.</w:t>
            </w:r>
          </w:p>
        </w:tc>
        <w:tc>
          <w:tcPr>
            <w:tcW w:w="3627" w:type="dxa"/>
            <w:gridSpan w:val="3"/>
            <w:tcBorders>
              <w:top w:val="single" w:sz="8" w:space="0" w:color="auto"/>
              <w:left w:val="nil"/>
              <w:bottom w:val="single" w:sz="8" w:space="0" w:color="auto"/>
              <w:right w:val="single" w:sz="8" w:space="0" w:color="000000"/>
            </w:tcBorders>
            <w:shd w:val="pct25" w:color="auto" w:fill="CCFFCC"/>
            <w:noWrap/>
            <w:vAlign w:val="center"/>
            <w:hideMark/>
          </w:tcPr>
          <w:p w14:paraId="65E23CC5"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Процјена</w:t>
            </w:r>
          </w:p>
        </w:tc>
      </w:tr>
      <w:tr w:rsidR="00752F04" w:rsidRPr="00EA0FD7" w14:paraId="343E2D99" w14:textId="77777777" w:rsidTr="00752F04">
        <w:trPr>
          <w:trHeight w:val="465"/>
        </w:trPr>
        <w:tc>
          <w:tcPr>
            <w:tcW w:w="0" w:type="auto"/>
            <w:vMerge/>
            <w:tcBorders>
              <w:top w:val="nil"/>
              <w:left w:val="single" w:sz="8" w:space="0" w:color="auto"/>
              <w:bottom w:val="single" w:sz="8" w:space="0" w:color="000000"/>
              <w:right w:val="single" w:sz="8" w:space="0" w:color="auto"/>
            </w:tcBorders>
            <w:vAlign w:val="center"/>
            <w:hideMark/>
          </w:tcPr>
          <w:p w14:paraId="0CB60463"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3DD307C8"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63DE57E0"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63DE0C82"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1209" w:type="dxa"/>
            <w:tcBorders>
              <w:top w:val="nil"/>
              <w:left w:val="nil"/>
              <w:bottom w:val="single" w:sz="8" w:space="0" w:color="auto"/>
              <w:right w:val="single" w:sz="4" w:space="0" w:color="auto"/>
            </w:tcBorders>
            <w:shd w:val="pct25" w:color="auto" w:fill="CCFFCC"/>
            <w:noWrap/>
            <w:vAlign w:val="center"/>
            <w:hideMark/>
          </w:tcPr>
          <w:p w14:paraId="5892B2CA" w14:textId="1DA1707B"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2023</w:t>
            </w:r>
            <w:r>
              <w:rPr>
                <w:rFonts w:ascii="Arial" w:eastAsia="Times New Roman" w:hAnsi="Arial" w:cs="Arial"/>
                <w:b/>
                <w:bCs/>
                <w:sz w:val="18"/>
                <w:szCs w:val="18"/>
                <w:lang w:val="sr-Cyrl-RS"/>
              </w:rPr>
              <w:t>.</w:t>
            </w:r>
          </w:p>
        </w:tc>
        <w:tc>
          <w:tcPr>
            <w:tcW w:w="1209" w:type="dxa"/>
            <w:tcBorders>
              <w:top w:val="nil"/>
              <w:left w:val="nil"/>
              <w:bottom w:val="single" w:sz="8" w:space="0" w:color="auto"/>
              <w:right w:val="single" w:sz="4" w:space="0" w:color="auto"/>
            </w:tcBorders>
            <w:shd w:val="pct25" w:color="auto" w:fill="CCFFCC"/>
            <w:noWrap/>
            <w:vAlign w:val="center"/>
            <w:hideMark/>
          </w:tcPr>
          <w:p w14:paraId="0EE1C7E0" w14:textId="5564F2AD"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2024</w:t>
            </w:r>
            <w:r>
              <w:rPr>
                <w:rFonts w:ascii="Arial" w:eastAsia="Times New Roman" w:hAnsi="Arial" w:cs="Arial"/>
                <w:b/>
                <w:bCs/>
                <w:sz w:val="18"/>
                <w:szCs w:val="18"/>
                <w:lang w:val="sr-Cyrl-RS"/>
              </w:rPr>
              <w:t>.</w:t>
            </w:r>
          </w:p>
        </w:tc>
        <w:tc>
          <w:tcPr>
            <w:tcW w:w="1209" w:type="dxa"/>
            <w:tcBorders>
              <w:top w:val="nil"/>
              <w:left w:val="nil"/>
              <w:bottom w:val="single" w:sz="8" w:space="0" w:color="auto"/>
              <w:right w:val="single" w:sz="8" w:space="0" w:color="auto"/>
            </w:tcBorders>
            <w:shd w:val="pct25" w:color="auto" w:fill="CCFFCC"/>
            <w:noWrap/>
            <w:vAlign w:val="center"/>
            <w:hideMark/>
          </w:tcPr>
          <w:p w14:paraId="06BDA3B6" w14:textId="1CBEC871"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2025</w:t>
            </w:r>
            <w:r>
              <w:rPr>
                <w:rFonts w:ascii="Arial" w:eastAsia="Times New Roman" w:hAnsi="Arial" w:cs="Arial"/>
                <w:b/>
                <w:bCs/>
                <w:sz w:val="18"/>
                <w:szCs w:val="18"/>
                <w:lang w:val="sr-Cyrl-RS"/>
              </w:rPr>
              <w:t>.</w:t>
            </w:r>
          </w:p>
        </w:tc>
      </w:tr>
      <w:tr w:rsidR="00752F04" w:rsidRPr="00EA0FD7" w14:paraId="407BAC1B" w14:textId="77777777" w:rsidTr="00752F04">
        <w:trPr>
          <w:trHeight w:val="270"/>
        </w:trPr>
        <w:tc>
          <w:tcPr>
            <w:tcW w:w="1228" w:type="dxa"/>
            <w:tcBorders>
              <w:top w:val="nil"/>
              <w:left w:val="single" w:sz="8" w:space="0" w:color="auto"/>
              <w:bottom w:val="single" w:sz="8" w:space="0" w:color="auto"/>
              <w:right w:val="single" w:sz="4" w:space="0" w:color="auto"/>
            </w:tcBorders>
            <w:noWrap/>
            <w:vAlign w:val="bottom"/>
            <w:hideMark/>
          </w:tcPr>
          <w:p w14:paraId="50680E10"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215" w:type="dxa"/>
            <w:tcBorders>
              <w:top w:val="nil"/>
              <w:left w:val="nil"/>
              <w:bottom w:val="single" w:sz="8" w:space="0" w:color="auto"/>
              <w:right w:val="single" w:sz="4" w:space="0" w:color="auto"/>
            </w:tcBorders>
            <w:noWrap/>
            <w:vAlign w:val="bottom"/>
            <w:hideMark/>
          </w:tcPr>
          <w:p w14:paraId="42F06097"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w:t>
            </w:r>
          </w:p>
        </w:tc>
        <w:tc>
          <w:tcPr>
            <w:tcW w:w="1425" w:type="dxa"/>
            <w:tcBorders>
              <w:top w:val="nil"/>
              <w:left w:val="nil"/>
              <w:bottom w:val="single" w:sz="8" w:space="0" w:color="auto"/>
              <w:right w:val="single" w:sz="4" w:space="0" w:color="auto"/>
            </w:tcBorders>
            <w:noWrap/>
            <w:vAlign w:val="bottom"/>
            <w:hideMark/>
          </w:tcPr>
          <w:p w14:paraId="1AB66676"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47" w:type="dxa"/>
            <w:tcBorders>
              <w:top w:val="nil"/>
              <w:left w:val="nil"/>
              <w:bottom w:val="single" w:sz="8" w:space="0" w:color="auto"/>
              <w:right w:val="single" w:sz="4" w:space="0" w:color="auto"/>
            </w:tcBorders>
            <w:noWrap/>
            <w:vAlign w:val="bottom"/>
            <w:hideMark/>
          </w:tcPr>
          <w:p w14:paraId="62857C08"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4" w:space="0" w:color="auto"/>
            </w:tcBorders>
            <w:noWrap/>
            <w:vAlign w:val="bottom"/>
            <w:hideMark/>
          </w:tcPr>
          <w:p w14:paraId="35F41D77"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4" w:space="0" w:color="auto"/>
            </w:tcBorders>
            <w:noWrap/>
            <w:vAlign w:val="bottom"/>
            <w:hideMark/>
          </w:tcPr>
          <w:p w14:paraId="711B40E9"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8" w:space="0" w:color="auto"/>
            </w:tcBorders>
            <w:noWrap/>
            <w:vAlign w:val="bottom"/>
            <w:hideMark/>
          </w:tcPr>
          <w:p w14:paraId="3D960CF3"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752F04" w:rsidRPr="00EA0FD7" w14:paraId="516166F1" w14:textId="77777777" w:rsidTr="00752F04">
        <w:trPr>
          <w:trHeight w:val="450"/>
        </w:trPr>
        <w:tc>
          <w:tcPr>
            <w:tcW w:w="1228" w:type="dxa"/>
            <w:tcBorders>
              <w:top w:val="nil"/>
              <w:left w:val="single" w:sz="8" w:space="0" w:color="auto"/>
              <w:bottom w:val="single" w:sz="4" w:space="0" w:color="auto"/>
              <w:right w:val="single" w:sz="4" w:space="0" w:color="auto"/>
            </w:tcBorders>
            <w:noWrap/>
            <w:vAlign w:val="bottom"/>
            <w:hideMark/>
          </w:tcPr>
          <w:p w14:paraId="63865BE0"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215" w:type="dxa"/>
            <w:tcBorders>
              <w:top w:val="nil"/>
              <w:left w:val="nil"/>
              <w:bottom w:val="single" w:sz="4" w:space="0" w:color="auto"/>
              <w:right w:val="single" w:sz="4" w:space="0" w:color="auto"/>
            </w:tcBorders>
            <w:vAlign w:val="bottom"/>
            <w:hideMark/>
          </w:tcPr>
          <w:p w14:paraId="347F98F0" w14:textId="5E1C589D"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властитих</w:t>
            </w:r>
            <w:r w:rsidRPr="00EA0FD7">
              <w:rPr>
                <w:rFonts w:ascii="Arial" w:eastAsia="Times New Roman" w:hAnsi="Arial" w:cs="Arial"/>
                <w:sz w:val="17"/>
                <w:szCs w:val="17"/>
                <w:lang w:val="sr-Cyrl-RS"/>
              </w:rPr>
              <w:br/>
              <w:t>прихода</w:t>
            </w:r>
          </w:p>
        </w:tc>
        <w:tc>
          <w:tcPr>
            <w:tcW w:w="1425" w:type="dxa"/>
            <w:tcBorders>
              <w:top w:val="nil"/>
              <w:left w:val="nil"/>
              <w:bottom w:val="single" w:sz="4" w:space="0" w:color="auto"/>
              <w:right w:val="single" w:sz="4" w:space="0" w:color="auto"/>
            </w:tcBorders>
            <w:noWrap/>
            <w:vAlign w:val="bottom"/>
            <w:hideMark/>
          </w:tcPr>
          <w:p w14:paraId="1E1AECA2"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09F4B43C"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0BB309D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6E8C23E3"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1149A591"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77DCDEEC" w14:textId="77777777" w:rsidTr="00752F04">
        <w:trPr>
          <w:trHeight w:val="450"/>
        </w:trPr>
        <w:tc>
          <w:tcPr>
            <w:tcW w:w="1228" w:type="dxa"/>
            <w:tcBorders>
              <w:top w:val="nil"/>
              <w:left w:val="single" w:sz="8" w:space="0" w:color="auto"/>
              <w:bottom w:val="single" w:sz="4" w:space="0" w:color="auto"/>
              <w:right w:val="single" w:sz="4" w:space="0" w:color="auto"/>
            </w:tcBorders>
            <w:noWrap/>
            <w:vAlign w:val="bottom"/>
            <w:hideMark/>
          </w:tcPr>
          <w:p w14:paraId="20B71F64"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215" w:type="dxa"/>
            <w:tcBorders>
              <w:top w:val="nil"/>
              <w:left w:val="nil"/>
              <w:bottom w:val="single" w:sz="4" w:space="0" w:color="auto"/>
              <w:right w:val="single" w:sz="4" w:space="0" w:color="auto"/>
            </w:tcBorders>
            <w:vAlign w:val="bottom"/>
            <w:hideMark/>
          </w:tcPr>
          <w:p w14:paraId="2C3C1220"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кредитних средстава</w:t>
            </w:r>
          </w:p>
        </w:tc>
        <w:tc>
          <w:tcPr>
            <w:tcW w:w="1425" w:type="dxa"/>
            <w:tcBorders>
              <w:top w:val="nil"/>
              <w:left w:val="nil"/>
              <w:bottom w:val="single" w:sz="4" w:space="0" w:color="auto"/>
              <w:right w:val="single" w:sz="4" w:space="0" w:color="auto"/>
            </w:tcBorders>
            <w:noWrap/>
            <w:vAlign w:val="bottom"/>
            <w:hideMark/>
          </w:tcPr>
          <w:p w14:paraId="17902474"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0FD32CEB"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336EDE62"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3F56131E"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6428449B"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7B7C3172" w14:textId="77777777" w:rsidTr="00752F04">
        <w:trPr>
          <w:trHeight w:val="255"/>
        </w:trPr>
        <w:tc>
          <w:tcPr>
            <w:tcW w:w="1228" w:type="dxa"/>
            <w:tcBorders>
              <w:top w:val="nil"/>
              <w:left w:val="single" w:sz="8" w:space="0" w:color="auto"/>
              <w:bottom w:val="single" w:sz="4" w:space="0" w:color="auto"/>
              <w:right w:val="single" w:sz="4" w:space="0" w:color="auto"/>
            </w:tcBorders>
            <w:noWrap/>
            <w:vAlign w:val="bottom"/>
            <w:hideMark/>
          </w:tcPr>
          <w:p w14:paraId="6F610429"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215" w:type="dxa"/>
            <w:tcBorders>
              <w:top w:val="nil"/>
              <w:left w:val="nil"/>
              <w:bottom w:val="single" w:sz="4" w:space="0" w:color="auto"/>
              <w:right w:val="single" w:sz="4" w:space="0" w:color="auto"/>
            </w:tcBorders>
            <w:vAlign w:val="bottom"/>
            <w:hideMark/>
          </w:tcPr>
          <w:p w14:paraId="77E97F9E"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донација</w:t>
            </w:r>
          </w:p>
        </w:tc>
        <w:tc>
          <w:tcPr>
            <w:tcW w:w="1425" w:type="dxa"/>
            <w:tcBorders>
              <w:top w:val="nil"/>
              <w:left w:val="nil"/>
              <w:bottom w:val="single" w:sz="4" w:space="0" w:color="auto"/>
              <w:right w:val="single" w:sz="4" w:space="0" w:color="auto"/>
            </w:tcBorders>
            <w:noWrap/>
            <w:vAlign w:val="bottom"/>
            <w:hideMark/>
          </w:tcPr>
          <w:p w14:paraId="53D1D1CC"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336A73A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15E285E9"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2E380BBF"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37275888"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01C1FC28" w14:textId="77777777" w:rsidTr="00752F04">
        <w:trPr>
          <w:trHeight w:val="270"/>
        </w:trPr>
        <w:tc>
          <w:tcPr>
            <w:tcW w:w="1228" w:type="dxa"/>
            <w:tcBorders>
              <w:top w:val="nil"/>
              <w:left w:val="single" w:sz="8" w:space="0" w:color="auto"/>
              <w:bottom w:val="single" w:sz="4" w:space="0" w:color="auto"/>
              <w:right w:val="single" w:sz="4" w:space="0" w:color="auto"/>
            </w:tcBorders>
            <w:noWrap/>
            <w:vAlign w:val="bottom"/>
            <w:hideMark/>
          </w:tcPr>
          <w:p w14:paraId="6681CCA9"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215" w:type="dxa"/>
            <w:tcBorders>
              <w:top w:val="nil"/>
              <w:left w:val="nil"/>
              <w:bottom w:val="single" w:sz="4" w:space="0" w:color="auto"/>
              <w:right w:val="single" w:sz="4" w:space="0" w:color="auto"/>
            </w:tcBorders>
            <w:noWrap/>
            <w:vAlign w:val="bottom"/>
            <w:hideMark/>
          </w:tcPr>
          <w:p w14:paraId="1C955F1D"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буџета</w:t>
            </w:r>
          </w:p>
        </w:tc>
        <w:tc>
          <w:tcPr>
            <w:tcW w:w="1425" w:type="dxa"/>
            <w:tcBorders>
              <w:top w:val="nil"/>
              <w:left w:val="nil"/>
              <w:bottom w:val="single" w:sz="4" w:space="0" w:color="auto"/>
              <w:right w:val="single" w:sz="4" w:space="0" w:color="auto"/>
            </w:tcBorders>
            <w:noWrap/>
            <w:vAlign w:val="bottom"/>
            <w:hideMark/>
          </w:tcPr>
          <w:p w14:paraId="296EAEB5"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1,564,794.00</w:t>
            </w:r>
          </w:p>
        </w:tc>
        <w:tc>
          <w:tcPr>
            <w:tcW w:w="1447" w:type="dxa"/>
            <w:tcBorders>
              <w:top w:val="nil"/>
              <w:left w:val="nil"/>
              <w:bottom w:val="single" w:sz="4" w:space="0" w:color="auto"/>
              <w:right w:val="single" w:sz="4" w:space="0" w:color="auto"/>
            </w:tcBorders>
            <w:noWrap/>
            <w:vAlign w:val="bottom"/>
            <w:hideMark/>
          </w:tcPr>
          <w:p w14:paraId="1631210F"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2,100,000.00</w:t>
            </w:r>
          </w:p>
        </w:tc>
        <w:tc>
          <w:tcPr>
            <w:tcW w:w="1209" w:type="dxa"/>
            <w:tcBorders>
              <w:top w:val="nil"/>
              <w:left w:val="nil"/>
              <w:bottom w:val="single" w:sz="4" w:space="0" w:color="auto"/>
              <w:right w:val="single" w:sz="4" w:space="0" w:color="auto"/>
            </w:tcBorders>
            <w:noWrap/>
            <w:vAlign w:val="bottom"/>
            <w:hideMark/>
          </w:tcPr>
          <w:p w14:paraId="75CE04FA"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2,425,000.00</w:t>
            </w:r>
          </w:p>
        </w:tc>
        <w:tc>
          <w:tcPr>
            <w:tcW w:w="1209" w:type="dxa"/>
            <w:tcBorders>
              <w:top w:val="nil"/>
              <w:left w:val="nil"/>
              <w:bottom w:val="single" w:sz="4" w:space="0" w:color="auto"/>
              <w:right w:val="single" w:sz="4" w:space="0" w:color="auto"/>
            </w:tcBorders>
            <w:noWrap/>
            <w:vAlign w:val="bottom"/>
            <w:hideMark/>
          </w:tcPr>
          <w:p w14:paraId="7BA1E46D"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2,475,000.00</w:t>
            </w:r>
          </w:p>
        </w:tc>
        <w:tc>
          <w:tcPr>
            <w:tcW w:w="1209" w:type="dxa"/>
            <w:tcBorders>
              <w:top w:val="nil"/>
              <w:left w:val="nil"/>
              <w:bottom w:val="single" w:sz="4" w:space="0" w:color="auto"/>
              <w:right w:val="single" w:sz="8" w:space="0" w:color="auto"/>
            </w:tcBorders>
            <w:noWrap/>
            <w:vAlign w:val="bottom"/>
            <w:hideMark/>
          </w:tcPr>
          <w:p w14:paraId="0CC5225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2,505,000.00</w:t>
            </w:r>
          </w:p>
        </w:tc>
      </w:tr>
      <w:tr w:rsidR="00752F04" w:rsidRPr="00EA0FD7" w14:paraId="635E9F2E" w14:textId="77777777" w:rsidTr="00752F04">
        <w:trPr>
          <w:trHeight w:val="270"/>
        </w:trPr>
        <w:tc>
          <w:tcPr>
            <w:tcW w:w="1228" w:type="dxa"/>
            <w:tcBorders>
              <w:top w:val="single" w:sz="8" w:space="0" w:color="auto"/>
              <w:left w:val="single" w:sz="8" w:space="0" w:color="auto"/>
              <w:bottom w:val="single" w:sz="8" w:space="0" w:color="auto"/>
              <w:right w:val="single" w:sz="4" w:space="0" w:color="auto"/>
            </w:tcBorders>
            <w:noWrap/>
            <w:vAlign w:val="bottom"/>
            <w:hideMark/>
          </w:tcPr>
          <w:p w14:paraId="09F33AA4" w14:textId="77777777" w:rsidR="00752F04" w:rsidRPr="00EA0FD7" w:rsidRDefault="00752F04" w:rsidP="00752F04">
            <w:pPr>
              <w:spacing w:after="0" w:line="240" w:lineRule="auto"/>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 </w:t>
            </w:r>
          </w:p>
        </w:tc>
        <w:tc>
          <w:tcPr>
            <w:tcW w:w="2215" w:type="dxa"/>
            <w:tcBorders>
              <w:top w:val="single" w:sz="8" w:space="0" w:color="auto"/>
              <w:left w:val="nil"/>
              <w:bottom w:val="single" w:sz="8" w:space="0" w:color="auto"/>
              <w:right w:val="single" w:sz="4" w:space="0" w:color="auto"/>
            </w:tcBorders>
            <w:noWrap/>
            <w:vAlign w:val="bottom"/>
            <w:hideMark/>
          </w:tcPr>
          <w:p w14:paraId="531D4A38" w14:textId="77777777" w:rsidR="00752F04" w:rsidRPr="00EA0FD7" w:rsidRDefault="00752F04" w:rsidP="00752F04">
            <w:pPr>
              <w:spacing w:after="0" w:line="240" w:lineRule="auto"/>
              <w:jc w:val="center"/>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У К У П Н О</w:t>
            </w:r>
          </w:p>
        </w:tc>
        <w:tc>
          <w:tcPr>
            <w:tcW w:w="1425" w:type="dxa"/>
            <w:tcBorders>
              <w:top w:val="single" w:sz="8" w:space="0" w:color="auto"/>
              <w:left w:val="nil"/>
              <w:bottom w:val="single" w:sz="8" w:space="0" w:color="auto"/>
              <w:right w:val="single" w:sz="4" w:space="0" w:color="auto"/>
            </w:tcBorders>
            <w:noWrap/>
            <w:vAlign w:val="bottom"/>
            <w:hideMark/>
          </w:tcPr>
          <w:p w14:paraId="25B5305C"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1,564,794.00</w:t>
            </w:r>
          </w:p>
        </w:tc>
        <w:tc>
          <w:tcPr>
            <w:tcW w:w="1447" w:type="dxa"/>
            <w:tcBorders>
              <w:top w:val="single" w:sz="8" w:space="0" w:color="auto"/>
              <w:left w:val="nil"/>
              <w:bottom w:val="single" w:sz="8" w:space="0" w:color="auto"/>
              <w:right w:val="single" w:sz="4" w:space="0" w:color="auto"/>
            </w:tcBorders>
            <w:noWrap/>
            <w:vAlign w:val="bottom"/>
            <w:hideMark/>
          </w:tcPr>
          <w:p w14:paraId="330D04CD"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2,100,000.00</w:t>
            </w:r>
          </w:p>
        </w:tc>
        <w:tc>
          <w:tcPr>
            <w:tcW w:w="1209" w:type="dxa"/>
            <w:tcBorders>
              <w:top w:val="single" w:sz="8" w:space="0" w:color="auto"/>
              <w:left w:val="nil"/>
              <w:bottom w:val="single" w:sz="8" w:space="0" w:color="auto"/>
              <w:right w:val="single" w:sz="4" w:space="0" w:color="auto"/>
            </w:tcBorders>
            <w:noWrap/>
            <w:vAlign w:val="bottom"/>
            <w:hideMark/>
          </w:tcPr>
          <w:p w14:paraId="157DFBF9"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2,425,000.00</w:t>
            </w:r>
          </w:p>
        </w:tc>
        <w:tc>
          <w:tcPr>
            <w:tcW w:w="1209" w:type="dxa"/>
            <w:tcBorders>
              <w:top w:val="single" w:sz="8" w:space="0" w:color="auto"/>
              <w:left w:val="nil"/>
              <w:bottom w:val="single" w:sz="8" w:space="0" w:color="auto"/>
              <w:right w:val="single" w:sz="4" w:space="0" w:color="auto"/>
            </w:tcBorders>
            <w:noWrap/>
            <w:vAlign w:val="bottom"/>
            <w:hideMark/>
          </w:tcPr>
          <w:p w14:paraId="1D384E95"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2,475,000.00</w:t>
            </w:r>
          </w:p>
        </w:tc>
        <w:tc>
          <w:tcPr>
            <w:tcW w:w="1209" w:type="dxa"/>
            <w:tcBorders>
              <w:top w:val="single" w:sz="8" w:space="0" w:color="auto"/>
              <w:left w:val="nil"/>
              <w:bottom w:val="single" w:sz="8" w:space="0" w:color="auto"/>
              <w:right w:val="single" w:sz="8" w:space="0" w:color="auto"/>
            </w:tcBorders>
            <w:noWrap/>
            <w:vAlign w:val="bottom"/>
            <w:hideMark/>
          </w:tcPr>
          <w:p w14:paraId="142B7CC7"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2,505,000.00</w:t>
            </w:r>
          </w:p>
        </w:tc>
      </w:tr>
    </w:tbl>
    <w:p w14:paraId="1211FAA5"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70601BB5"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Развојно-гарантни фонд у 2021. години је остварио укупне расходе у износу од 1.564.794 КМ, док им је финансијски план за 2022. годину 2.100.000 КМ, што је  34,20% више у односу на остварење 2021. године.</w:t>
      </w:r>
    </w:p>
    <w:p w14:paraId="3213D615" w14:textId="71E7ACBF"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Процјењује се да ће Финансијски план Развојно</w:t>
      </w:r>
      <w:r w:rsidR="00752F04">
        <w:rPr>
          <w:rFonts w:ascii="Times New Roman" w:eastAsia="Times New Roman" w:hAnsi="Times New Roman" w:cs="Times New Roman"/>
          <w:sz w:val="24"/>
          <w:lang w:val="sr-Cyrl-RS" w:eastAsia="hr-HR"/>
        </w:rPr>
        <w:t>-</w:t>
      </w:r>
      <w:r w:rsidRPr="00EA0FD7">
        <w:rPr>
          <w:rFonts w:ascii="Times New Roman" w:eastAsia="Times New Roman" w:hAnsi="Times New Roman" w:cs="Times New Roman"/>
          <w:sz w:val="24"/>
          <w:lang w:val="sr-Cyrl-RS" w:eastAsia="hr-HR"/>
        </w:rPr>
        <w:t>гарантног фонда у 2023. години износити 2.425.000 КМ, у 2024. години 2.475.000 КМ и у 2025. години 2.505.000 КМ.</w:t>
      </w:r>
    </w:p>
    <w:p w14:paraId="3E08A9B0"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tbl>
      <w:tblPr>
        <w:tblpPr w:leftFromText="180" w:rightFromText="180" w:vertAnchor="text" w:horzAnchor="margin" w:tblpY="-37"/>
        <w:tblW w:w="9942" w:type="dxa"/>
        <w:tblLook w:val="04A0" w:firstRow="1" w:lastRow="0" w:firstColumn="1" w:lastColumn="0" w:noHBand="0" w:noVBand="1"/>
      </w:tblPr>
      <w:tblGrid>
        <w:gridCol w:w="1228"/>
        <w:gridCol w:w="2215"/>
        <w:gridCol w:w="1425"/>
        <w:gridCol w:w="1447"/>
        <w:gridCol w:w="1209"/>
        <w:gridCol w:w="1209"/>
        <w:gridCol w:w="1209"/>
      </w:tblGrid>
      <w:tr w:rsidR="00752F04" w:rsidRPr="00EA0FD7" w14:paraId="31563364" w14:textId="77777777" w:rsidTr="00752F04">
        <w:trPr>
          <w:trHeight w:val="450"/>
        </w:trPr>
        <w:tc>
          <w:tcPr>
            <w:tcW w:w="9942" w:type="dxa"/>
            <w:gridSpan w:val="7"/>
            <w:vMerge w:val="restart"/>
            <w:tcBorders>
              <w:top w:val="nil"/>
              <w:left w:val="nil"/>
              <w:bottom w:val="single" w:sz="8" w:space="0" w:color="000000"/>
              <w:right w:val="nil"/>
            </w:tcBorders>
            <w:vAlign w:val="bottom"/>
            <w:hideMark/>
          </w:tcPr>
          <w:p w14:paraId="3CBCC81F" w14:textId="7536F3F9"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Табела 4.10.</w:t>
            </w:r>
            <w:r w:rsidRPr="00EA0FD7">
              <w:rPr>
                <w:rFonts w:ascii="Arial" w:eastAsia="Times New Roman" w:hAnsi="Arial" w:cs="Arial"/>
                <w:sz w:val="20"/>
                <w:szCs w:val="20"/>
                <w:lang w:val="sr-Cyrl-RS"/>
              </w:rPr>
              <w:t xml:space="preserve"> Финансијски план расхода Завода за планирање, пројектовање и развој Брчко дистрикта БиХ 2023</w:t>
            </w:r>
            <w:r>
              <w:rPr>
                <w:rFonts w:ascii="Arial" w:eastAsia="Times New Roman" w:hAnsi="Arial" w:cs="Arial"/>
                <w:sz w:val="20"/>
                <w:szCs w:val="20"/>
                <w:lang w:val="sr-Cyrl-RS"/>
              </w:rPr>
              <w:t>–</w:t>
            </w:r>
            <w:r w:rsidRPr="00EA0FD7">
              <w:rPr>
                <w:rFonts w:ascii="Arial" w:eastAsia="Times New Roman" w:hAnsi="Arial" w:cs="Arial"/>
                <w:sz w:val="20"/>
                <w:szCs w:val="20"/>
                <w:lang w:val="sr-Cyrl-RS"/>
              </w:rPr>
              <w:t xml:space="preserve">2025. године (по економској класификацији) </w:t>
            </w:r>
          </w:p>
        </w:tc>
      </w:tr>
      <w:tr w:rsidR="00752F04" w:rsidRPr="00EA0FD7" w14:paraId="00D9485C" w14:textId="77777777" w:rsidTr="00752F04">
        <w:trPr>
          <w:trHeight w:val="450"/>
        </w:trPr>
        <w:tc>
          <w:tcPr>
            <w:tcW w:w="0" w:type="auto"/>
            <w:gridSpan w:val="7"/>
            <w:vMerge/>
            <w:tcBorders>
              <w:top w:val="nil"/>
              <w:left w:val="nil"/>
              <w:bottom w:val="single" w:sz="8" w:space="0" w:color="000000"/>
              <w:right w:val="nil"/>
            </w:tcBorders>
            <w:vAlign w:val="center"/>
            <w:hideMark/>
          </w:tcPr>
          <w:p w14:paraId="52FE4CE8" w14:textId="77777777" w:rsidR="00752F04" w:rsidRPr="00EA0FD7" w:rsidRDefault="00752F04" w:rsidP="00752F04">
            <w:pPr>
              <w:spacing w:after="0" w:line="240" w:lineRule="auto"/>
              <w:rPr>
                <w:rFonts w:ascii="Arial" w:eastAsia="Times New Roman" w:hAnsi="Arial" w:cs="Arial"/>
                <w:b/>
                <w:bCs/>
                <w:sz w:val="18"/>
                <w:szCs w:val="18"/>
                <w:lang w:val="sr-Cyrl-RS"/>
              </w:rPr>
            </w:pPr>
          </w:p>
        </w:tc>
      </w:tr>
      <w:tr w:rsidR="00752F04" w:rsidRPr="00EA0FD7" w14:paraId="3A0809AE" w14:textId="77777777" w:rsidTr="00752F04">
        <w:trPr>
          <w:trHeight w:val="495"/>
        </w:trPr>
        <w:tc>
          <w:tcPr>
            <w:tcW w:w="1228" w:type="dxa"/>
            <w:vMerge w:val="restart"/>
            <w:tcBorders>
              <w:top w:val="nil"/>
              <w:left w:val="single" w:sz="8" w:space="0" w:color="auto"/>
              <w:bottom w:val="single" w:sz="8" w:space="0" w:color="000000"/>
              <w:right w:val="single" w:sz="8" w:space="0" w:color="auto"/>
            </w:tcBorders>
            <w:shd w:val="pct25" w:color="auto" w:fill="CCFFCC"/>
            <w:vAlign w:val="center"/>
            <w:hideMark/>
          </w:tcPr>
          <w:p w14:paraId="2AB9B05D"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Економски</w:t>
            </w:r>
            <w:r w:rsidRPr="00EA0FD7">
              <w:rPr>
                <w:rFonts w:ascii="Arial" w:eastAsia="Times New Roman" w:hAnsi="Arial" w:cs="Arial"/>
                <w:b/>
                <w:bCs/>
                <w:sz w:val="18"/>
                <w:szCs w:val="18"/>
                <w:lang w:val="sr-Cyrl-RS"/>
              </w:rPr>
              <w:br/>
              <w:t>код</w:t>
            </w:r>
          </w:p>
        </w:tc>
        <w:tc>
          <w:tcPr>
            <w:tcW w:w="2215" w:type="dxa"/>
            <w:vMerge w:val="restart"/>
            <w:tcBorders>
              <w:top w:val="nil"/>
              <w:left w:val="single" w:sz="8" w:space="0" w:color="auto"/>
              <w:bottom w:val="single" w:sz="8" w:space="0" w:color="000000"/>
              <w:right w:val="single" w:sz="8" w:space="0" w:color="auto"/>
            </w:tcBorders>
            <w:shd w:val="pct25" w:color="auto" w:fill="CCFFCC"/>
            <w:vAlign w:val="center"/>
            <w:hideMark/>
          </w:tcPr>
          <w:p w14:paraId="30AFA971"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Економска категорија</w:t>
            </w:r>
          </w:p>
        </w:tc>
        <w:tc>
          <w:tcPr>
            <w:tcW w:w="1425" w:type="dxa"/>
            <w:vMerge w:val="restart"/>
            <w:tcBorders>
              <w:top w:val="nil"/>
              <w:left w:val="single" w:sz="8" w:space="0" w:color="auto"/>
              <w:bottom w:val="single" w:sz="8" w:space="0" w:color="000000"/>
              <w:right w:val="single" w:sz="8" w:space="0" w:color="auto"/>
            </w:tcBorders>
            <w:shd w:val="pct25" w:color="auto" w:fill="CCFFCC"/>
            <w:vAlign w:val="center"/>
            <w:hideMark/>
          </w:tcPr>
          <w:p w14:paraId="5E04283B"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xml:space="preserve">Извршење </w:t>
            </w:r>
            <w:r w:rsidRPr="00EA0FD7">
              <w:rPr>
                <w:rFonts w:ascii="Arial" w:eastAsia="Times New Roman" w:hAnsi="Arial" w:cs="Arial"/>
                <w:b/>
                <w:bCs/>
                <w:sz w:val="18"/>
                <w:szCs w:val="18"/>
                <w:lang w:val="sr-Cyrl-RS"/>
              </w:rPr>
              <w:br/>
              <w:t>2021.</w:t>
            </w:r>
          </w:p>
        </w:tc>
        <w:tc>
          <w:tcPr>
            <w:tcW w:w="1447" w:type="dxa"/>
            <w:vMerge w:val="restart"/>
            <w:tcBorders>
              <w:top w:val="nil"/>
              <w:left w:val="single" w:sz="8" w:space="0" w:color="auto"/>
              <w:bottom w:val="single" w:sz="8" w:space="0" w:color="000000"/>
              <w:right w:val="single" w:sz="8" w:space="0" w:color="auto"/>
            </w:tcBorders>
            <w:shd w:val="pct25" w:color="auto" w:fill="CCFFCC"/>
            <w:vAlign w:val="center"/>
            <w:hideMark/>
          </w:tcPr>
          <w:p w14:paraId="60884F43"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Финансијски план</w:t>
            </w:r>
            <w:r w:rsidRPr="00EA0FD7">
              <w:rPr>
                <w:rFonts w:ascii="Arial" w:eastAsia="Times New Roman" w:hAnsi="Arial" w:cs="Arial"/>
                <w:b/>
                <w:bCs/>
                <w:sz w:val="18"/>
                <w:szCs w:val="18"/>
                <w:lang w:val="sr-Cyrl-RS"/>
              </w:rPr>
              <w:br/>
              <w:t>2022.</w:t>
            </w:r>
          </w:p>
        </w:tc>
        <w:tc>
          <w:tcPr>
            <w:tcW w:w="3627" w:type="dxa"/>
            <w:gridSpan w:val="3"/>
            <w:tcBorders>
              <w:top w:val="single" w:sz="8" w:space="0" w:color="auto"/>
              <w:left w:val="nil"/>
              <w:bottom w:val="single" w:sz="8" w:space="0" w:color="auto"/>
              <w:right w:val="single" w:sz="8" w:space="0" w:color="000000"/>
            </w:tcBorders>
            <w:shd w:val="pct25" w:color="auto" w:fill="CCFFCC"/>
            <w:noWrap/>
            <w:vAlign w:val="center"/>
            <w:hideMark/>
          </w:tcPr>
          <w:p w14:paraId="6855AE2E"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Процјена</w:t>
            </w:r>
          </w:p>
        </w:tc>
      </w:tr>
      <w:tr w:rsidR="00752F04" w:rsidRPr="00EA0FD7" w14:paraId="224AAB08" w14:textId="77777777" w:rsidTr="00752F04">
        <w:trPr>
          <w:trHeight w:val="270"/>
        </w:trPr>
        <w:tc>
          <w:tcPr>
            <w:tcW w:w="0" w:type="auto"/>
            <w:vMerge/>
            <w:tcBorders>
              <w:top w:val="nil"/>
              <w:left w:val="single" w:sz="8" w:space="0" w:color="auto"/>
              <w:bottom w:val="single" w:sz="8" w:space="0" w:color="000000"/>
              <w:right w:val="single" w:sz="8" w:space="0" w:color="auto"/>
            </w:tcBorders>
            <w:vAlign w:val="center"/>
            <w:hideMark/>
          </w:tcPr>
          <w:p w14:paraId="6168326C"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75634DBF"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7DAA8388"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1184EF05"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1209" w:type="dxa"/>
            <w:tcBorders>
              <w:top w:val="nil"/>
              <w:left w:val="nil"/>
              <w:bottom w:val="single" w:sz="8" w:space="0" w:color="auto"/>
              <w:right w:val="single" w:sz="4" w:space="0" w:color="auto"/>
            </w:tcBorders>
            <w:shd w:val="pct25" w:color="auto" w:fill="CCFFCC"/>
            <w:noWrap/>
            <w:vAlign w:val="center"/>
            <w:hideMark/>
          </w:tcPr>
          <w:p w14:paraId="33D25AF9" w14:textId="583A976F"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2023</w:t>
            </w:r>
            <w:r>
              <w:rPr>
                <w:rFonts w:ascii="Arial" w:eastAsia="Times New Roman" w:hAnsi="Arial" w:cs="Arial"/>
                <w:b/>
                <w:bCs/>
                <w:sz w:val="18"/>
                <w:szCs w:val="18"/>
                <w:lang w:val="sr-Cyrl-RS"/>
              </w:rPr>
              <w:t>.</w:t>
            </w:r>
          </w:p>
        </w:tc>
        <w:tc>
          <w:tcPr>
            <w:tcW w:w="1209" w:type="dxa"/>
            <w:tcBorders>
              <w:top w:val="nil"/>
              <w:left w:val="nil"/>
              <w:bottom w:val="single" w:sz="8" w:space="0" w:color="auto"/>
              <w:right w:val="single" w:sz="4" w:space="0" w:color="auto"/>
            </w:tcBorders>
            <w:shd w:val="pct25" w:color="auto" w:fill="CCFFCC"/>
            <w:noWrap/>
            <w:vAlign w:val="center"/>
            <w:hideMark/>
          </w:tcPr>
          <w:p w14:paraId="27F8D93A" w14:textId="5AD06074"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2024</w:t>
            </w:r>
            <w:r>
              <w:rPr>
                <w:rFonts w:ascii="Arial" w:eastAsia="Times New Roman" w:hAnsi="Arial" w:cs="Arial"/>
                <w:b/>
                <w:bCs/>
                <w:sz w:val="18"/>
                <w:szCs w:val="18"/>
                <w:lang w:val="sr-Cyrl-RS"/>
              </w:rPr>
              <w:t>.</w:t>
            </w:r>
          </w:p>
        </w:tc>
        <w:tc>
          <w:tcPr>
            <w:tcW w:w="1209" w:type="dxa"/>
            <w:tcBorders>
              <w:top w:val="nil"/>
              <w:left w:val="nil"/>
              <w:bottom w:val="single" w:sz="8" w:space="0" w:color="auto"/>
              <w:right w:val="single" w:sz="8" w:space="0" w:color="auto"/>
            </w:tcBorders>
            <w:shd w:val="pct25" w:color="auto" w:fill="CCFFCC"/>
            <w:noWrap/>
            <w:vAlign w:val="center"/>
            <w:hideMark/>
          </w:tcPr>
          <w:p w14:paraId="10B24696" w14:textId="071127E6"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2025</w:t>
            </w:r>
            <w:r>
              <w:rPr>
                <w:rFonts w:ascii="Arial" w:eastAsia="Times New Roman" w:hAnsi="Arial" w:cs="Arial"/>
                <w:b/>
                <w:bCs/>
                <w:sz w:val="18"/>
                <w:szCs w:val="18"/>
                <w:lang w:val="sr-Cyrl-RS"/>
              </w:rPr>
              <w:t>.</w:t>
            </w:r>
          </w:p>
        </w:tc>
      </w:tr>
      <w:tr w:rsidR="00752F04" w:rsidRPr="00EA0FD7" w14:paraId="54B888D5" w14:textId="77777777" w:rsidTr="00752F04">
        <w:trPr>
          <w:trHeight w:val="270"/>
        </w:trPr>
        <w:tc>
          <w:tcPr>
            <w:tcW w:w="1228" w:type="dxa"/>
            <w:tcBorders>
              <w:top w:val="nil"/>
              <w:left w:val="single" w:sz="8" w:space="0" w:color="auto"/>
              <w:bottom w:val="single" w:sz="8" w:space="0" w:color="auto"/>
              <w:right w:val="single" w:sz="4" w:space="0" w:color="auto"/>
            </w:tcBorders>
            <w:noWrap/>
            <w:vAlign w:val="bottom"/>
            <w:hideMark/>
          </w:tcPr>
          <w:p w14:paraId="259010C6"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215" w:type="dxa"/>
            <w:tcBorders>
              <w:top w:val="nil"/>
              <w:left w:val="nil"/>
              <w:bottom w:val="single" w:sz="8" w:space="0" w:color="auto"/>
              <w:right w:val="single" w:sz="4" w:space="0" w:color="auto"/>
            </w:tcBorders>
            <w:noWrap/>
            <w:vAlign w:val="bottom"/>
            <w:hideMark/>
          </w:tcPr>
          <w:p w14:paraId="22E03E9E"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w:t>
            </w:r>
          </w:p>
        </w:tc>
        <w:tc>
          <w:tcPr>
            <w:tcW w:w="1425" w:type="dxa"/>
            <w:tcBorders>
              <w:top w:val="nil"/>
              <w:left w:val="nil"/>
              <w:bottom w:val="single" w:sz="8" w:space="0" w:color="auto"/>
              <w:right w:val="single" w:sz="4" w:space="0" w:color="auto"/>
            </w:tcBorders>
            <w:noWrap/>
            <w:vAlign w:val="bottom"/>
            <w:hideMark/>
          </w:tcPr>
          <w:p w14:paraId="0FCF0034"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47" w:type="dxa"/>
            <w:tcBorders>
              <w:top w:val="nil"/>
              <w:left w:val="nil"/>
              <w:bottom w:val="single" w:sz="8" w:space="0" w:color="auto"/>
              <w:right w:val="single" w:sz="4" w:space="0" w:color="auto"/>
            </w:tcBorders>
            <w:noWrap/>
            <w:vAlign w:val="bottom"/>
            <w:hideMark/>
          </w:tcPr>
          <w:p w14:paraId="13478556"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4" w:space="0" w:color="auto"/>
            </w:tcBorders>
            <w:noWrap/>
            <w:vAlign w:val="bottom"/>
            <w:hideMark/>
          </w:tcPr>
          <w:p w14:paraId="39D301CB"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4" w:space="0" w:color="auto"/>
            </w:tcBorders>
            <w:noWrap/>
            <w:vAlign w:val="bottom"/>
            <w:hideMark/>
          </w:tcPr>
          <w:p w14:paraId="6EF8A282"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8" w:space="0" w:color="auto"/>
            </w:tcBorders>
            <w:noWrap/>
            <w:vAlign w:val="bottom"/>
            <w:hideMark/>
          </w:tcPr>
          <w:p w14:paraId="537F464B"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752F04" w:rsidRPr="00EA0FD7" w14:paraId="172EC906" w14:textId="77777777" w:rsidTr="00752F04">
        <w:trPr>
          <w:trHeight w:val="450"/>
        </w:trPr>
        <w:tc>
          <w:tcPr>
            <w:tcW w:w="1228" w:type="dxa"/>
            <w:tcBorders>
              <w:top w:val="nil"/>
              <w:left w:val="single" w:sz="8" w:space="0" w:color="auto"/>
              <w:bottom w:val="single" w:sz="4" w:space="0" w:color="auto"/>
              <w:right w:val="single" w:sz="4" w:space="0" w:color="auto"/>
            </w:tcBorders>
            <w:vAlign w:val="bottom"/>
            <w:hideMark/>
          </w:tcPr>
          <w:p w14:paraId="46662833"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611100</w:t>
            </w:r>
            <w:r w:rsidRPr="00EA0FD7">
              <w:rPr>
                <w:rFonts w:ascii="Arial" w:eastAsia="Times New Roman" w:hAnsi="Arial" w:cs="Arial"/>
                <w:sz w:val="17"/>
                <w:szCs w:val="17"/>
                <w:lang w:val="sr-Cyrl-RS"/>
              </w:rPr>
              <w:br/>
              <w:t>612100</w:t>
            </w:r>
          </w:p>
        </w:tc>
        <w:tc>
          <w:tcPr>
            <w:tcW w:w="2215" w:type="dxa"/>
            <w:tcBorders>
              <w:top w:val="nil"/>
              <w:left w:val="nil"/>
              <w:bottom w:val="single" w:sz="4" w:space="0" w:color="auto"/>
              <w:right w:val="single" w:sz="4" w:space="0" w:color="auto"/>
            </w:tcBorders>
            <w:vAlign w:val="bottom"/>
            <w:hideMark/>
          </w:tcPr>
          <w:p w14:paraId="5820F7AE"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xml:space="preserve">Бруто плате и доприноси </w:t>
            </w:r>
            <w:r w:rsidRPr="00EA0FD7">
              <w:rPr>
                <w:rFonts w:ascii="Arial" w:eastAsia="Times New Roman" w:hAnsi="Arial" w:cs="Arial"/>
                <w:sz w:val="17"/>
                <w:szCs w:val="17"/>
                <w:lang w:val="sr-Cyrl-RS"/>
              </w:rPr>
              <w:br/>
              <w:t>послодавца</w:t>
            </w:r>
          </w:p>
        </w:tc>
        <w:tc>
          <w:tcPr>
            <w:tcW w:w="1425" w:type="dxa"/>
            <w:tcBorders>
              <w:top w:val="nil"/>
              <w:left w:val="nil"/>
              <w:bottom w:val="single" w:sz="4" w:space="0" w:color="auto"/>
              <w:right w:val="single" w:sz="4" w:space="0" w:color="auto"/>
            </w:tcBorders>
            <w:noWrap/>
            <w:vAlign w:val="bottom"/>
            <w:hideMark/>
          </w:tcPr>
          <w:p w14:paraId="03CAAF2C"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699,998.00</w:t>
            </w:r>
          </w:p>
        </w:tc>
        <w:tc>
          <w:tcPr>
            <w:tcW w:w="1447" w:type="dxa"/>
            <w:tcBorders>
              <w:top w:val="nil"/>
              <w:left w:val="nil"/>
              <w:bottom w:val="single" w:sz="4" w:space="0" w:color="auto"/>
              <w:right w:val="single" w:sz="4" w:space="0" w:color="auto"/>
            </w:tcBorders>
            <w:noWrap/>
            <w:vAlign w:val="bottom"/>
            <w:hideMark/>
          </w:tcPr>
          <w:p w14:paraId="11AEE01D"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1,337,290.00</w:t>
            </w:r>
          </w:p>
        </w:tc>
        <w:tc>
          <w:tcPr>
            <w:tcW w:w="1209" w:type="dxa"/>
            <w:tcBorders>
              <w:top w:val="nil"/>
              <w:left w:val="nil"/>
              <w:bottom w:val="single" w:sz="4" w:space="0" w:color="auto"/>
              <w:right w:val="single" w:sz="4" w:space="0" w:color="auto"/>
            </w:tcBorders>
            <w:noWrap/>
            <w:vAlign w:val="bottom"/>
            <w:hideMark/>
          </w:tcPr>
          <w:p w14:paraId="7CD863B1"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1,648,900.00</w:t>
            </w:r>
          </w:p>
        </w:tc>
        <w:tc>
          <w:tcPr>
            <w:tcW w:w="1209" w:type="dxa"/>
            <w:tcBorders>
              <w:top w:val="nil"/>
              <w:left w:val="nil"/>
              <w:bottom w:val="single" w:sz="4" w:space="0" w:color="auto"/>
              <w:right w:val="single" w:sz="4" w:space="0" w:color="auto"/>
            </w:tcBorders>
            <w:noWrap/>
            <w:vAlign w:val="bottom"/>
            <w:hideMark/>
          </w:tcPr>
          <w:p w14:paraId="14756F1F"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1,683,900.00</w:t>
            </w:r>
          </w:p>
        </w:tc>
        <w:tc>
          <w:tcPr>
            <w:tcW w:w="1209" w:type="dxa"/>
            <w:tcBorders>
              <w:top w:val="nil"/>
              <w:left w:val="nil"/>
              <w:bottom w:val="single" w:sz="4" w:space="0" w:color="auto"/>
              <w:right w:val="single" w:sz="8" w:space="0" w:color="auto"/>
            </w:tcBorders>
            <w:noWrap/>
            <w:vAlign w:val="bottom"/>
            <w:hideMark/>
          </w:tcPr>
          <w:p w14:paraId="7834A87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1,753,900.00</w:t>
            </w:r>
          </w:p>
        </w:tc>
      </w:tr>
      <w:tr w:rsidR="00752F04" w:rsidRPr="00EA0FD7" w14:paraId="66D222B3" w14:textId="77777777" w:rsidTr="00752F04">
        <w:trPr>
          <w:trHeight w:val="450"/>
        </w:trPr>
        <w:tc>
          <w:tcPr>
            <w:tcW w:w="1228" w:type="dxa"/>
            <w:tcBorders>
              <w:top w:val="nil"/>
              <w:left w:val="single" w:sz="8" w:space="0" w:color="auto"/>
              <w:bottom w:val="single" w:sz="4" w:space="0" w:color="auto"/>
              <w:right w:val="single" w:sz="4" w:space="0" w:color="auto"/>
            </w:tcBorders>
            <w:vAlign w:val="bottom"/>
            <w:hideMark/>
          </w:tcPr>
          <w:p w14:paraId="78E2BA3A"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611200</w:t>
            </w:r>
          </w:p>
        </w:tc>
        <w:tc>
          <w:tcPr>
            <w:tcW w:w="2215" w:type="dxa"/>
            <w:tcBorders>
              <w:top w:val="nil"/>
              <w:left w:val="nil"/>
              <w:bottom w:val="single" w:sz="4" w:space="0" w:color="auto"/>
              <w:right w:val="single" w:sz="4" w:space="0" w:color="auto"/>
            </w:tcBorders>
            <w:vAlign w:val="bottom"/>
            <w:hideMark/>
          </w:tcPr>
          <w:p w14:paraId="2D0F351D"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Накнаде трошкова запослених</w:t>
            </w:r>
          </w:p>
        </w:tc>
        <w:tc>
          <w:tcPr>
            <w:tcW w:w="1425" w:type="dxa"/>
            <w:tcBorders>
              <w:top w:val="nil"/>
              <w:left w:val="nil"/>
              <w:bottom w:val="single" w:sz="4" w:space="0" w:color="auto"/>
              <w:right w:val="single" w:sz="4" w:space="0" w:color="auto"/>
            </w:tcBorders>
            <w:noWrap/>
            <w:vAlign w:val="bottom"/>
            <w:hideMark/>
          </w:tcPr>
          <w:p w14:paraId="3B755EB2"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19,885.00</w:t>
            </w:r>
          </w:p>
        </w:tc>
        <w:tc>
          <w:tcPr>
            <w:tcW w:w="1447" w:type="dxa"/>
            <w:tcBorders>
              <w:top w:val="nil"/>
              <w:left w:val="nil"/>
              <w:bottom w:val="single" w:sz="4" w:space="0" w:color="auto"/>
              <w:right w:val="single" w:sz="4" w:space="0" w:color="auto"/>
            </w:tcBorders>
            <w:noWrap/>
            <w:vAlign w:val="bottom"/>
            <w:hideMark/>
          </w:tcPr>
          <w:p w14:paraId="20BE9F3E"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58,390.00</w:t>
            </w:r>
          </w:p>
        </w:tc>
        <w:tc>
          <w:tcPr>
            <w:tcW w:w="1209" w:type="dxa"/>
            <w:tcBorders>
              <w:top w:val="nil"/>
              <w:left w:val="nil"/>
              <w:bottom w:val="single" w:sz="4" w:space="0" w:color="auto"/>
              <w:right w:val="single" w:sz="4" w:space="0" w:color="auto"/>
            </w:tcBorders>
            <w:noWrap/>
            <w:vAlign w:val="bottom"/>
            <w:hideMark/>
          </w:tcPr>
          <w:p w14:paraId="4BEFD96D"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85,000.00</w:t>
            </w:r>
          </w:p>
        </w:tc>
        <w:tc>
          <w:tcPr>
            <w:tcW w:w="1209" w:type="dxa"/>
            <w:tcBorders>
              <w:top w:val="nil"/>
              <w:left w:val="nil"/>
              <w:bottom w:val="single" w:sz="4" w:space="0" w:color="auto"/>
              <w:right w:val="single" w:sz="4" w:space="0" w:color="auto"/>
            </w:tcBorders>
            <w:noWrap/>
            <w:vAlign w:val="bottom"/>
            <w:hideMark/>
          </w:tcPr>
          <w:p w14:paraId="4B750483"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90,000.00</w:t>
            </w:r>
          </w:p>
        </w:tc>
        <w:tc>
          <w:tcPr>
            <w:tcW w:w="1209" w:type="dxa"/>
            <w:tcBorders>
              <w:top w:val="nil"/>
              <w:left w:val="nil"/>
              <w:bottom w:val="single" w:sz="4" w:space="0" w:color="auto"/>
              <w:right w:val="single" w:sz="8" w:space="0" w:color="auto"/>
            </w:tcBorders>
            <w:noWrap/>
            <w:vAlign w:val="bottom"/>
            <w:hideMark/>
          </w:tcPr>
          <w:p w14:paraId="633AEE3A"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95,000.00</w:t>
            </w:r>
          </w:p>
        </w:tc>
      </w:tr>
      <w:tr w:rsidR="00752F04" w:rsidRPr="00EA0FD7" w14:paraId="3C8BC5C8" w14:textId="77777777" w:rsidTr="00752F04">
        <w:trPr>
          <w:trHeight w:val="675"/>
        </w:trPr>
        <w:tc>
          <w:tcPr>
            <w:tcW w:w="1228" w:type="dxa"/>
            <w:tcBorders>
              <w:top w:val="nil"/>
              <w:left w:val="single" w:sz="8" w:space="0" w:color="auto"/>
              <w:bottom w:val="single" w:sz="4" w:space="0" w:color="auto"/>
              <w:right w:val="single" w:sz="4" w:space="0" w:color="auto"/>
            </w:tcBorders>
            <w:noWrap/>
            <w:vAlign w:val="bottom"/>
            <w:hideMark/>
          </w:tcPr>
          <w:p w14:paraId="268A21FE"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613000</w:t>
            </w:r>
          </w:p>
        </w:tc>
        <w:tc>
          <w:tcPr>
            <w:tcW w:w="2215" w:type="dxa"/>
            <w:tcBorders>
              <w:top w:val="nil"/>
              <w:left w:val="nil"/>
              <w:bottom w:val="single" w:sz="4" w:space="0" w:color="auto"/>
              <w:right w:val="single" w:sz="4" w:space="0" w:color="auto"/>
            </w:tcBorders>
            <w:vAlign w:val="bottom"/>
            <w:hideMark/>
          </w:tcPr>
          <w:p w14:paraId="1C46D582"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материјал, робе, ситан инвентар и услуге</w:t>
            </w:r>
          </w:p>
        </w:tc>
        <w:tc>
          <w:tcPr>
            <w:tcW w:w="1425" w:type="dxa"/>
            <w:tcBorders>
              <w:top w:val="nil"/>
              <w:left w:val="nil"/>
              <w:bottom w:val="single" w:sz="4" w:space="0" w:color="auto"/>
              <w:right w:val="single" w:sz="4" w:space="0" w:color="auto"/>
            </w:tcBorders>
            <w:noWrap/>
            <w:vAlign w:val="bottom"/>
            <w:hideMark/>
          </w:tcPr>
          <w:p w14:paraId="64799399"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227,532.00</w:t>
            </w:r>
          </w:p>
        </w:tc>
        <w:tc>
          <w:tcPr>
            <w:tcW w:w="1447" w:type="dxa"/>
            <w:tcBorders>
              <w:top w:val="nil"/>
              <w:left w:val="nil"/>
              <w:bottom w:val="single" w:sz="4" w:space="0" w:color="auto"/>
              <w:right w:val="single" w:sz="4" w:space="0" w:color="auto"/>
            </w:tcBorders>
            <w:noWrap/>
            <w:vAlign w:val="bottom"/>
            <w:hideMark/>
          </w:tcPr>
          <w:p w14:paraId="27203757"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550,041.00</w:t>
            </w:r>
          </w:p>
        </w:tc>
        <w:tc>
          <w:tcPr>
            <w:tcW w:w="1209" w:type="dxa"/>
            <w:tcBorders>
              <w:top w:val="nil"/>
              <w:left w:val="nil"/>
              <w:bottom w:val="single" w:sz="4" w:space="0" w:color="auto"/>
              <w:right w:val="single" w:sz="4" w:space="0" w:color="auto"/>
            </w:tcBorders>
            <w:noWrap/>
            <w:vAlign w:val="bottom"/>
            <w:hideMark/>
          </w:tcPr>
          <w:p w14:paraId="19F7C785"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704,550.00</w:t>
            </w:r>
          </w:p>
        </w:tc>
        <w:tc>
          <w:tcPr>
            <w:tcW w:w="1209" w:type="dxa"/>
            <w:tcBorders>
              <w:top w:val="nil"/>
              <w:left w:val="nil"/>
              <w:bottom w:val="single" w:sz="4" w:space="0" w:color="auto"/>
              <w:right w:val="single" w:sz="4" w:space="0" w:color="auto"/>
            </w:tcBorders>
            <w:noWrap/>
            <w:vAlign w:val="bottom"/>
            <w:hideMark/>
          </w:tcPr>
          <w:p w14:paraId="51ADF4A9"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804,550.00</w:t>
            </w:r>
          </w:p>
        </w:tc>
        <w:tc>
          <w:tcPr>
            <w:tcW w:w="1209" w:type="dxa"/>
            <w:tcBorders>
              <w:top w:val="nil"/>
              <w:left w:val="nil"/>
              <w:bottom w:val="single" w:sz="4" w:space="0" w:color="auto"/>
              <w:right w:val="single" w:sz="8" w:space="0" w:color="auto"/>
            </w:tcBorders>
            <w:noWrap/>
            <w:vAlign w:val="bottom"/>
            <w:hideMark/>
          </w:tcPr>
          <w:p w14:paraId="198FCBD7"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904,550.00</w:t>
            </w:r>
          </w:p>
        </w:tc>
      </w:tr>
      <w:tr w:rsidR="00752F04" w:rsidRPr="00EA0FD7" w14:paraId="3E559CD2" w14:textId="77777777" w:rsidTr="00752F04">
        <w:trPr>
          <w:trHeight w:val="450"/>
        </w:trPr>
        <w:tc>
          <w:tcPr>
            <w:tcW w:w="1228" w:type="dxa"/>
            <w:tcBorders>
              <w:top w:val="nil"/>
              <w:left w:val="single" w:sz="8" w:space="0" w:color="auto"/>
              <w:bottom w:val="single" w:sz="4" w:space="0" w:color="auto"/>
              <w:right w:val="single" w:sz="4" w:space="0" w:color="auto"/>
            </w:tcBorders>
            <w:noWrap/>
            <w:vAlign w:val="bottom"/>
            <w:hideMark/>
          </w:tcPr>
          <w:p w14:paraId="592F58DB"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614000</w:t>
            </w:r>
          </w:p>
        </w:tc>
        <w:tc>
          <w:tcPr>
            <w:tcW w:w="2215" w:type="dxa"/>
            <w:tcBorders>
              <w:top w:val="nil"/>
              <w:left w:val="nil"/>
              <w:bottom w:val="single" w:sz="4" w:space="0" w:color="auto"/>
              <w:right w:val="single" w:sz="4" w:space="0" w:color="auto"/>
            </w:tcBorders>
            <w:vAlign w:val="bottom"/>
            <w:hideMark/>
          </w:tcPr>
          <w:p w14:paraId="0870A32D"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xml:space="preserve">Текући трансфери, </w:t>
            </w:r>
            <w:r w:rsidRPr="00EA0FD7">
              <w:rPr>
                <w:rFonts w:ascii="Arial" w:eastAsia="Times New Roman" w:hAnsi="Arial" w:cs="Arial"/>
                <w:sz w:val="17"/>
                <w:szCs w:val="17"/>
                <w:lang w:val="sr-Cyrl-RS"/>
              </w:rPr>
              <w:br/>
              <w:t>донације и субвенције</w:t>
            </w:r>
          </w:p>
        </w:tc>
        <w:tc>
          <w:tcPr>
            <w:tcW w:w="1425" w:type="dxa"/>
            <w:tcBorders>
              <w:top w:val="nil"/>
              <w:left w:val="nil"/>
              <w:bottom w:val="single" w:sz="4" w:space="0" w:color="auto"/>
              <w:right w:val="single" w:sz="4" w:space="0" w:color="auto"/>
            </w:tcBorders>
            <w:noWrap/>
            <w:vAlign w:val="bottom"/>
            <w:hideMark/>
          </w:tcPr>
          <w:p w14:paraId="6430B21D"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3B2DE84A"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6B352BFB"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71E538DD"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01C359B8"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39DE5022" w14:textId="77777777" w:rsidTr="00752F04">
        <w:trPr>
          <w:trHeight w:val="450"/>
        </w:trPr>
        <w:tc>
          <w:tcPr>
            <w:tcW w:w="1228" w:type="dxa"/>
            <w:tcBorders>
              <w:top w:val="nil"/>
              <w:left w:val="single" w:sz="8" w:space="0" w:color="auto"/>
              <w:bottom w:val="single" w:sz="4" w:space="0" w:color="auto"/>
              <w:right w:val="single" w:sz="4" w:space="0" w:color="auto"/>
            </w:tcBorders>
            <w:noWrap/>
            <w:vAlign w:val="bottom"/>
            <w:hideMark/>
          </w:tcPr>
          <w:p w14:paraId="756DE7E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615000</w:t>
            </w:r>
          </w:p>
        </w:tc>
        <w:tc>
          <w:tcPr>
            <w:tcW w:w="2215" w:type="dxa"/>
            <w:tcBorders>
              <w:top w:val="nil"/>
              <w:left w:val="nil"/>
              <w:bottom w:val="single" w:sz="4" w:space="0" w:color="auto"/>
              <w:right w:val="single" w:sz="4" w:space="0" w:color="auto"/>
            </w:tcBorders>
            <w:vAlign w:val="bottom"/>
            <w:hideMark/>
          </w:tcPr>
          <w:p w14:paraId="14656713"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Капитални трансфери и донације</w:t>
            </w:r>
          </w:p>
        </w:tc>
        <w:tc>
          <w:tcPr>
            <w:tcW w:w="1425" w:type="dxa"/>
            <w:tcBorders>
              <w:top w:val="nil"/>
              <w:left w:val="nil"/>
              <w:bottom w:val="single" w:sz="4" w:space="0" w:color="auto"/>
              <w:right w:val="single" w:sz="4" w:space="0" w:color="auto"/>
            </w:tcBorders>
            <w:noWrap/>
            <w:vAlign w:val="bottom"/>
            <w:hideMark/>
          </w:tcPr>
          <w:p w14:paraId="1130108F"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7BF7EA74"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70EA604B"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6A7D1CB2"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5CC2D7D1"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1A0ADA7F" w14:textId="77777777" w:rsidTr="00752F04">
        <w:trPr>
          <w:trHeight w:val="255"/>
        </w:trPr>
        <w:tc>
          <w:tcPr>
            <w:tcW w:w="1228" w:type="dxa"/>
            <w:tcBorders>
              <w:top w:val="nil"/>
              <w:left w:val="single" w:sz="8" w:space="0" w:color="auto"/>
              <w:bottom w:val="single" w:sz="4" w:space="0" w:color="auto"/>
              <w:right w:val="single" w:sz="4" w:space="0" w:color="auto"/>
            </w:tcBorders>
            <w:noWrap/>
            <w:vAlign w:val="bottom"/>
            <w:hideMark/>
          </w:tcPr>
          <w:p w14:paraId="20B4EEB6"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616000</w:t>
            </w:r>
          </w:p>
        </w:tc>
        <w:tc>
          <w:tcPr>
            <w:tcW w:w="2215" w:type="dxa"/>
            <w:tcBorders>
              <w:top w:val="nil"/>
              <w:left w:val="nil"/>
              <w:bottom w:val="single" w:sz="4" w:space="0" w:color="auto"/>
              <w:right w:val="single" w:sz="4" w:space="0" w:color="auto"/>
            </w:tcBorders>
            <w:vAlign w:val="bottom"/>
            <w:hideMark/>
          </w:tcPr>
          <w:p w14:paraId="58368519"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камате</w:t>
            </w:r>
          </w:p>
        </w:tc>
        <w:tc>
          <w:tcPr>
            <w:tcW w:w="1425" w:type="dxa"/>
            <w:tcBorders>
              <w:top w:val="nil"/>
              <w:left w:val="nil"/>
              <w:bottom w:val="single" w:sz="4" w:space="0" w:color="auto"/>
              <w:right w:val="single" w:sz="4" w:space="0" w:color="auto"/>
            </w:tcBorders>
            <w:noWrap/>
            <w:vAlign w:val="bottom"/>
            <w:hideMark/>
          </w:tcPr>
          <w:p w14:paraId="3E9CE6C6"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244E19D7"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634213C3"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78FD04B1"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1DA9E6E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5991BEC6" w14:textId="77777777" w:rsidTr="00752F04">
        <w:trPr>
          <w:trHeight w:val="450"/>
        </w:trPr>
        <w:tc>
          <w:tcPr>
            <w:tcW w:w="1228" w:type="dxa"/>
            <w:tcBorders>
              <w:top w:val="nil"/>
              <w:left w:val="single" w:sz="8" w:space="0" w:color="auto"/>
              <w:bottom w:val="single" w:sz="4" w:space="0" w:color="auto"/>
              <w:right w:val="single" w:sz="4" w:space="0" w:color="auto"/>
            </w:tcBorders>
            <w:noWrap/>
            <w:vAlign w:val="bottom"/>
            <w:hideMark/>
          </w:tcPr>
          <w:p w14:paraId="2D6CF9AD"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821000</w:t>
            </w:r>
          </w:p>
        </w:tc>
        <w:tc>
          <w:tcPr>
            <w:tcW w:w="2215" w:type="dxa"/>
            <w:tcBorders>
              <w:top w:val="nil"/>
              <w:left w:val="nil"/>
              <w:bottom w:val="single" w:sz="4" w:space="0" w:color="auto"/>
              <w:right w:val="single" w:sz="4" w:space="0" w:color="auto"/>
            </w:tcBorders>
            <w:vAlign w:val="bottom"/>
            <w:hideMark/>
          </w:tcPr>
          <w:p w14:paraId="48B33CE3"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xml:space="preserve">Издаци за набавку </w:t>
            </w:r>
            <w:r w:rsidRPr="00EA0FD7">
              <w:rPr>
                <w:rFonts w:ascii="Arial" w:eastAsia="Times New Roman" w:hAnsi="Arial" w:cs="Arial"/>
                <w:sz w:val="17"/>
                <w:szCs w:val="17"/>
                <w:lang w:val="sr-Cyrl-RS"/>
              </w:rPr>
              <w:br/>
              <w:t>сталних средстава</w:t>
            </w:r>
          </w:p>
        </w:tc>
        <w:tc>
          <w:tcPr>
            <w:tcW w:w="1425" w:type="dxa"/>
            <w:tcBorders>
              <w:top w:val="nil"/>
              <w:left w:val="nil"/>
              <w:bottom w:val="single" w:sz="4" w:space="0" w:color="auto"/>
              <w:right w:val="single" w:sz="4" w:space="0" w:color="auto"/>
            </w:tcBorders>
            <w:noWrap/>
            <w:vAlign w:val="bottom"/>
            <w:hideMark/>
          </w:tcPr>
          <w:p w14:paraId="1F339E8B"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266,525.00</w:t>
            </w:r>
          </w:p>
        </w:tc>
        <w:tc>
          <w:tcPr>
            <w:tcW w:w="1447" w:type="dxa"/>
            <w:tcBorders>
              <w:top w:val="nil"/>
              <w:left w:val="nil"/>
              <w:bottom w:val="single" w:sz="4" w:space="0" w:color="auto"/>
              <w:right w:val="single" w:sz="4" w:space="0" w:color="auto"/>
            </w:tcBorders>
            <w:noWrap/>
            <w:vAlign w:val="bottom"/>
            <w:hideMark/>
          </w:tcPr>
          <w:p w14:paraId="1A55F851"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1,245,000.00</w:t>
            </w:r>
          </w:p>
        </w:tc>
        <w:tc>
          <w:tcPr>
            <w:tcW w:w="1209" w:type="dxa"/>
            <w:tcBorders>
              <w:top w:val="nil"/>
              <w:left w:val="nil"/>
              <w:bottom w:val="single" w:sz="4" w:space="0" w:color="auto"/>
              <w:right w:val="single" w:sz="4" w:space="0" w:color="auto"/>
            </w:tcBorders>
            <w:noWrap/>
            <w:vAlign w:val="bottom"/>
            <w:hideMark/>
          </w:tcPr>
          <w:p w14:paraId="6F23E948"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1,245,000.00</w:t>
            </w:r>
          </w:p>
        </w:tc>
        <w:tc>
          <w:tcPr>
            <w:tcW w:w="1209" w:type="dxa"/>
            <w:tcBorders>
              <w:top w:val="nil"/>
              <w:left w:val="nil"/>
              <w:bottom w:val="single" w:sz="4" w:space="0" w:color="auto"/>
              <w:right w:val="single" w:sz="4" w:space="0" w:color="auto"/>
            </w:tcBorders>
            <w:noWrap/>
            <w:vAlign w:val="bottom"/>
            <w:hideMark/>
          </w:tcPr>
          <w:p w14:paraId="4FB94F4A"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500,000.00</w:t>
            </w:r>
          </w:p>
        </w:tc>
        <w:tc>
          <w:tcPr>
            <w:tcW w:w="1209" w:type="dxa"/>
            <w:tcBorders>
              <w:top w:val="nil"/>
              <w:left w:val="nil"/>
              <w:bottom w:val="single" w:sz="4" w:space="0" w:color="auto"/>
              <w:right w:val="single" w:sz="8" w:space="0" w:color="auto"/>
            </w:tcBorders>
            <w:noWrap/>
            <w:vAlign w:val="bottom"/>
            <w:hideMark/>
          </w:tcPr>
          <w:p w14:paraId="1323A586"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500,000.00</w:t>
            </w:r>
          </w:p>
        </w:tc>
      </w:tr>
      <w:tr w:rsidR="00752F04" w:rsidRPr="00EA0FD7" w14:paraId="17AA20CA" w14:textId="77777777" w:rsidTr="00752F04">
        <w:trPr>
          <w:trHeight w:val="450"/>
        </w:trPr>
        <w:tc>
          <w:tcPr>
            <w:tcW w:w="1228" w:type="dxa"/>
            <w:tcBorders>
              <w:top w:val="nil"/>
              <w:left w:val="single" w:sz="8" w:space="0" w:color="auto"/>
              <w:bottom w:val="single" w:sz="4" w:space="0" w:color="auto"/>
              <w:right w:val="single" w:sz="4" w:space="0" w:color="auto"/>
            </w:tcBorders>
            <w:noWrap/>
            <w:vAlign w:val="bottom"/>
            <w:hideMark/>
          </w:tcPr>
          <w:p w14:paraId="47509B81"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822000</w:t>
            </w:r>
          </w:p>
        </w:tc>
        <w:tc>
          <w:tcPr>
            <w:tcW w:w="2215" w:type="dxa"/>
            <w:tcBorders>
              <w:top w:val="nil"/>
              <w:left w:val="nil"/>
              <w:bottom w:val="single" w:sz="4" w:space="0" w:color="auto"/>
              <w:right w:val="single" w:sz="4" w:space="0" w:color="auto"/>
            </w:tcBorders>
            <w:vAlign w:val="bottom"/>
            <w:hideMark/>
          </w:tcPr>
          <w:p w14:paraId="7A6A7B14"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финансијску имовину</w:t>
            </w:r>
          </w:p>
        </w:tc>
        <w:tc>
          <w:tcPr>
            <w:tcW w:w="1425" w:type="dxa"/>
            <w:tcBorders>
              <w:top w:val="nil"/>
              <w:left w:val="nil"/>
              <w:bottom w:val="single" w:sz="4" w:space="0" w:color="auto"/>
              <w:right w:val="single" w:sz="4" w:space="0" w:color="auto"/>
            </w:tcBorders>
            <w:noWrap/>
            <w:vAlign w:val="bottom"/>
            <w:hideMark/>
          </w:tcPr>
          <w:p w14:paraId="62009896"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4BEAA91A"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046638E5"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60A152A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27EBAF2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367A015F" w14:textId="77777777" w:rsidTr="00752F04">
        <w:trPr>
          <w:trHeight w:val="270"/>
        </w:trPr>
        <w:tc>
          <w:tcPr>
            <w:tcW w:w="1228" w:type="dxa"/>
            <w:tcBorders>
              <w:top w:val="nil"/>
              <w:left w:val="single" w:sz="8" w:space="0" w:color="auto"/>
              <w:bottom w:val="nil"/>
              <w:right w:val="single" w:sz="4" w:space="0" w:color="auto"/>
            </w:tcBorders>
            <w:noWrap/>
            <w:vAlign w:val="bottom"/>
            <w:hideMark/>
          </w:tcPr>
          <w:p w14:paraId="74B8A7C4"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823000</w:t>
            </w:r>
          </w:p>
        </w:tc>
        <w:tc>
          <w:tcPr>
            <w:tcW w:w="2215" w:type="dxa"/>
            <w:tcBorders>
              <w:top w:val="nil"/>
              <w:left w:val="nil"/>
              <w:bottom w:val="nil"/>
              <w:right w:val="single" w:sz="4" w:space="0" w:color="auto"/>
            </w:tcBorders>
            <w:vAlign w:val="bottom"/>
            <w:hideMark/>
          </w:tcPr>
          <w:p w14:paraId="6B0907DB"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отплате дугова</w:t>
            </w:r>
          </w:p>
        </w:tc>
        <w:tc>
          <w:tcPr>
            <w:tcW w:w="1425" w:type="dxa"/>
            <w:tcBorders>
              <w:top w:val="nil"/>
              <w:left w:val="nil"/>
              <w:bottom w:val="single" w:sz="4" w:space="0" w:color="auto"/>
              <w:right w:val="single" w:sz="4" w:space="0" w:color="auto"/>
            </w:tcBorders>
            <w:noWrap/>
            <w:vAlign w:val="bottom"/>
            <w:hideMark/>
          </w:tcPr>
          <w:p w14:paraId="547F4DED"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32DD5032"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6F5A527F"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771BC526"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7F673C1C"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00235A25" w14:textId="77777777" w:rsidTr="00752F04">
        <w:trPr>
          <w:trHeight w:val="270"/>
        </w:trPr>
        <w:tc>
          <w:tcPr>
            <w:tcW w:w="1228" w:type="dxa"/>
            <w:tcBorders>
              <w:top w:val="single" w:sz="8" w:space="0" w:color="auto"/>
              <w:left w:val="single" w:sz="8" w:space="0" w:color="auto"/>
              <w:bottom w:val="single" w:sz="8" w:space="0" w:color="auto"/>
              <w:right w:val="single" w:sz="4" w:space="0" w:color="auto"/>
            </w:tcBorders>
            <w:noWrap/>
            <w:vAlign w:val="bottom"/>
            <w:hideMark/>
          </w:tcPr>
          <w:p w14:paraId="01937574" w14:textId="77777777" w:rsidR="00752F04" w:rsidRPr="00EA0FD7" w:rsidRDefault="00752F04" w:rsidP="00752F04">
            <w:pPr>
              <w:spacing w:after="0" w:line="240" w:lineRule="auto"/>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 </w:t>
            </w:r>
          </w:p>
        </w:tc>
        <w:tc>
          <w:tcPr>
            <w:tcW w:w="2215" w:type="dxa"/>
            <w:tcBorders>
              <w:top w:val="single" w:sz="8" w:space="0" w:color="auto"/>
              <w:left w:val="nil"/>
              <w:bottom w:val="single" w:sz="8" w:space="0" w:color="auto"/>
              <w:right w:val="single" w:sz="4" w:space="0" w:color="auto"/>
            </w:tcBorders>
            <w:noWrap/>
            <w:vAlign w:val="bottom"/>
            <w:hideMark/>
          </w:tcPr>
          <w:p w14:paraId="110D91C0" w14:textId="77777777" w:rsidR="00752F04" w:rsidRPr="00EA0FD7" w:rsidRDefault="00752F04" w:rsidP="00752F04">
            <w:pPr>
              <w:spacing w:after="0" w:line="240" w:lineRule="auto"/>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Укупни расходи</w:t>
            </w:r>
          </w:p>
        </w:tc>
        <w:tc>
          <w:tcPr>
            <w:tcW w:w="1425" w:type="dxa"/>
            <w:tcBorders>
              <w:top w:val="single" w:sz="8" w:space="0" w:color="auto"/>
              <w:left w:val="nil"/>
              <w:bottom w:val="single" w:sz="8" w:space="0" w:color="auto"/>
              <w:right w:val="single" w:sz="4" w:space="0" w:color="auto"/>
            </w:tcBorders>
            <w:noWrap/>
            <w:vAlign w:val="bottom"/>
            <w:hideMark/>
          </w:tcPr>
          <w:p w14:paraId="509D257A"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1,213,940.00</w:t>
            </w:r>
          </w:p>
        </w:tc>
        <w:tc>
          <w:tcPr>
            <w:tcW w:w="1447" w:type="dxa"/>
            <w:tcBorders>
              <w:top w:val="single" w:sz="8" w:space="0" w:color="auto"/>
              <w:left w:val="nil"/>
              <w:bottom w:val="single" w:sz="8" w:space="0" w:color="auto"/>
              <w:right w:val="single" w:sz="4" w:space="0" w:color="auto"/>
            </w:tcBorders>
            <w:noWrap/>
            <w:vAlign w:val="bottom"/>
            <w:hideMark/>
          </w:tcPr>
          <w:p w14:paraId="37B39D8A"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3,190,721.00</w:t>
            </w:r>
          </w:p>
        </w:tc>
        <w:tc>
          <w:tcPr>
            <w:tcW w:w="1209" w:type="dxa"/>
            <w:tcBorders>
              <w:top w:val="single" w:sz="8" w:space="0" w:color="auto"/>
              <w:left w:val="nil"/>
              <w:bottom w:val="single" w:sz="8" w:space="0" w:color="auto"/>
              <w:right w:val="single" w:sz="4" w:space="0" w:color="auto"/>
            </w:tcBorders>
            <w:noWrap/>
            <w:vAlign w:val="bottom"/>
            <w:hideMark/>
          </w:tcPr>
          <w:p w14:paraId="00AF7B9F"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3,683,450.00</w:t>
            </w:r>
          </w:p>
        </w:tc>
        <w:tc>
          <w:tcPr>
            <w:tcW w:w="1209" w:type="dxa"/>
            <w:tcBorders>
              <w:top w:val="single" w:sz="8" w:space="0" w:color="auto"/>
              <w:left w:val="nil"/>
              <w:bottom w:val="single" w:sz="8" w:space="0" w:color="auto"/>
              <w:right w:val="single" w:sz="4" w:space="0" w:color="auto"/>
            </w:tcBorders>
            <w:noWrap/>
            <w:vAlign w:val="bottom"/>
            <w:hideMark/>
          </w:tcPr>
          <w:p w14:paraId="672636FC"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3,078,450.00</w:t>
            </w:r>
          </w:p>
        </w:tc>
        <w:tc>
          <w:tcPr>
            <w:tcW w:w="1209" w:type="dxa"/>
            <w:tcBorders>
              <w:top w:val="single" w:sz="8" w:space="0" w:color="auto"/>
              <w:left w:val="nil"/>
              <w:bottom w:val="single" w:sz="8" w:space="0" w:color="auto"/>
              <w:right w:val="single" w:sz="8" w:space="0" w:color="auto"/>
            </w:tcBorders>
            <w:noWrap/>
            <w:vAlign w:val="bottom"/>
            <w:hideMark/>
          </w:tcPr>
          <w:p w14:paraId="4018528A"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3,253,450.00</w:t>
            </w:r>
          </w:p>
        </w:tc>
      </w:tr>
      <w:tr w:rsidR="00752F04" w:rsidRPr="00EA0FD7" w14:paraId="7ED6D475" w14:textId="77777777" w:rsidTr="00752F04">
        <w:trPr>
          <w:trHeight w:val="270"/>
        </w:trPr>
        <w:tc>
          <w:tcPr>
            <w:tcW w:w="9942" w:type="dxa"/>
            <w:gridSpan w:val="7"/>
            <w:tcBorders>
              <w:top w:val="single" w:sz="8" w:space="0" w:color="auto"/>
              <w:left w:val="nil"/>
              <w:bottom w:val="single" w:sz="8" w:space="0" w:color="auto"/>
              <w:right w:val="nil"/>
            </w:tcBorders>
            <w:noWrap/>
            <w:vAlign w:val="bottom"/>
            <w:hideMark/>
          </w:tcPr>
          <w:p w14:paraId="6745E108"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752F04" w:rsidRPr="00EA0FD7" w14:paraId="147A9C07" w14:textId="77777777" w:rsidTr="00752F04">
        <w:trPr>
          <w:trHeight w:val="270"/>
        </w:trPr>
        <w:tc>
          <w:tcPr>
            <w:tcW w:w="1228" w:type="dxa"/>
            <w:tcBorders>
              <w:top w:val="nil"/>
              <w:left w:val="single" w:sz="8" w:space="0" w:color="auto"/>
              <w:bottom w:val="single" w:sz="8" w:space="0" w:color="auto"/>
              <w:right w:val="single" w:sz="4" w:space="0" w:color="auto"/>
            </w:tcBorders>
            <w:noWrap/>
            <w:vAlign w:val="bottom"/>
            <w:hideMark/>
          </w:tcPr>
          <w:p w14:paraId="12A191F4"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215" w:type="dxa"/>
            <w:tcBorders>
              <w:top w:val="nil"/>
              <w:left w:val="nil"/>
              <w:bottom w:val="single" w:sz="8" w:space="0" w:color="auto"/>
              <w:right w:val="single" w:sz="4" w:space="0" w:color="auto"/>
            </w:tcBorders>
            <w:noWrap/>
            <w:vAlign w:val="bottom"/>
            <w:hideMark/>
          </w:tcPr>
          <w:p w14:paraId="5B690472"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425" w:type="dxa"/>
            <w:tcBorders>
              <w:top w:val="nil"/>
              <w:left w:val="nil"/>
              <w:bottom w:val="single" w:sz="8" w:space="0" w:color="auto"/>
              <w:right w:val="single" w:sz="4" w:space="0" w:color="auto"/>
            </w:tcBorders>
            <w:noWrap/>
            <w:vAlign w:val="bottom"/>
            <w:hideMark/>
          </w:tcPr>
          <w:p w14:paraId="66DC7C34"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24</w:t>
            </w:r>
          </w:p>
        </w:tc>
        <w:tc>
          <w:tcPr>
            <w:tcW w:w="1447" w:type="dxa"/>
            <w:tcBorders>
              <w:top w:val="nil"/>
              <w:left w:val="nil"/>
              <w:bottom w:val="single" w:sz="8" w:space="0" w:color="auto"/>
              <w:right w:val="single" w:sz="4" w:space="0" w:color="auto"/>
            </w:tcBorders>
            <w:noWrap/>
            <w:vAlign w:val="bottom"/>
            <w:hideMark/>
          </w:tcPr>
          <w:p w14:paraId="3395BB38"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31</w:t>
            </w:r>
          </w:p>
        </w:tc>
        <w:tc>
          <w:tcPr>
            <w:tcW w:w="1209" w:type="dxa"/>
            <w:tcBorders>
              <w:top w:val="nil"/>
              <w:left w:val="nil"/>
              <w:bottom w:val="single" w:sz="8" w:space="0" w:color="auto"/>
              <w:right w:val="single" w:sz="4" w:space="0" w:color="auto"/>
            </w:tcBorders>
            <w:noWrap/>
            <w:vAlign w:val="bottom"/>
            <w:hideMark/>
          </w:tcPr>
          <w:p w14:paraId="123C3581"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34</w:t>
            </w:r>
          </w:p>
        </w:tc>
        <w:tc>
          <w:tcPr>
            <w:tcW w:w="1209" w:type="dxa"/>
            <w:tcBorders>
              <w:top w:val="nil"/>
              <w:left w:val="nil"/>
              <w:bottom w:val="single" w:sz="8" w:space="0" w:color="auto"/>
              <w:right w:val="single" w:sz="4" w:space="0" w:color="auto"/>
            </w:tcBorders>
            <w:noWrap/>
            <w:vAlign w:val="bottom"/>
            <w:hideMark/>
          </w:tcPr>
          <w:p w14:paraId="2ADD4764"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37</w:t>
            </w:r>
          </w:p>
        </w:tc>
        <w:tc>
          <w:tcPr>
            <w:tcW w:w="1209" w:type="dxa"/>
            <w:tcBorders>
              <w:top w:val="nil"/>
              <w:left w:val="nil"/>
              <w:bottom w:val="single" w:sz="8" w:space="0" w:color="auto"/>
              <w:right w:val="single" w:sz="8" w:space="0" w:color="auto"/>
            </w:tcBorders>
            <w:noWrap/>
            <w:vAlign w:val="bottom"/>
            <w:hideMark/>
          </w:tcPr>
          <w:p w14:paraId="0608A3A5"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41</w:t>
            </w:r>
          </w:p>
        </w:tc>
      </w:tr>
    </w:tbl>
    <w:tbl>
      <w:tblPr>
        <w:tblpPr w:leftFromText="180" w:rightFromText="180" w:vertAnchor="text" w:horzAnchor="margin" w:tblpY="-743"/>
        <w:tblW w:w="9942" w:type="dxa"/>
        <w:tblLook w:val="04A0" w:firstRow="1" w:lastRow="0" w:firstColumn="1" w:lastColumn="0" w:noHBand="0" w:noVBand="1"/>
      </w:tblPr>
      <w:tblGrid>
        <w:gridCol w:w="1228"/>
        <w:gridCol w:w="2215"/>
        <w:gridCol w:w="1425"/>
        <w:gridCol w:w="1447"/>
        <w:gridCol w:w="1209"/>
        <w:gridCol w:w="1209"/>
        <w:gridCol w:w="1209"/>
      </w:tblGrid>
      <w:tr w:rsidR="00752F04" w:rsidRPr="00EA0FD7" w14:paraId="72942B85" w14:textId="77777777" w:rsidTr="00752F04">
        <w:trPr>
          <w:trHeight w:val="450"/>
        </w:trPr>
        <w:tc>
          <w:tcPr>
            <w:tcW w:w="9942" w:type="dxa"/>
            <w:gridSpan w:val="7"/>
            <w:vMerge w:val="restart"/>
            <w:tcBorders>
              <w:top w:val="nil"/>
              <w:left w:val="nil"/>
              <w:bottom w:val="single" w:sz="8" w:space="0" w:color="000000"/>
              <w:right w:val="nil"/>
            </w:tcBorders>
            <w:vAlign w:val="bottom"/>
            <w:hideMark/>
          </w:tcPr>
          <w:p w14:paraId="14288C1F" w14:textId="0BF0A1CE"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lastRenderedPageBreak/>
              <w:t>Табела 4.11.</w:t>
            </w:r>
            <w:r w:rsidRPr="00EA0FD7">
              <w:rPr>
                <w:rFonts w:ascii="Arial" w:eastAsia="Times New Roman" w:hAnsi="Arial" w:cs="Arial"/>
                <w:sz w:val="18"/>
                <w:szCs w:val="18"/>
                <w:lang w:val="sr-Cyrl-RS"/>
              </w:rPr>
              <w:t xml:space="preserve"> Финансијски план расхода Завода за планирање, пројектовање и развој Брчко дистрикта БиХ </w:t>
            </w:r>
            <w:r>
              <w:rPr>
                <w:rFonts w:ascii="Arial" w:eastAsia="Times New Roman" w:hAnsi="Arial" w:cs="Arial"/>
                <w:sz w:val="18"/>
                <w:szCs w:val="18"/>
                <w:lang w:val="sr-Cyrl-RS"/>
              </w:rPr>
              <w:t xml:space="preserve">          </w:t>
            </w:r>
            <w:r w:rsidRPr="00EA0FD7">
              <w:rPr>
                <w:rFonts w:ascii="Arial" w:eastAsia="Times New Roman" w:hAnsi="Arial" w:cs="Arial"/>
                <w:sz w:val="18"/>
                <w:szCs w:val="18"/>
                <w:lang w:val="sr-Cyrl-RS"/>
              </w:rPr>
              <w:t>2023</w:t>
            </w:r>
            <w:r>
              <w:rPr>
                <w:rFonts w:ascii="Arial" w:eastAsia="Times New Roman" w:hAnsi="Arial" w:cs="Arial"/>
                <w:sz w:val="18"/>
                <w:szCs w:val="18"/>
                <w:lang w:val="sr-Cyrl-RS"/>
              </w:rPr>
              <w:t>–</w:t>
            </w:r>
            <w:r w:rsidRPr="00EA0FD7">
              <w:rPr>
                <w:rFonts w:ascii="Arial" w:eastAsia="Times New Roman" w:hAnsi="Arial" w:cs="Arial"/>
                <w:sz w:val="18"/>
                <w:szCs w:val="18"/>
                <w:lang w:val="sr-Cyrl-RS"/>
              </w:rPr>
              <w:t xml:space="preserve">2025. године  (по извору финансирања) </w:t>
            </w:r>
          </w:p>
        </w:tc>
      </w:tr>
      <w:tr w:rsidR="00752F04" w:rsidRPr="00EA0FD7" w14:paraId="454F9DCB" w14:textId="77777777" w:rsidTr="00752F04">
        <w:trPr>
          <w:trHeight w:val="450"/>
        </w:trPr>
        <w:tc>
          <w:tcPr>
            <w:tcW w:w="0" w:type="auto"/>
            <w:gridSpan w:val="7"/>
            <w:vMerge/>
            <w:tcBorders>
              <w:top w:val="nil"/>
              <w:left w:val="nil"/>
              <w:bottom w:val="single" w:sz="8" w:space="0" w:color="000000"/>
              <w:right w:val="nil"/>
            </w:tcBorders>
            <w:vAlign w:val="center"/>
            <w:hideMark/>
          </w:tcPr>
          <w:p w14:paraId="3956783D" w14:textId="77777777" w:rsidR="00752F04" w:rsidRPr="00EA0FD7" w:rsidRDefault="00752F04" w:rsidP="00752F04">
            <w:pPr>
              <w:spacing w:after="0" w:line="240" w:lineRule="auto"/>
              <w:rPr>
                <w:rFonts w:ascii="Arial" w:eastAsia="Times New Roman" w:hAnsi="Arial" w:cs="Arial"/>
                <w:b/>
                <w:bCs/>
                <w:sz w:val="18"/>
                <w:szCs w:val="18"/>
                <w:lang w:val="sr-Cyrl-RS"/>
              </w:rPr>
            </w:pPr>
          </w:p>
        </w:tc>
      </w:tr>
      <w:tr w:rsidR="00752F04" w:rsidRPr="00EA0FD7" w14:paraId="08E6BE50" w14:textId="77777777" w:rsidTr="00752F04">
        <w:trPr>
          <w:trHeight w:val="420"/>
        </w:trPr>
        <w:tc>
          <w:tcPr>
            <w:tcW w:w="1228" w:type="dxa"/>
            <w:vMerge w:val="restart"/>
            <w:tcBorders>
              <w:top w:val="nil"/>
              <w:left w:val="single" w:sz="8" w:space="0" w:color="auto"/>
              <w:bottom w:val="single" w:sz="8" w:space="0" w:color="000000"/>
              <w:right w:val="single" w:sz="8" w:space="0" w:color="auto"/>
            </w:tcBorders>
            <w:shd w:val="pct25" w:color="auto" w:fill="CCFFCC"/>
            <w:vAlign w:val="center"/>
            <w:hideMark/>
          </w:tcPr>
          <w:p w14:paraId="1A654239"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215" w:type="dxa"/>
            <w:vMerge w:val="restart"/>
            <w:tcBorders>
              <w:top w:val="nil"/>
              <w:left w:val="single" w:sz="8" w:space="0" w:color="auto"/>
              <w:bottom w:val="single" w:sz="8" w:space="0" w:color="000000"/>
              <w:right w:val="single" w:sz="8" w:space="0" w:color="auto"/>
            </w:tcBorders>
            <w:shd w:val="pct25" w:color="auto" w:fill="CCFFCC"/>
            <w:vAlign w:val="center"/>
            <w:hideMark/>
          </w:tcPr>
          <w:p w14:paraId="39AA5781"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ИЗВОР ФИНАНСИРАЊА</w:t>
            </w:r>
          </w:p>
        </w:tc>
        <w:tc>
          <w:tcPr>
            <w:tcW w:w="1425" w:type="dxa"/>
            <w:vMerge w:val="restart"/>
            <w:tcBorders>
              <w:top w:val="nil"/>
              <w:left w:val="single" w:sz="8" w:space="0" w:color="auto"/>
              <w:bottom w:val="single" w:sz="8" w:space="0" w:color="000000"/>
              <w:right w:val="single" w:sz="8" w:space="0" w:color="auto"/>
            </w:tcBorders>
            <w:shd w:val="pct25" w:color="auto" w:fill="CCFFCC"/>
            <w:vAlign w:val="center"/>
            <w:hideMark/>
          </w:tcPr>
          <w:p w14:paraId="56EBBEB0"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xml:space="preserve">Извршење </w:t>
            </w:r>
            <w:r w:rsidRPr="00EA0FD7">
              <w:rPr>
                <w:rFonts w:ascii="Arial" w:eastAsia="Times New Roman" w:hAnsi="Arial" w:cs="Arial"/>
                <w:b/>
                <w:bCs/>
                <w:sz w:val="18"/>
                <w:szCs w:val="18"/>
                <w:lang w:val="sr-Cyrl-RS"/>
              </w:rPr>
              <w:br/>
              <w:t>2021.</w:t>
            </w:r>
          </w:p>
        </w:tc>
        <w:tc>
          <w:tcPr>
            <w:tcW w:w="1447" w:type="dxa"/>
            <w:vMerge w:val="restart"/>
            <w:tcBorders>
              <w:top w:val="nil"/>
              <w:left w:val="single" w:sz="8" w:space="0" w:color="auto"/>
              <w:bottom w:val="single" w:sz="8" w:space="0" w:color="000000"/>
              <w:right w:val="single" w:sz="8" w:space="0" w:color="auto"/>
            </w:tcBorders>
            <w:shd w:val="pct25" w:color="auto" w:fill="CCFFCC"/>
            <w:vAlign w:val="center"/>
            <w:hideMark/>
          </w:tcPr>
          <w:p w14:paraId="2CFF4313"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Финансијски план</w:t>
            </w:r>
            <w:r w:rsidRPr="00EA0FD7">
              <w:rPr>
                <w:rFonts w:ascii="Arial" w:eastAsia="Times New Roman" w:hAnsi="Arial" w:cs="Arial"/>
                <w:b/>
                <w:bCs/>
                <w:sz w:val="18"/>
                <w:szCs w:val="18"/>
                <w:lang w:val="sr-Cyrl-RS"/>
              </w:rPr>
              <w:br/>
              <w:t>2022.</w:t>
            </w:r>
          </w:p>
        </w:tc>
        <w:tc>
          <w:tcPr>
            <w:tcW w:w="3627" w:type="dxa"/>
            <w:gridSpan w:val="3"/>
            <w:tcBorders>
              <w:top w:val="single" w:sz="8" w:space="0" w:color="auto"/>
              <w:left w:val="nil"/>
              <w:bottom w:val="single" w:sz="8" w:space="0" w:color="auto"/>
              <w:right w:val="single" w:sz="8" w:space="0" w:color="000000"/>
            </w:tcBorders>
            <w:shd w:val="pct25" w:color="auto" w:fill="CCFFCC"/>
            <w:noWrap/>
            <w:vAlign w:val="center"/>
            <w:hideMark/>
          </w:tcPr>
          <w:p w14:paraId="57BD0146"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Процјена</w:t>
            </w:r>
          </w:p>
        </w:tc>
      </w:tr>
      <w:tr w:rsidR="00752F04" w:rsidRPr="00EA0FD7" w14:paraId="76DC8498" w14:textId="77777777" w:rsidTr="00752F04">
        <w:trPr>
          <w:trHeight w:val="270"/>
        </w:trPr>
        <w:tc>
          <w:tcPr>
            <w:tcW w:w="0" w:type="auto"/>
            <w:vMerge/>
            <w:tcBorders>
              <w:top w:val="nil"/>
              <w:left w:val="single" w:sz="8" w:space="0" w:color="auto"/>
              <w:bottom w:val="single" w:sz="8" w:space="0" w:color="000000"/>
              <w:right w:val="single" w:sz="8" w:space="0" w:color="auto"/>
            </w:tcBorders>
            <w:vAlign w:val="center"/>
            <w:hideMark/>
          </w:tcPr>
          <w:p w14:paraId="171FBB69"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37657566"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4A55A41E"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5285F979"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1209" w:type="dxa"/>
            <w:tcBorders>
              <w:top w:val="nil"/>
              <w:left w:val="nil"/>
              <w:bottom w:val="single" w:sz="8" w:space="0" w:color="auto"/>
              <w:right w:val="single" w:sz="4" w:space="0" w:color="auto"/>
            </w:tcBorders>
            <w:shd w:val="pct25" w:color="auto" w:fill="CCFFCC"/>
            <w:noWrap/>
            <w:vAlign w:val="center"/>
            <w:hideMark/>
          </w:tcPr>
          <w:p w14:paraId="78C08A58" w14:textId="297C195B"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2023</w:t>
            </w:r>
            <w:r>
              <w:rPr>
                <w:rFonts w:ascii="Arial" w:eastAsia="Times New Roman" w:hAnsi="Arial" w:cs="Arial"/>
                <w:b/>
                <w:bCs/>
                <w:sz w:val="18"/>
                <w:szCs w:val="18"/>
                <w:lang w:val="sr-Cyrl-RS"/>
              </w:rPr>
              <w:t>.</w:t>
            </w:r>
          </w:p>
        </w:tc>
        <w:tc>
          <w:tcPr>
            <w:tcW w:w="1209" w:type="dxa"/>
            <w:tcBorders>
              <w:top w:val="nil"/>
              <w:left w:val="nil"/>
              <w:bottom w:val="single" w:sz="8" w:space="0" w:color="auto"/>
              <w:right w:val="single" w:sz="4" w:space="0" w:color="auto"/>
            </w:tcBorders>
            <w:shd w:val="pct25" w:color="auto" w:fill="CCFFCC"/>
            <w:noWrap/>
            <w:vAlign w:val="center"/>
            <w:hideMark/>
          </w:tcPr>
          <w:p w14:paraId="0D8847AF" w14:textId="18E57068"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2024</w:t>
            </w:r>
            <w:r>
              <w:rPr>
                <w:rFonts w:ascii="Arial" w:eastAsia="Times New Roman" w:hAnsi="Arial" w:cs="Arial"/>
                <w:b/>
                <w:bCs/>
                <w:sz w:val="18"/>
                <w:szCs w:val="18"/>
                <w:lang w:val="sr-Cyrl-RS"/>
              </w:rPr>
              <w:t>.</w:t>
            </w:r>
          </w:p>
        </w:tc>
        <w:tc>
          <w:tcPr>
            <w:tcW w:w="1209" w:type="dxa"/>
            <w:tcBorders>
              <w:top w:val="nil"/>
              <w:left w:val="nil"/>
              <w:bottom w:val="single" w:sz="8" w:space="0" w:color="auto"/>
              <w:right w:val="single" w:sz="8" w:space="0" w:color="auto"/>
            </w:tcBorders>
            <w:shd w:val="pct25" w:color="auto" w:fill="CCFFCC"/>
            <w:noWrap/>
            <w:vAlign w:val="center"/>
            <w:hideMark/>
          </w:tcPr>
          <w:p w14:paraId="4032C5D6" w14:textId="35161009"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2025</w:t>
            </w:r>
            <w:r>
              <w:rPr>
                <w:rFonts w:ascii="Arial" w:eastAsia="Times New Roman" w:hAnsi="Arial" w:cs="Arial"/>
                <w:b/>
                <w:bCs/>
                <w:sz w:val="18"/>
                <w:szCs w:val="18"/>
                <w:lang w:val="sr-Cyrl-RS"/>
              </w:rPr>
              <w:t>.</w:t>
            </w:r>
          </w:p>
        </w:tc>
      </w:tr>
      <w:tr w:rsidR="00752F04" w:rsidRPr="00EA0FD7" w14:paraId="3FD4F2DB" w14:textId="77777777" w:rsidTr="00752F04">
        <w:trPr>
          <w:trHeight w:val="270"/>
        </w:trPr>
        <w:tc>
          <w:tcPr>
            <w:tcW w:w="1228" w:type="dxa"/>
            <w:tcBorders>
              <w:top w:val="nil"/>
              <w:left w:val="single" w:sz="8" w:space="0" w:color="auto"/>
              <w:bottom w:val="single" w:sz="8" w:space="0" w:color="auto"/>
              <w:right w:val="single" w:sz="4" w:space="0" w:color="auto"/>
            </w:tcBorders>
            <w:noWrap/>
            <w:vAlign w:val="bottom"/>
            <w:hideMark/>
          </w:tcPr>
          <w:p w14:paraId="04D7C3F8"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215" w:type="dxa"/>
            <w:tcBorders>
              <w:top w:val="nil"/>
              <w:left w:val="nil"/>
              <w:bottom w:val="single" w:sz="8" w:space="0" w:color="auto"/>
              <w:right w:val="single" w:sz="4" w:space="0" w:color="auto"/>
            </w:tcBorders>
            <w:noWrap/>
            <w:vAlign w:val="bottom"/>
            <w:hideMark/>
          </w:tcPr>
          <w:p w14:paraId="6485A13C"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w:t>
            </w:r>
          </w:p>
        </w:tc>
        <w:tc>
          <w:tcPr>
            <w:tcW w:w="1425" w:type="dxa"/>
            <w:tcBorders>
              <w:top w:val="nil"/>
              <w:left w:val="nil"/>
              <w:bottom w:val="single" w:sz="8" w:space="0" w:color="auto"/>
              <w:right w:val="single" w:sz="4" w:space="0" w:color="auto"/>
            </w:tcBorders>
            <w:noWrap/>
            <w:vAlign w:val="bottom"/>
            <w:hideMark/>
          </w:tcPr>
          <w:p w14:paraId="75877813"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47" w:type="dxa"/>
            <w:tcBorders>
              <w:top w:val="nil"/>
              <w:left w:val="nil"/>
              <w:bottom w:val="single" w:sz="8" w:space="0" w:color="auto"/>
              <w:right w:val="single" w:sz="4" w:space="0" w:color="auto"/>
            </w:tcBorders>
            <w:noWrap/>
            <w:vAlign w:val="bottom"/>
            <w:hideMark/>
          </w:tcPr>
          <w:p w14:paraId="691665B7"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4" w:space="0" w:color="auto"/>
            </w:tcBorders>
            <w:noWrap/>
            <w:vAlign w:val="bottom"/>
            <w:hideMark/>
          </w:tcPr>
          <w:p w14:paraId="1B48FE37"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4" w:space="0" w:color="auto"/>
            </w:tcBorders>
            <w:noWrap/>
            <w:vAlign w:val="bottom"/>
            <w:hideMark/>
          </w:tcPr>
          <w:p w14:paraId="5A4D4A90"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8" w:space="0" w:color="auto"/>
            </w:tcBorders>
            <w:noWrap/>
            <w:vAlign w:val="bottom"/>
            <w:hideMark/>
          </w:tcPr>
          <w:p w14:paraId="62325432"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752F04" w:rsidRPr="00EA0FD7" w14:paraId="4E90C164" w14:textId="77777777" w:rsidTr="00752F04">
        <w:trPr>
          <w:trHeight w:val="450"/>
        </w:trPr>
        <w:tc>
          <w:tcPr>
            <w:tcW w:w="1228" w:type="dxa"/>
            <w:tcBorders>
              <w:top w:val="nil"/>
              <w:left w:val="single" w:sz="8" w:space="0" w:color="auto"/>
              <w:bottom w:val="single" w:sz="4" w:space="0" w:color="auto"/>
              <w:right w:val="single" w:sz="4" w:space="0" w:color="auto"/>
            </w:tcBorders>
            <w:noWrap/>
            <w:vAlign w:val="bottom"/>
            <w:hideMark/>
          </w:tcPr>
          <w:p w14:paraId="67759C97"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215" w:type="dxa"/>
            <w:tcBorders>
              <w:top w:val="nil"/>
              <w:left w:val="nil"/>
              <w:bottom w:val="single" w:sz="4" w:space="0" w:color="auto"/>
              <w:right w:val="single" w:sz="4" w:space="0" w:color="auto"/>
            </w:tcBorders>
            <w:vAlign w:val="bottom"/>
            <w:hideMark/>
          </w:tcPr>
          <w:p w14:paraId="26052F50" w14:textId="2A720356"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властитих</w:t>
            </w:r>
            <w:r w:rsidRPr="00EA0FD7">
              <w:rPr>
                <w:rFonts w:ascii="Arial" w:eastAsia="Times New Roman" w:hAnsi="Arial" w:cs="Arial"/>
                <w:sz w:val="17"/>
                <w:szCs w:val="17"/>
                <w:lang w:val="sr-Cyrl-RS"/>
              </w:rPr>
              <w:br/>
              <w:t>прихода</w:t>
            </w:r>
          </w:p>
        </w:tc>
        <w:tc>
          <w:tcPr>
            <w:tcW w:w="1425" w:type="dxa"/>
            <w:tcBorders>
              <w:top w:val="nil"/>
              <w:left w:val="nil"/>
              <w:bottom w:val="single" w:sz="4" w:space="0" w:color="auto"/>
              <w:right w:val="single" w:sz="4" w:space="0" w:color="auto"/>
            </w:tcBorders>
            <w:noWrap/>
            <w:vAlign w:val="bottom"/>
            <w:hideMark/>
          </w:tcPr>
          <w:p w14:paraId="2FF4DD77"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5FE0EA0E"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52801465"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169B4375"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5D778E08"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022469DD" w14:textId="77777777" w:rsidTr="00752F04">
        <w:trPr>
          <w:trHeight w:val="450"/>
        </w:trPr>
        <w:tc>
          <w:tcPr>
            <w:tcW w:w="1228" w:type="dxa"/>
            <w:tcBorders>
              <w:top w:val="nil"/>
              <w:left w:val="single" w:sz="8" w:space="0" w:color="auto"/>
              <w:bottom w:val="single" w:sz="4" w:space="0" w:color="auto"/>
              <w:right w:val="single" w:sz="4" w:space="0" w:color="auto"/>
            </w:tcBorders>
            <w:noWrap/>
            <w:vAlign w:val="bottom"/>
            <w:hideMark/>
          </w:tcPr>
          <w:p w14:paraId="2257F62B"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215" w:type="dxa"/>
            <w:tcBorders>
              <w:top w:val="nil"/>
              <w:left w:val="nil"/>
              <w:bottom w:val="single" w:sz="4" w:space="0" w:color="auto"/>
              <w:right w:val="single" w:sz="4" w:space="0" w:color="auto"/>
            </w:tcBorders>
            <w:vAlign w:val="bottom"/>
            <w:hideMark/>
          </w:tcPr>
          <w:p w14:paraId="238B851F"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кредитних средстава</w:t>
            </w:r>
          </w:p>
        </w:tc>
        <w:tc>
          <w:tcPr>
            <w:tcW w:w="1425" w:type="dxa"/>
            <w:tcBorders>
              <w:top w:val="nil"/>
              <w:left w:val="nil"/>
              <w:bottom w:val="single" w:sz="4" w:space="0" w:color="auto"/>
              <w:right w:val="single" w:sz="4" w:space="0" w:color="auto"/>
            </w:tcBorders>
            <w:noWrap/>
            <w:vAlign w:val="bottom"/>
            <w:hideMark/>
          </w:tcPr>
          <w:p w14:paraId="3A7EC443"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2C3C1B8D"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18F9C891"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41901C12"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5091BD9F"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7968F976" w14:textId="77777777" w:rsidTr="00752F04">
        <w:trPr>
          <w:trHeight w:val="255"/>
        </w:trPr>
        <w:tc>
          <w:tcPr>
            <w:tcW w:w="1228" w:type="dxa"/>
            <w:tcBorders>
              <w:top w:val="nil"/>
              <w:left w:val="single" w:sz="8" w:space="0" w:color="auto"/>
              <w:bottom w:val="single" w:sz="4" w:space="0" w:color="auto"/>
              <w:right w:val="single" w:sz="4" w:space="0" w:color="auto"/>
            </w:tcBorders>
            <w:noWrap/>
            <w:vAlign w:val="bottom"/>
            <w:hideMark/>
          </w:tcPr>
          <w:p w14:paraId="49FDE261"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215" w:type="dxa"/>
            <w:tcBorders>
              <w:top w:val="nil"/>
              <w:left w:val="nil"/>
              <w:bottom w:val="single" w:sz="4" w:space="0" w:color="auto"/>
              <w:right w:val="single" w:sz="4" w:space="0" w:color="auto"/>
            </w:tcBorders>
            <w:vAlign w:val="bottom"/>
            <w:hideMark/>
          </w:tcPr>
          <w:p w14:paraId="2BE28BB1"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донација</w:t>
            </w:r>
          </w:p>
        </w:tc>
        <w:tc>
          <w:tcPr>
            <w:tcW w:w="1425" w:type="dxa"/>
            <w:tcBorders>
              <w:top w:val="nil"/>
              <w:left w:val="nil"/>
              <w:bottom w:val="single" w:sz="4" w:space="0" w:color="auto"/>
              <w:right w:val="single" w:sz="4" w:space="0" w:color="auto"/>
            </w:tcBorders>
            <w:noWrap/>
            <w:vAlign w:val="bottom"/>
            <w:hideMark/>
          </w:tcPr>
          <w:p w14:paraId="2D15D7B9"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3A01A68E"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6C5F60F6"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2217B33B"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0243ADA3"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6A11E2C3" w14:textId="77777777" w:rsidTr="00752F04">
        <w:trPr>
          <w:trHeight w:val="270"/>
        </w:trPr>
        <w:tc>
          <w:tcPr>
            <w:tcW w:w="1228" w:type="dxa"/>
            <w:tcBorders>
              <w:top w:val="nil"/>
              <w:left w:val="single" w:sz="8" w:space="0" w:color="auto"/>
              <w:bottom w:val="single" w:sz="4" w:space="0" w:color="auto"/>
              <w:right w:val="single" w:sz="4" w:space="0" w:color="auto"/>
            </w:tcBorders>
            <w:noWrap/>
            <w:vAlign w:val="bottom"/>
            <w:hideMark/>
          </w:tcPr>
          <w:p w14:paraId="4B372D5D"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215" w:type="dxa"/>
            <w:tcBorders>
              <w:top w:val="nil"/>
              <w:left w:val="nil"/>
              <w:bottom w:val="single" w:sz="4" w:space="0" w:color="auto"/>
              <w:right w:val="single" w:sz="4" w:space="0" w:color="auto"/>
            </w:tcBorders>
            <w:noWrap/>
            <w:vAlign w:val="bottom"/>
            <w:hideMark/>
          </w:tcPr>
          <w:p w14:paraId="1ED41F2E"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буџета</w:t>
            </w:r>
          </w:p>
        </w:tc>
        <w:tc>
          <w:tcPr>
            <w:tcW w:w="1425" w:type="dxa"/>
            <w:tcBorders>
              <w:top w:val="nil"/>
              <w:left w:val="nil"/>
              <w:bottom w:val="single" w:sz="4" w:space="0" w:color="auto"/>
              <w:right w:val="single" w:sz="4" w:space="0" w:color="auto"/>
            </w:tcBorders>
            <w:noWrap/>
            <w:vAlign w:val="bottom"/>
            <w:hideMark/>
          </w:tcPr>
          <w:p w14:paraId="4ABCEBBF"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1,213,940.00</w:t>
            </w:r>
          </w:p>
        </w:tc>
        <w:tc>
          <w:tcPr>
            <w:tcW w:w="1447" w:type="dxa"/>
            <w:tcBorders>
              <w:top w:val="nil"/>
              <w:left w:val="nil"/>
              <w:bottom w:val="single" w:sz="4" w:space="0" w:color="auto"/>
              <w:right w:val="single" w:sz="4" w:space="0" w:color="auto"/>
            </w:tcBorders>
            <w:noWrap/>
            <w:vAlign w:val="bottom"/>
            <w:hideMark/>
          </w:tcPr>
          <w:p w14:paraId="4CACD587"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3,190,721.00</w:t>
            </w:r>
          </w:p>
        </w:tc>
        <w:tc>
          <w:tcPr>
            <w:tcW w:w="1209" w:type="dxa"/>
            <w:tcBorders>
              <w:top w:val="nil"/>
              <w:left w:val="nil"/>
              <w:bottom w:val="single" w:sz="4" w:space="0" w:color="auto"/>
              <w:right w:val="single" w:sz="4" w:space="0" w:color="auto"/>
            </w:tcBorders>
            <w:noWrap/>
            <w:vAlign w:val="bottom"/>
            <w:hideMark/>
          </w:tcPr>
          <w:p w14:paraId="1D887F66"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3,683,450.00</w:t>
            </w:r>
          </w:p>
        </w:tc>
        <w:tc>
          <w:tcPr>
            <w:tcW w:w="1209" w:type="dxa"/>
            <w:tcBorders>
              <w:top w:val="nil"/>
              <w:left w:val="nil"/>
              <w:bottom w:val="single" w:sz="4" w:space="0" w:color="auto"/>
              <w:right w:val="single" w:sz="4" w:space="0" w:color="auto"/>
            </w:tcBorders>
            <w:noWrap/>
            <w:vAlign w:val="bottom"/>
            <w:hideMark/>
          </w:tcPr>
          <w:p w14:paraId="188C405A"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3,078,450.00</w:t>
            </w:r>
          </w:p>
        </w:tc>
        <w:tc>
          <w:tcPr>
            <w:tcW w:w="1209" w:type="dxa"/>
            <w:tcBorders>
              <w:top w:val="nil"/>
              <w:left w:val="nil"/>
              <w:bottom w:val="single" w:sz="4" w:space="0" w:color="auto"/>
              <w:right w:val="single" w:sz="8" w:space="0" w:color="auto"/>
            </w:tcBorders>
            <w:noWrap/>
            <w:vAlign w:val="bottom"/>
            <w:hideMark/>
          </w:tcPr>
          <w:p w14:paraId="578D7D6F"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3,253,450.00</w:t>
            </w:r>
          </w:p>
        </w:tc>
      </w:tr>
      <w:tr w:rsidR="00752F04" w:rsidRPr="00EA0FD7" w14:paraId="72A49A4E" w14:textId="77777777" w:rsidTr="00752F04">
        <w:trPr>
          <w:trHeight w:val="270"/>
        </w:trPr>
        <w:tc>
          <w:tcPr>
            <w:tcW w:w="1228" w:type="dxa"/>
            <w:tcBorders>
              <w:top w:val="single" w:sz="8" w:space="0" w:color="auto"/>
              <w:left w:val="single" w:sz="8" w:space="0" w:color="auto"/>
              <w:bottom w:val="single" w:sz="8" w:space="0" w:color="auto"/>
              <w:right w:val="single" w:sz="4" w:space="0" w:color="auto"/>
            </w:tcBorders>
            <w:noWrap/>
            <w:vAlign w:val="bottom"/>
            <w:hideMark/>
          </w:tcPr>
          <w:p w14:paraId="4B355211" w14:textId="77777777" w:rsidR="00752F04" w:rsidRPr="00EA0FD7" w:rsidRDefault="00752F04" w:rsidP="00752F04">
            <w:pPr>
              <w:spacing w:after="0" w:line="240" w:lineRule="auto"/>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 </w:t>
            </w:r>
          </w:p>
        </w:tc>
        <w:tc>
          <w:tcPr>
            <w:tcW w:w="2215" w:type="dxa"/>
            <w:tcBorders>
              <w:top w:val="single" w:sz="8" w:space="0" w:color="auto"/>
              <w:left w:val="nil"/>
              <w:bottom w:val="single" w:sz="8" w:space="0" w:color="auto"/>
              <w:right w:val="single" w:sz="4" w:space="0" w:color="auto"/>
            </w:tcBorders>
            <w:noWrap/>
            <w:vAlign w:val="bottom"/>
            <w:hideMark/>
          </w:tcPr>
          <w:p w14:paraId="579A4059" w14:textId="77777777" w:rsidR="00752F04" w:rsidRPr="00EA0FD7" w:rsidRDefault="00752F04" w:rsidP="00752F04">
            <w:pPr>
              <w:spacing w:after="0" w:line="240" w:lineRule="auto"/>
              <w:jc w:val="center"/>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У К У П Н О</w:t>
            </w:r>
          </w:p>
        </w:tc>
        <w:tc>
          <w:tcPr>
            <w:tcW w:w="1425" w:type="dxa"/>
            <w:tcBorders>
              <w:top w:val="single" w:sz="8" w:space="0" w:color="auto"/>
              <w:left w:val="nil"/>
              <w:bottom w:val="single" w:sz="8" w:space="0" w:color="auto"/>
              <w:right w:val="single" w:sz="4" w:space="0" w:color="auto"/>
            </w:tcBorders>
            <w:noWrap/>
            <w:vAlign w:val="bottom"/>
            <w:hideMark/>
          </w:tcPr>
          <w:p w14:paraId="53A37EEE"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1,213,940.00</w:t>
            </w:r>
          </w:p>
        </w:tc>
        <w:tc>
          <w:tcPr>
            <w:tcW w:w="1447" w:type="dxa"/>
            <w:tcBorders>
              <w:top w:val="single" w:sz="8" w:space="0" w:color="auto"/>
              <w:left w:val="nil"/>
              <w:bottom w:val="single" w:sz="8" w:space="0" w:color="auto"/>
              <w:right w:val="single" w:sz="4" w:space="0" w:color="auto"/>
            </w:tcBorders>
            <w:noWrap/>
            <w:vAlign w:val="bottom"/>
            <w:hideMark/>
          </w:tcPr>
          <w:p w14:paraId="4249602E"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3,190,721.00</w:t>
            </w:r>
          </w:p>
        </w:tc>
        <w:tc>
          <w:tcPr>
            <w:tcW w:w="1209" w:type="dxa"/>
            <w:tcBorders>
              <w:top w:val="single" w:sz="8" w:space="0" w:color="auto"/>
              <w:left w:val="nil"/>
              <w:bottom w:val="single" w:sz="8" w:space="0" w:color="auto"/>
              <w:right w:val="single" w:sz="4" w:space="0" w:color="auto"/>
            </w:tcBorders>
            <w:noWrap/>
            <w:vAlign w:val="bottom"/>
            <w:hideMark/>
          </w:tcPr>
          <w:p w14:paraId="13FB97E2"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3,683,450.00</w:t>
            </w:r>
          </w:p>
        </w:tc>
        <w:tc>
          <w:tcPr>
            <w:tcW w:w="1209" w:type="dxa"/>
            <w:tcBorders>
              <w:top w:val="single" w:sz="8" w:space="0" w:color="auto"/>
              <w:left w:val="nil"/>
              <w:bottom w:val="single" w:sz="8" w:space="0" w:color="auto"/>
              <w:right w:val="single" w:sz="4" w:space="0" w:color="auto"/>
            </w:tcBorders>
            <w:noWrap/>
            <w:vAlign w:val="bottom"/>
            <w:hideMark/>
          </w:tcPr>
          <w:p w14:paraId="35FE8468"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3,078,450.00</w:t>
            </w:r>
          </w:p>
        </w:tc>
        <w:tc>
          <w:tcPr>
            <w:tcW w:w="1209" w:type="dxa"/>
            <w:tcBorders>
              <w:top w:val="single" w:sz="8" w:space="0" w:color="auto"/>
              <w:left w:val="nil"/>
              <w:bottom w:val="single" w:sz="8" w:space="0" w:color="auto"/>
              <w:right w:val="single" w:sz="8" w:space="0" w:color="auto"/>
            </w:tcBorders>
            <w:noWrap/>
            <w:vAlign w:val="bottom"/>
            <w:hideMark/>
          </w:tcPr>
          <w:p w14:paraId="002A5251"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3,253,450.00</w:t>
            </w:r>
          </w:p>
        </w:tc>
      </w:tr>
    </w:tbl>
    <w:p w14:paraId="6D629868"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43FA2733"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Завод за планирање, пројектовање и развој Брчко дистрикта БиХ је у 2021. години остварио укупне расходе у износу од 1.213.940 КМ, док им је финансијски план за 2022. годину 3.190.721 КМ.</w:t>
      </w:r>
    </w:p>
    <w:p w14:paraId="6EBEA505"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22CD9453"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У 2023. години процјењује се да ће Финансијски план Завода износити 3.683.450 КМ, у 2024. години 3.078.450 КМ и у 2025. години 3.253.450 КМ.</w:t>
      </w:r>
    </w:p>
    <w:tbl>
      <w:tblPr>
        <w:tblpPr w:leftFromText="180" w:rightFromText="180" w:vertAnchor="text" w:horzAnchor="margin" w:tblpY="177"/>
        <w:tblW w:w="9942" w:type="dxa"/>
        <w:tblLook w:val="04A0" w:firstRow="1" w:lastRow="0" w:firstColumn="1" w:lastColumn="0" w:noHBand="0" w:noVBand="1"/>
      </w:tblPr>
      <w:tblGrid>
        <w:gridCol w:w="1228"/>
        <w:gridCol w:w="2215"/>
        <w:gridCol w:w="1425"/>
        <w:gridCol w:w="1447"/>
        <w:gridCol w:w="1209"/>
        <w:gridCol w:w="1209"/>
        <w:gridCol w:w="1209"/>
      </w:tblGrid>
      <w:tr w:rsidR="00752F04" w:rsidRPr="00EA0FD7" w14:paraId="132266F1" w14:textId="77777777" w:rsidTr="00752F04">
        <w:trPr>
          <w:trHeight w:val="450"/>
        </w:trPr>
        <w:tc>
          <w:tcPr>
            <w:tcW w:w="9942" w:type="dxa"/>
            <w:gridSpan w:val="7"/>
            <w:vMerge w:val="restart"/>
            <w:tcBorders>
              <w:top w:val="nil"/>
              <w:left w:val="nil"/>
              <w:bottom w:val="single" w:sz="8" w:space="0" w:color="000000"/>
              <w:right w:val="nil"/>
            </w:tcBorders>
            <w:vAlign w:val="bottom"/>
            <w:hideMark/>
          </w:tcPr>
          <w:p w14:paraId="616C4F13" w14:textId="5D1BFF5D"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Табела 4.12.</w:t>
            </w:r>
            <w:r w:rsidRPr="00EA0FD7">
              <w:rPr>
                <w:rFonts w:ascii="Arial" w:eastAsia="Times New Roman" w:hAnsi="Arial" w:cs="Arial"/>
                <w:sz w:val="20"/>
                <w:szCs w:val="20"/>
                <w:lang w:val="sr-Cyrl-RS"/>
              </w:rPr>
              <w:t xml:space="preserve"> Финансијски план расхода Радио</w:t>
            </w:r>
            <w:r>
              <w:rPr>
                <w:rFonts w:ascii="Arial" w:eastAsia="Times New Roman" w:hAnsi="Arial" w:cs="Arial"/>
                <w:sz w:val="20"/>
                <w:szCs w:val="20"/>
                <w:lang w:val="sr-Cyrl-RS"/>
              </w:rPr>
              <w:t>-</w:t>
            </w:r>
            <w:r w:rsidRPr="00EA0FD7">
              <w:rPr>
                <w:rFonts w:ascii="Arial" w:eastAsia="Times New Roman" w:hAnsi="Arial" w:cs="Arial"/>
                <w:sz w:val="20"/>
                <w:szCs w:val="20"/>
                <w:lang w:val="sr-Cyrl-RS"/>
              </w:rPr>
              <w:t xml:space="preserve">новинске и издавачке установе </w:t>
            </w:r>
            <w:r>
              <w:rPr>
                <w:rFonts w:ascii="Arial" w:eastAsia="Times New Roman" w:hAnsi="Arial" w:cs="Arial"/>
                <w:sz w:val="20"/>
                <w:szCs w:val="20"/>
                <w:lang w:val="sr-Cyrl-RS"/>
              </w:rPr>
              <w:t>„</w:t>
            </w:r>
            <w:r w:rsidRPr="00EA0FD7">
              <w:rPr>
                <w:rFonts w:ascii="Arial" w:eastAsia="Times New Roman" w:hAnsi="Arial" w:cs="Arial"/>
                <w:sz w:val="20"/>
                <w:szCs w:val="20"/>
                <w:lang w:val="sr-Cyrl-RS"/>
              </w:rPr>
              <w:t>Радио Брчко</w:t>
            </w:r>
            <w:r>
              <w:rPr>
                <w:rFonts w:ascii="Arial" w:eastAsia="Times New Roman" w:hAnsi="Arial" w:cs="Arial"/>
                <w:sz w:val="20"/>
                <w:szCs w:val="20"/>
                <w:lang w:val="sr-Cyrl-RS"/>
              </w:rPr>
              <w:t>“</w:t>
            </w:r>
            <w:r w:rsidRPr="00EA0FD7">
              <w:rPr>
                <w:rFonts w:ascii="Arial" w:eastAsia="Times New Roman" w:hAnsi="Arial" w:cs="Arial"/>
                <w:sz w:val="20"/>
                <w:szCs w:val="20"/>
                <w:lang w:val="sr-Cyrl-RS"/>
              </w:rPr>
              <w:br/>
              <w:t xml:space="preserve">                Брчко дистрикта БиХ 2023</w:t>
            </w:r>
            <w:r>
              <w:rPr>
                <w:rFonts w:ascii="Arial" w:eastAsia="Times New Roman" w:hAnsi="Arial" w:cs="Arial"/>
                <w:sz w:val="20"/>
                <w:szCs w:val="20"/>
                <w:lang w:val="sr-Cyrl-RS"/>
              </w:rPr>
              <w:t>–</w:t>
            </w:r>
            <w:r w:rsidRPr="00EA0FD7">
              <w:rPr>
                <w:rFonts w:ascii="Arial" w:eastAsia="Times New Roman" w:hAnsi="Arial" w:cs="Arial"/>
                <w:sz w:val="20"/>
                <w:szCs w:val="20"/>
                <w:lang w:val="sr-Cyrl-RS"/>
              </w:rPr>
              <w:t xml:space="preserve">2025. године (по економској класификацији) </w:t>
            </w:r>
          </w:p>
        </w:tc>
      </w:tr>
      <w:tr w:rsidR="00752F04" w:rsidRPr="00EA0FD7" w14:paraId="441C534E" w14:textId="77777777" w:rsidTr="00752F04">
        <w:trPr>
          <w:trHeight w:val="450"/>
        </w:trPr>
        <w:tc>
          <w:tcPr>
            <w:tcW w:w="0" w:type="auto"/>
            <w:gridSpan w:val="7"/>
            <w:vMerge/>
            <w:tcBorders>
              <w:top w:val="nil"/>
              <w:left w:val="nil"/>
              <w:bottom w:val="single" w:sz="8" w:space="0" w:color="000000"/>
              <w:right w:val="nil"/>
            </w:tcBorders>
            <w:vAlign w:val="center"/>
            <w:hideMark/>
          </w:tcPr>
          <w:p w14:paraId="29D3F9A1" w14:textId="77777777" w:rsidR="00752F04" w:rsidRPr="00EA0FD7" w:rsidRDefault="00752F04" w:rsidP="00752F04">
            <w:pPr>
              <w:spacing w:after="0" w:line="240" w:lineRule="auto"/>
              <w:rPr>
                <w:rFonts w:ascii="Arial" w:eastAsia="Times New Roman" w:hAnsi="Arial" w:cs="Arial"/>
                <w:b/>
                <w:bCs/>
                <w:sz w:val="18"/>
                <w:szCs w:val="18"/>
                <w:lang w:val="sr-Cyrl-RS"/>
              </w:rPr>
            </w:pPr>
          </w:p>
        </w:tc>
      </w:tr>
      <w:tr w:rsidR="00752F04" w:rsidRPr="00EA0FD7" w14:paraId="63616DAE" w14:textId="77777777" w:rsidTr="00752F04">
        <w:trPr>
          <w:trHeight w:val="270"/>
        </w:trPr>
        <w:tc>
          <w:tcPr>
            <w:tcW w:w="1228" w:type="dxa"/>
            <w:vMerge w:val="restart"/>
            <w:tcBorders>
              <w:top w:val="nil"/>
              <w:left w:val="single" w:sz="8" w:space="0" w:color="auto"/>
              <w:bottom w:val="single" w:sz="8" w:space="0" w:color="000000"/>
              <w:right w:val="single" w:sz="8" w:space="0" w:color="auto"/>
            </w:tcBorders>
            <w:shd w:val="pct25" w:color="auto" w:fill="CCFFCC"/>
            <w:vAlign w:val="center"/>
            <w:hideMark/>
          </w:tcPr>
          <w:p w14:paraId="0DB4AB8F"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Економски</w:t>
            </w:r>
            <w:r w:rsidRPr="00EA0FD7">
              <w:rPr>
                <w:rFonts w:ascii="Arial" w:eastAsia="Times New Roman" w:hAnsi="Arial" w:cs="Arial"/>
                <w:b/>
                <w:bCs/>
                <w:sz w:val="18"/>
                <w:szCs w:val="18"/>
                <w:lang w:val="sr-Cyrl-RS"/>
              </w:rPr>
              <w:br/>
              <w:t>код</w:t>
            </w:r>
          </w:p>
        </w:tc>
        <w:tc>
          <w:tcPr>
            <w:tcW w:w="2215" w:type="dxa"/>
            <w:vMerge w:val="restart"/>
            <w:tcBorders>
              <w:top w:val="nil"/>
              <w:left w:val="single" w:sz="8" w:space="0" w:color="auto"/>
              <w:bottom w:val="single" w:sz="8" w:space="0" w:color="000000"/>
              <w:right w:val="single" w:sz="8" w:space="0" w:color="auto"/>
            </w:tcBorders>
            <w:shd w:val="pct25" w:color="auto" w:fill="CCFFCC"/>
            <w:vAlign w:val="center"/>
            <w:hideMark/>
          </w:tcPr>
          <w:p w14:paraId="672646B8"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Економска категорија</w:t>
            </w:r>
          </w:p>
        </w:tc>
        <w:tc>
          <w:tcPr>
            <w:tcW w:w="1425" w:type="dxa"/>
            <w:vMerge w:val="restart"/>
            <w:tcBorders>
              <w:top w:val="nil"/>
              <w:left w:val="single" w:sz="8" w:space="0" w:color="auto"/>
              <w:bottom w:val="single" w:sz="8" w:space="0" w:color="000000"/>
              <w:right w:val="single" w:sz="8" w:space="0" w:color="auto"/>
            </w:tcBorders>
            <w:shd w:val="pct25" w:color="auto" w:fill="CCFFCC"/>
            <w:vAlign w:val="center"/>
            <w:hideMark/>
          </w:tcPr>
          <w:p w14:paraId="4273DC68"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xml:space="preserve">Извршење </w:t>
            </w:r>
            <w:r w:rsidRPr="00EA0FD7">
              <w:rPr>
                <w:rFonts w:ascii="Arial" w:eastAsia="Times New Roman" w:hAnsi="Arial" w:cs="Arial"/>
                <w:b/>
                <w:bCs/>
                <w:sz w:val="18"/>
                <w:szCs w:val="18"/>
                <w:lang w:val="sr-Cyrl-RS"/>
              </w:rPr>
              <w:br/>
              <w:t>2021.</w:t>
            </w:r>
          </w:p>
        </w:tc>
        <w:tc>
          <w:tcPr>
            <w:tcW w:w="1447" w:type="dxa"/>
            <w:vMerge w:val="restart"/>
            <w:tcBorders>
              <w:top w:val="nil"/>
              <w:left w:val="single" w:sz="8" w:space="0" w:color="auto"/>
              <w:bottom w:val="single" w:sz="8" w:space="0" w:color="000000"/>
              <w:right w:val="single" w:sz="8" w:space="0" w:color="auto"/>
            </w:tcBorders>
            <w:shd w:val="pct25" w:color="auto" w:fill="CCFFCC"/>
            <w:vAlign w:val="center"/>
            <w:hideMark/>
          </w:tcPr>
          <w:p w14:paraId="71DB5A45"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Финансијски план</w:t>
            </w:r>
            <w:r w:rsidRPr="00EA0FD7">
              <w:rPr>
                <w:rFonts w:ascii="Arial" w:eastAsia="Times New Roman" w:hAnsi="Arial" w:cs="Arial"/>
                <w:b/>
                <w:bCs/>
                <w:sz w:val="18"/>
                <w:szCs w:val="18"/>
                <w:lang w:val="sr-Cyrl-RS"/>
              </w:rPr>
              <w:br/>
              <w:t>2022.</w:t>
            </w:r>
          </w:p>
        </w:tc>
        <w:tc>
          <w:tcPr>
            <w:tcW w:w="3627" w:type="dxa"/>
            <w:gridSpan w:val="3"/>
            <w:tcBorders>
              <w:top w:val="single" w:sz="8" w:space="0" w:color="auto"/>
              <w:left w:val="nil"/>
              <w:bottom w:val="single" w:sz="8" w:space="0" w:color="auto"/>
              <w:right w:val="single" w:sz="8" w:space="0" w:color="000000"/>
            </w:tcBorders>
            <w:shd w:val="pct25" w:color="auto" w:fill="CCFFCC"/>
            <w:noWrap/>
            <w:vAlign w:val="center"/>
            <w:hideMark/>
          </w:tcPr>
          <w:p w14:paraId="0722F6C4"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Процјена</w:t>
            </w:r>
          </w:p>
        </w:tc>
      </w:tr>
      <w:tr w:rsidR="00752F04" w:rsidRPr="00EA0FD7" w14:paraId="155F89F2" w14:textId="77777777" w:rsidTr="00752F04">
        <w:trPr>
          <w:trHeight w:val="435"/>
        </w:trPr>
        <w:tc>
          <w:tcPr>
            <w:tcW w:w="0" w:type="auto"/>
            <w:vMerge/>
            <w:tcBorders>
              <w:top w:val="nil"/>
              <w:left w:val="single" w:sz="8" w:space="0" w:color="auto"/>
              <w:bottom w:val="single" w:sz="8" w:space="0" w:color="000000"/>
              <w:right w:val="single" w:sz="8" w:space="0" w:color="auto"/>
            </w:tcBorders>
            <w:vAlign w:val="center"/>
            <w:hideMark/>
          </w:tcPr>
          <w:p w14:paraId="2BB99A0F"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0A57EFDE"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6A99D6E3"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2AD5A7FF"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1209" w:type="dxa"/>
            <w:tcBorders>
              <w:top w:val="nil"/>
              <w:left w:val="nil"/>
              <w:bottom w:val="single" w:sz="8" w:space="0" w:color="auto"/>
              <w:right w:val="single" w:sz="4" w:space="0" w:color="auto"/>
            </w:tcBorders>
            <w:shd w:val="pct25" w:color="auto" w:fill="CCFFCC"/>
            <w:noWrap/>
            <w:vAlign w:val="center"/>
            <w:hideMark/>
          </w:tcPr>
          <w:p w14:paraId="619A99D5" w14:textId="16206BCE"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2023</w:t>
            </w:r>
            <w:r>
              <w:rPr>
                <w:rFonts w:ascii="Arial" w:eastAsia="Times New Roman" w:hAnsi="Arial" w:cs="Arial"/>
                <w:b/>
                <w:bCs/>
                <w:sz w:val="18"/>
                <w:szCs w:val="18"/>
                <w:lang w:val="sr-Cyrl-RS"/>
              </w:rPr>
              <w:t>.</w:t>
            </w:r>
          </w:p>
        </w:tc>
        <w:tc>
          <w:tcPr>
            <w:tcW w:w="1209" w:type="dxa"/>
            <w:tcBorders>
              <w:top w:val="nil"/>
              <w:left w:val="nil"/>
              <w:bottom w:val="single" w:sz="8" w:space="0" w:color="auto"/>
              <w:right w:val="single" w:sz="4" w:space="0" w:color="auto"/>
            </w:tcBorders>
            <w:shd w:val="pct25" w:color="auto" w:fill="CCFFCC"/>
            <w:noWrap/>
            <w:vAlign w:val="center"/>
            <w:hideMark/>
          </w:tcPr>
          <w:p w14:paraId="030C6310" w14:textId="74D4693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2024</w:t>
            </w:r>
            <w:r>
              <w:rPr>
                <w:rFonts w:ascii="Arial" w:eastAsia="Times New Roman" w:hAnsi="Arial" w:cs="Arial"/>
                <w:b/>
                <w:bCs/>
                <w:sz w:val="18"/>
                <w:szCs w:val="18"/>
                <w:lang w:val="sr-Cyrl-RS"/>
              </w:rPr>
              <w:t>.</w:t>
            </w:r>
          </w:p>
        </w:tc>
        <w:tc>
          <w:tcPr>
            <w:tcW w:w="1209" w:type="dxa"/>
            <w:tcBorders>
              <w:top w:val="nil"/>
              <w:left w:val="nil"/>
              <w:bottom w:val="single" w:sz="8" w:space="0" w:color="auto"/>
              <w:right w:val="single" w:sz="8" w:space="0" w:color="auto"/>
            </w:tcBorders>
            <w:shd w:val="pct25" w:color="auto" w:fill="CCFFCC"/>
            <w:noWrap/>
            <w:vAlign w:val="center"/>
            <w:hideMark/>
          </w:tcPr>
          <w:p w14:paraId="0D4118C2" w14:textId="13D569B4"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2025</w:t>
            </w:r>
            <w:r>
              <w:rPr>
                <w:rFonts w:ascii="Arial" w:eastAsia="Times New Roman" w:hAnsi="Arial" w:cs="Arial"/>
                <w:b/>
                <w:bCs/>
                <w:sz w:val="18"/>
                <w:szCs w:val="18"/>
                <w:lang w:val="sr-Cyrl-RS"/>
              </w:rPr>
              <w:t>.</w:t>
            </w:r>
          </w:p>
        </w:tc>
      </w:tr>
      <w:tr w:rsidR="00752F04" w:rsidRPr="00EA0FD7" w14:paraId="46085A7A" w14:textId="77777777" w:rsidTr="00752F04">
        <w:trPr>
          <w:trHeight w:val="270"/>
        </w:trPr>
        <w:tc>
          <w:tcPr>
            <w:tcW w:w="1228" w:type="dxa"/>
            <w:tcBorders>
              <w:top w:val="nil"/>
              <w:left w:val="single" w:sz="8" w:space="0" w:color="auto"/>
              <w:bottom w:val="single" w:sz="8" w:space="0" w:color="auto"/>
              <w:right w:val="single" w:sz="4" w:space="0" w:color="auto"/>
            </w:tcBorders>
            <w:noWrap/>
            <w:vAlign w:val="bottom"/>
            <w:hideMark/>
          </w:tcPr>
          <w:p w14:paraId="0D3BCD9E"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215" w:type="dxa"/>
            <w:tcBorders>
              <w:top w:val="nil"/>
              <w:left w:val="nil"/>
              <w:bottom w:val="single" w:sz="8" w:space="0" w:color="auto"/>
              <w:right w:val="single" w:sz="4" w:space="0" w:color="auto"/>
            </w:tcBorders>
            <w:noWrap/>
            <w:vAlign w:val="bottom"/>
            <w:hideMark/>
          </w:tcPr>
          <w:p w14:paraId="4A4BE048"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w:t>
            </w:r>
          </w:p>
        </w:tc>
        <w:tc>
          <w:tcPr>
            <w:tcW w:w="1425" w:type="dxa"/>
            <w:tcBorders>
              <w:top w:val="nil"/>
              <w:left w:val="nil"/>
              <w:bottom w:val="single" w:sz="8" w:space="0" w:color="auto"/>
              <w:right w:val="single" w:sz="4" w:space="0" w:color="auto"/>
            </w:tcBorders>
            <w:noWrap/>
            <w:vAlign w:val="bottom"/>
            <w:hideMark/>
          </w:tcPr>
          <w:p w14:paraId="5BE7FCFD"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47" w:type="dxa"/>
            <w:tcBorders>
              <w:top w:val="nil"/>
              <w:left w:val="nil"/>
              <w:bottom w:val="single" w:sz="8" w:space="0" w:color="auto"/>
              <w:right w:val="single" w:sz="4" w:space="0" w:color="auto"/>
            </w:tcBorders>
            <w:noWrap/>
            <w:vAlign w:val="bottom"/>
            <w:hideMark/>
          </w:tcPr>
          <w:p w14:paraId="6DE15B5C"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4" w:space="0" w:color="auto"/>
            </w:tcBorders>
            <w:noWrap/>
            <w:vAlign w:val="bottom"/>
            <w:hideMark/>
          </w:tcPr>
          <w:p w14:paraId="797AD660"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4" w:space="0" w:color="auto"/>
            </w:tcBorders>
            <w:noWrap/>
            <w:vAlign w:val="bottom"/>
            <w:hideMark/>
          </w:tcPr>
          <w:p w14:paraId="787F07C0"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8" w:space="0" w:color="auto"/>
            </w:tcBorders>
            <w:noWrap/>
            <w:vAlign w:val="bottom"/>
            <w:hideMark/>
          </w:tcPr>
          <w:p w14:paraId="3C5939BA"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752F04" w:rsidRPr="00EA0FD7" w14:paraId="5F7B063D" w14:textId="77777777" w:rsidTr="00752F04">
        <w:trPr>
          <w:trHeight w:val="450"/>
        </w:trPr>
        <w:tc>
          <w:tcPr>
            <w:tcW w:w="1228" w:type="dxa"/>
            <w:tcBorders>
              <w:top w:val="nil"/>
              <w:left w:val="single" w:sz="8" w:space="0" w:color="auto"/>
              <w:bottom w:val="single" w:sz="4" w:space="0" w:color="auto"/>
              <w:right w:val="single" w:sz="4" w:space="0" w:color="auto"/>
            </w:tcBorders>
            <w:vAlign w:val="bottom"/>
            <w:hideMark/>
          </w:tcPr>
          <w:p w14:paraId="4983E637"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611100</w:t>
            </w:r>
            <w:r w:rsidRPr="00EA0FD7">
              <w:rPr>
                <w:rFonts w:ascii="Arial" w:eastAsia="Times New Roman" w:hAnsi="Arial" w:cs="Arial"/>
                <w:sz w:val="17"/>
                <w:szCs w:val="17"/>
                <w:lang w:val="sr-Cyrl-RS"/>
              </w:rPr>
              <w:br/>
              <w:t>612100</w:t>
            </w:r>
          </w:p>
        </w:tc>
        <w:tc>
          <w:tcPr>
            <w:tcW w:w="2215" w:type="dxa"/>
            <w:tcBorders>
              <w:top w:val="nil"/>
              <w:left w:val="nil"/>
              <w:bottom w:val="single" w:sz="4" w:space="0" w:color="auto"/>
              <w:right w:val="single" w:sz="4" w:space="0" w:color="auto"/>
            </w:tcBorders>
            <w:vAlign w:val="bottom"/>
            <w:hideMark/>
          </w:tcPr>
          <w:p w14:paraId="6423BB66"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xml:space="preserve">Бруто плате и доприноси </w:t>
            </w:r>
            <w:r w:rsidRPr="00EA0FD7">
              <w:rPr>
                <w:rFonts w:ascii="Arial" w:eastAsia="Times New Roman" w:hAnsi="Arial" w:cs="Arial"/>
                <w:sz w:val="17"/>
                <w:szCs w:val="17"/>
                <w:lang w:val="sr-Cyrl-RS"/>
              </w:rPr>
              <w:br/>
              <w:t>послодавца</w:t>
            </w:r>
          </w:p>
        </w:tc>
        <w:tc>
          <w:tcPr>
            <w:tcW w:w="1425" w:type="dxa"/>
            <w:tcBorders>
              <w:top w:val="nil"/>
              <w:left w:val="nil"/>
              <w:bottom w:val="single" w:sz="4" w:space="0" w:color="auto"/>
              <w:right w:val="single" w:sz="4" w:space="0" w:color="auto"/>
            </w:tcBorders>
            <w:noWrap/>
            <w:vAlign w:val="bottom"/>
            <w:hideMark/>
          </w:tcPr>
          <w:p w14:paraId="49D915B7"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80,996.00</w:t>
            </w:r>
          </w:p>
        </w:tc>
        <w:tc>
          <w:tcPr>
            <w:tcW w:w="1447" w:type="dxa"/>
            <w:tcBorders>
              <w:top w:val="nil"/>
              <w:left w:val="nil"/>
              <w:bottom w:val="single" w:sz="4" w:space="0" w:color="auto"/>
              <w:right w:val="single" w:sz="4" w:space="0" w:color="auto"/>
            </w:tcBorders>
            <w:noWrap/>
            <w:vAlign w:val="bottom"/>
            <w:hideMark/>
          </w:tcPr>
          <w:p w14:paraId="2822E945"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716,200.00</w:t>
            </w:r>
          </w:p>
        </w:tc>
        <w:tc>
          <w:tcPr>
            <w:tcW w:w="1209" w:type="dxa"/>
            <w:tcBorders>
              <w:top w:val="nil"/>
              <w:left w:val="nil"/>
              <w:bottom w:val="single" w:sz="4" w:space="0" w:color="auto"/>
              <w:right w:val="single" w:sz="4" w:space="0" w:color="auto"/>
            </w:tcBorders>
            <w:noWrap/>
            <w:vAlign w:val="bottom"/>
            <w:hideMark/>
          </w:tcPr>
          <w:p w14:paraId="5E5BC319"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716,200.00</w:t>
            </w:r>
          </w:p>
        </w:tc>
        <w:tc>
          <w:tcPr>
            <w:tcW w:w="1209" w:type="dxa"/>
            <w:tcBorders>
              <w:top w:val="nil"/>
              <w:left w:val="nil"/>
              <w:bottom w:val="single" w:sz="4" w:space="0" w:color="auto"/>
              <w:right w:val="single" w:sz="4" w:space="0" w:color="auto"/>
            </w:tcBorders>
            <w:noWrap/>
            <w:vAlign w:val="bottom"/>
            <w:hideMark/>
          </w:tcPr>
          <w:p w14:paraId="0158776B"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716,200.00</w:t>
            </w:r>
          </w:p>
        </w:tc>
        <w:tc>
          <w:tcPr>
            <w:tcW w:w="1209" w:type="dxa"/>
            <w:tcBorders>
              <w:top w:val="nil"/>
              <w:left w:val="nil"/>
              <w:bottom w:val="single" w:sz="4" w:space="0" w:color="auto"/>
              <w:right w:val="single" w:sz="8" w:space="0" w:color="auto"/>
            </w:tcBorders>
            <w:noWrap/>
            <w:vAlign w:val="bottom"/>
            <w:hideMark/>
          </w:tcPr>
          <w:p w14:paraId="39E9F579"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716,200.00</w:t>
            </w:r>
          </w:p>
        </w:tc>
      </w:tr>
      <w:tr w:rsidR="00752F04" w:rsidRPr="00EA0FD7" w14:paraId="37542BDA" w14:textId="77777777" w:rsidTr="00752F04">
        <w:trPr>
          <w:trHeight w:val="450"/>
        </w:trPr>
        <w:tc>
          <w:tcPr>
            <w:tcW w:w="1228" w:type="dxa"/>
            <w:tcBorders>
              <w:top w:val="nil"/>
              <w:left w:val="single" w:sz="8" w:space="0" w:color="auto"/>
              <w:bottom w:val="single" w:sz="4" w:space="0" w:color="auto"/>
              <w:right w:val="single" w:sz="4" w:space="0" w:color="auto"/>
            </w:tcBorders>
            <w:vAlign w:val="bottom"/>
            <w:hideMark/>
          </w:tcPr>
          <w:p w14:paraId="0DAB2AF4"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611200</w:t>
            </w:r>
          </w:p>
        </w:tc>
        <w:tc>
          <w:tcPr>
            <w:tcW w:w="2215" w:type="dxa"/>
            <w:tcBorders>
              <w:top w:val="nil"/>
              <w:left w:val="nil"/>
              <w:bottom w:val="single" w:sz="4" w:space="0" w:color="auto"/>
              <w:right w:val="single" w:sz="4" w:space="0" w:color="auto"/>
            </w:tcBorders>
            <w:vAlign w:val="bottom"/>
            <w:hideMark/>
          </w:tcPr>
          <w:p w14:paraId="7A9B8F7B"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Накнаде трошкова запослених</w:t>
            </w:r>
          </w:p>
        </w:tc>
        <w:tc>
          <w:tcPr>
            <w:tcW w:w="1425" w:type="dxa"/>
            <w:tcBorders>
              <w:top w:val="nil"/>
              <w:left w:val="nil"/>
              <w:bottom w:val="single" w:sz="4" w:space="0" w:color="auto"/>
              <w:right w:val="single" w:sz="4" w:space="0" w:color="auto"/>
            </w:tcBorders>
            <w:noWrap/>
            <w:vAlign w:val="bottom"/>
            <w:hideMark/>
          </w:tcPr>
          <w:p w14:paraId="3CDC4E68"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6,501.00</w:t>
            </w:r>
          </w:p>
        </w:tc>
        <w:tc>
          <w:tcPr>
            <w:tcW w:w="1447" w:type="dxa"/>
            <w:tcBorders>
              <w:top w:val="nil"/>
              <w:left w:val="nil"/>
              <w:bottom w:val="single" w:sz="4" w:space="0" w:color="auto"/>
              <w:right w:val="single" w:sz="4" w:space="0" w:color="auto"/>
            </w:tcBorders>
            <w:noWrap/>
            <w:vAlign w:val="bottom"/>
            <w:hideMark/>
          </w:tcPr>
          <w:p w14:paraId="6AB8B4D6"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45,500.00</w:t>
            </w:r>
          </w:p>
        </w:tc>
        <w:tc>
          <w:tcPr>
            <w:tcW w:w="1209" w:type="dxa"/>
            <w:tcBorders>
              <w:top w:val="nil"/>
              <w:left w:val="nil"/>
              <w:bottom w:val="single" w:sz="4" w:space="0" w:color="auto"/>
              <w:right w:val="single" w:sz="4" w:space="0" w:color="auto"/>
            </w:tcBorders>
            <w:noWrap/>
            <w:vAlign w:val="bottom"/>
            <w:hideMark/>
          </w:tcPr>
          <w:p w14:paraId="4AFE5367"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45,500.00</w:t>
            </w:r>
          </w:p>
        </w:tc>
        <w:tc>
          <w:tcPr>
            <w:tcW w:w="1209" w:type="dxa"/>
            <w:tcBorders>
              <w:top w:val="nil"/>
              <w:left w:val="nil"/>
              <w:bottom w:val="single" w:sz="4" w:space="0" w:color="auto"/>
              <w:right w:val="single" w:sz="4" w:space="0" w:color="auto"/>
            </w:tcBorders>
            <w:noWrap/>
            <w:vAlign w:val="bottom"/>
            <w:hideMark/>
          </w:tcPr>
          <w:p w14:paraId="19D27235"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45,500.00</w:t>
            </w:r>
          </w:p>
        </w:tc>
        <w:tc>
          <w:tcPr>
            <w:tcW w:w="1209" w:type="dxa"/>
            <w:tcBorders>
              <w:top w:val="nil"/>
              <w:left w:val="nil"/>
              <w:bottom w:val="single" w:sz="4" w:space="0" w:color="auto"/>
              <w:right w:val="single" w:sz="8" w:space="0" w:color="auto"/>
            </w:tcBorders>
            <w:noWrap/>
            <w:vAlign w:val="bottom"/>
            <w:hideMark/>
          </w:tcPr>
          <w:p w14:paraId="39742249"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45,500.00</w:t>
            </w:r>
          </w:p>
        </w:tc>
      </w:tr>
      <w:tr w:rsidR="00752F04" w:rsidRPr="00EA0FD7" w14:paraId="04E90612" w14:textId="77777777" w:rsidTr="00752F04">
        <w:trPr>
          <w:trHeight w:val="675"/>
        </w:trPr>
        <w:tc>
          <w:tcPr>
            <w:tcW w:w="1228" w:type="dxa"/>
            <w:tcBorders>
              <w:top w:val="nil"/>
              <w:left w:val="single" w:sz="8" w:space="0" w:color="auto"/>
              <w:bottom w:val="single" w:sz="4" w:space="0" w:color="auto"/>
              <w:right w:val="single" w:sz="4" w:space="0" w:color="auto"/>
            </w:tcBorders>
            <w:noWrap/>
            <w:vAlign w:val="bottom"/>
            <w:hideMark/>
          </w:tcPr>
          <w:p w14:paraId="3323222A"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613000</w:t>
            </w:r>
          </w:p>
        </w:tc>
        <w:tc>
          <w:tcPr>
            <w:tcW w:w="2215" w:type="dxa"/>
            <w:tcBorders>
              <w:top w:val="nil"/>
              <w:left w:val="nil"/>
              <w:bottom w:val="single" w:sz="4" w:space="0" w:color="auto"/>
              <w:right w:val="single" w:sz="4" w:space="0" w:color="auto"/>
            </w:tcBorders>
            <w:vAlign w:val="bottom"/>
            <w:hideMark/>
          </w:tcPr>
          <w:p w14:paraId="65E2622C"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материјал, робе, ситан инвентар и услуге</w:t>
            </w:r>
          </w:p>
        </w:tc>
        <w:tc>
          <w:tcPr>
            <w:tcW w:w="1425" w:type="dxa"/>
            <w:tcBorders>
              <w:top w:val="nil"/>
              <w:left w:val="nil"/>
              <w:bottom w:val="single" w:sz="4" w:space="0" w:color="auto"/>
              <w:right w:val="single" w:sz="4" w:space="0" w:color="auto"/>
            </w:tcBorders>
            <w:noWrap/>
            <w:vAlign w:val="bottom"/>
            <w:hideMark/>
          </w:tcPr>
          <w:p w14:paraId="38DD25AD"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33,684.00</w:t>
            </w:r>
          </w:p>
        </w:tc>
        <w:tc>
          <w:tcPr>
            <w:tcW w:w="1447" w:type="dxa"/>
            <w:tcBorders>
              <w:top w:val="nil"/>
              <w:left w:val="nil"/>
              <w:bottom w:val="single" w:sz="4" w:space="0" w:color="auto"/>
              <w:right w:val="single" w:sz="4" w:space="0" w:color="auto"/>
            </w:tcBorders>
            <w:noWrap/>
            <w:vAlign w:val="bottom"/>
            <w:hideMark/>
          </w:tcPr>
          <w:p w14:paraId="16FB22B6"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178,220.00</w:t>
            </w:r>
          </w:p>
        </w:tc>
        <w:tc>
          <w:tcPr>
            <w:tcW w:w="1209" w:type="dxa"/>
            <w:tcBorders>
              <w:top w:val="nil"/>
              <w:left w:val="nil"/>
              <w:bottom w:val="single" w:sz="4" w:space="0" w:color="auto"/>
              <w:right w:val="single" w:sz="4" w:space="0" w:color="auto"/>
            </w:tcBorders>
            <w:noWrap/>
            <w:vAlign w:val="bottom"/>
            <w:hideMark/>
          </w:tcPr>
          <w:p w14:paraId="3B6F50D2"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178,220.00</w:t>
            </w:r>
          </w:p>
        </w:tc>
        <w:tc>
          <w:tcPr>
            <w:tcW w:w="1209" w:type="dxa"/>
            <w:tcBorders>
              <w:top w:val="nil"/>
              <w:left w:val="nil"/>
              <w:bottom w:val="single" w:sz="4" w:space="0" w:color="auto"/>
              <w:right w:val="single" w:sz="4" w:space="0" w:color="auto"/>
            </w:tcBorders>
            <w:noWrap/>
            <w:vAlign w:val="bottom"/>
            <w:hideMark/>
          </w:tcPr>
          <w:p w14:paraId="387C64AD"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178,220.00</w:t>
            </w:r>
          </w:p>
        </w:tc>
        <w:tc>
          <w:tcPr>
            <w:tcW w:w="1209" w:type="dxa"/>
            <w:tcBorders>
              <w:top w:val="nil"/>
              <w:left w:val="nil"/>
              <w:bottom w:val="single" w:sz="4" w:space="0" w:color="auto"/>
              <w:right w:val="single" w:sz="8" w:space="0" w:color="auto"/>
            </w:tcBorders>
            <w:noWrap/>
            <w:vAlign w:val="bottom"/>
            <w:hideMark/>
          </w:tcPr>
          <w:p w14:paraId="172F1944"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178,220.00</w:t>
            </w:r>
          </w:p>
        </w:tc>
      </w:tr>
      <w:tr w:rsidR="00752F04" w:rsidRPr="00EA0FD7" w14:paraId="709CF27C" w14:textId="77777777" w:rsidTr="00752F04">
        <w:trPr>
          <w:trHeight w:val="450"/>
        </w:trPr>
        <w:tc>
          <w:tcPr>
            <w:tcW w:w="1228" w:type="dxa"/>
            <w:tcBorders>
              <w:top w:val="nil"/>
              <w:left w:val="single" w:sz="8" w:space="0" w:color="auto"/>
              <w:bottom w:val="single" w:sz="4" w:space="0" w:color="auto"/>
              <w:right w:val="single" w:sz="4" w:space="0" w:color="auto"/>
            </w:tcBorders>
            <w:noWrap/>
            <w:vAlign w:val="bottom"/>
            <w:hideMark/>
          </w:tcPr>
          <w:p w14:paraId="7A9A9523"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614000</w:t>
            </w:r>
          </w:p>
        </w:tc>
        <w:tc>
          <w:tcPr>
            <w:tcW w:w="2215" w:type="dxa"/>
            <w:tcBorders>
              <w:top w:val="nil"/>
              <w:left w:val="nil"/>
              <w:bottom w:val="single" w:sz="4" w:space="0" w:color="auto"/>
              <w:right w:val="single" w:sz="4" w:space="0" w:color="auto"/>
            </w:tcBorders>
            <w:vAlign w:val="bottom"/>
            <w:hideMark/>
          </w:tcPr>
          <w:p w14:paraId="17584D30"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xml:space="preserve">Текући трансфери, </w:t>
            </w:r>
            <w:r w:rsidRPr="00EA0FD7">
              <w:rPr>
                <w:rFonts w:ascii="Arial" w:eastAsia="Times New Roman" w:hAnsi="Arial" w:cs="Arial"/>
                <w:sz w:val="17"/>
                <w:szCs w:val="17"/>
                <w:lang w:val="sr-Cyrl-RS"/>
              </w:rPr>
              <w:br/>
              <w:t>донације и субвенције</w:t>
            </w:r>
          </w:p>
        </w:tc>
        <w:tc>
          <w:tcPr>
            <w:tcW w:w="1425" w:type="dxa"/>
            <w:tcBorders>
              <w:top w:val="nil"/>
              <w:left w:val="nil"/>
              <w:bottom w:val="single" w:sz="4" w:space="0" w:color="auto"/>
              <w:right w:val="single" w:sz="4" w:space="0" w:color="auto"/>
            </w:tcBorders>
            <w:noWrap/>
            <w:vAlign w:val="bottom"/>
            <w:hideMark/>
          </w:tcPr>
          <w:p w14:paraId="3195EC73"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5F9CD297"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1E47CA64"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432C2882"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101AD653"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3F7AE684" w14:textId="77777777" w:rsidTr="00752F04">
        <w:trPr>
          <w:trHeight w:val="450"/>
        </w:trPr>
        <w:tc>
          <w:tcPr>
            <w:tcW w:w="1228" w:type="dxa"/>
            <w:tcBorders>
              <w:top w:val="nil"/>
              <w:left w:val="single" w:sz="8" w:space="0" w:color="auto"/>
              <w:bottom w:val="single" w:sz="4" w:space="0" w:color="auto"/>
              <w:right w:val="single" w:sz="4" w:space="0" w:color="auto"/>
            </w:tcBorders>
            <w:noWrap/>
            <w:vAlign w:val="bottom"/>
            <w:hideMark/>
          </w:tcPr>
          <w:p w14:paraId="500F721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615000</w:t>
            </w:r>
          </w:p>
        </w:tc>
        <w:tc>
          <w:tcPr>
            <w:tcW w:w="2215" w:type="dxa"/>
            <w:tcBorders>
              <w:top w:val="nil"/>
              <w:left w:val="nil"/>
              <w:bottom w:val="single" w:sz="4" w:space="0" w:color="auto"/>
              <w:right w:val="single" w:sz="4" w:space="0" w:color="auto"/>
            </w:tcBorders>
            <w:vAlign w:val="bottom"/>
            <w:hideMark/>
          </w:tcPr>
          <w:p w14:paraId="7B97A2C1"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Капитални трансфери и донације</w:t>
            </w:r>
          </w:p>
        </w:tc>
        <w:tc>
          <w:tcPr>
            <w:tcW w:w="1425" w:type="dxa"/>
            <w:tcBorders>
              <w:top w:val="nil"/>
              <w:left w:val="nil"/>
              <w:bottom w:val="single" w:sz="4" w:space="0" w:color="auto"/>
              <w:right w:val="single" w:sz="4" w:space="0" w:color="auto"/>
            </w:tcBorders>
            <w:noWrap/>
            <w:vAlign w:val="bottom"/>
            <w:hideMark/>
          </w:tcPr>
          <w:p w14:paraId="034BC93E"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0D73FE35"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35EBF0F4"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378785E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6527B5EB"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6B64A2F7" w14:textId="77777777" w:rsidTr="00752F04">
        <w:trPr>
          <w:trHeight w:val="255"/>
        </w:trPr>
        <w:tc>
          <w:tcPr>
            <w:tcW w:w="1228" w:type="dxa"/>
            <w:tcBorders>
              <w:top w:val="nil"/>
              <w:left w:val="single" w:sz="8" w:space="0" w:color="auto"/>
              <w:bottom w:val="single" w:sz="4" w:space="0" w:color="auto"/>
              <w:right w:val="single" w:sz="4" w:space="0" w:color="auto"/>
            </w:tcBorders>
            <w:noWrap/>
            <w:vAlign w:val="bottom"/>
            <w:hideMark/>
          </w:tcPr>
          <w:p w14:paraId="68EA303D"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616000</w:t>
            </w:r>
          </w:p>
        </w:tc>
        <w:tc>
          <w:tcPr>
            <w:tcW w:w="2215" w:type="dxa"/>
            <w:tcBorders>
              <w:top w:val="nil"/>
              <w:left w:val="nil"/>
              <w:bottom w:val="single" w:sz="4" w:space="0" w:color="auto"/>
              <w:right w:val="single" w:sz="4" w:space="0" w:color="auto"/>
            </w:tcBorders>
            <w:vAlign w:val="bottom"/>
            <w:hideMark/>
          </w:tcPr>
          <w:p w14:paraId="7B498FA4"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Расходи за камате</w:t>
            </w:r>
          </w:p>
        </w:tc>
        <w:tc>
          <w:tcPr>
            <w:tcW w:w="1425" w:type="dxa"/>
            <w:tcBorders>
              <w:top w:val="nil"/>
              <w:left w:val="nil"/>
              <w:bottom w:val="single" w:sz="4" w:space="0" w:color="auto"/>
              <w:right w:val="single" w:sz="4" w:space="0" w:color="auto"/>
            </w:tcBorders>
            <w:noWrap/>
            <w:vAlign w:val="bottom"/>
            <w:hideMark/>
          </w:tcPr>
          <w:p w14:paraId="50186D9B"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5431A3DB"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0F67EC84"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20E94345"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2FC67433"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6F12E03B" w14:textId="77777777" w:rsidTr="00752F04">
        <w:trPr>
          <w:trHeight w:val="450"/>
        </w:trPr>
        <w:tc>
          <w:tcPr>
            <w:tcW w:w="1228" w:type="dxa"/>
            <w:tcBorders>
              <w:top w:val="nil"/>
              <w:left w:val="single" w:sz="8" w:space="0" w:color="auto"/>
              <w:bottom w:val="single" w:sz="4" w:space="0" w:color="auto"/>
              <w:right w:val="single" w:sz="4" w:space="0" w:color="auto"/>
            </w:tcBorders>
            <w:noWrap/>
            <w:vAlign w:val="bottom"/>
            <w:hideMark/>
          </w:tcPr>
          <w:p w14:paraId="0ECCC0CA"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821000</w:t>
            </w:r>
          </w:p>
        </w:tc>
        <w:tc>
          <w:tcPr>
            <w:tcW w:w="2215" w:type="dxa"/>
            <w:tcBorders>
              <w:top w:val="nil"/>
              <w:left w:val="nil"/>
              <w:bottom w:val="single" w:sz="4" w:space="0" w:color="auto"/>
              <w:right w:val="single" w:sz="4" w:space="0" w:color="auto"/>
            </w:tcBorders>
            <w:vAlign w:val="bottom"/>
            <w:hideMark/>
          </w:tcPr>
          <w:p w14:paraId="600CBDF4"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xml:space="preserve">Издаци за набавку </w:t>
            </w:r>
            <w:r w:rsidRPr="00EA0FD7">
              <w:rPr>
                <w:rFonts w:ascii="Arial" w:eastAsia="Times New Roman" w:hAnsi="Arial" w:cs="Arial"/>
                <w:sz w:val="17"/>
                <w:szCs w:val="17"/>
                <w:lang w:val="sr-Cyrl-RS"/>
              </w:rPr>
              <w:br/>
              <w:t>сталних средстава</w:t>
            </w:r>
          </w:p>
        </w:tc>
        <w:tc>
          <w:tcPr>
            <w:tcW w:w="1425" w:type="dxa"/>
            <w:tcBorders>
              <w:top w:val="nil"/>
              <w:left w:val="nil"/>
              <w:bottom w:val="single" w:sz="4" w:space="0" w:color="auto"/>
              <w:right w:val="single" w:sz="4" w:space="0" w:color="auto"/>
            </w:tcBorders>
            <w:noWrap/>
            <w:vAlign w:val="bottom"/>
            <w:hideMark/>
          </w:tcPr>
          <w:p w14:paraId="63E018CC"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27243E2D"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100,000.00</w:t>
            </w:r>
          </w:p>
        </w:tc>
        <w:tc>
          <w:tcPr>
            <w:tcW w:w="1209" w:type="dxa"/>
            <w:tcBorders>
              <w:top w:val="nil"/>
              <w:left w:val="nil"/>
              <w:bottom w:val="single" w:sz="4" w:space="0" w:color="auto"/>
              <w:right w:val="single" w:sz="4" w:space="0" w:color="auto"/>
            </w:tcBorders>
            <w:noWrap/>
            <w:vAlign w:val="bottom"/>
            <w:hideMark/>
          </w:tcPr>
          <w:p w14:paraId="347205B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100,000.00</w:t>
            </w:r>
          </w:p>
        </w:tc>
        <w:tc>
          <w:tcPr>
            <w:tcW w:w="1209" w:type="dxa"/>
            <w:tcBorders>
              <w:top w:val="nil"/>
              <w:left w:val="nil"/>
              <w:bottom w:val="single" w:sz="4" w:space="0" w:color="auto"/>
              <w:right w:val="single" w:sz="4" w:space="0" w:color="auto"/>
            </w:tcBorders>
            <w:noWrap/>
            <w:vAlign w:val="bottom"/>
            <w:hideMark/>
          </w:tcPr>
          <w:p w14:paraId="1550F367"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100,000.00</w:t>
            </w:r>
          </w:p>
        </w:tc>
        <w:tc>
          <w:tcPr>
            <w:tcW w:w="1209" w:type="dxa"/>
            <w:tcBorders>
              <w:top w:val="nil"/>
              <w:left w:val="nil"/>
              <w:bottom w:val="single" w:sz="4" w:space="0" w:color="auto"/>
              <w:right w:val="single" w:sz="8" w:space="0" w:color="auto"/>
            </w:tcBorders>
            <w:noWrap/>
            <w:vAlign w:val="bottom"/>
            <w:hideMark/>
          </w:tcPr>
          <w:p w14:paraId="5D966E5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100,000.00</w:t>
            </w:r>
          </w:p>
        </w:tc>
      </w:tr>
      <w:tr w:rsidR="00752F04" w:rsidRPr="00EA0FD7" w14:paraId="75F0D047" w14:textId="77777777" w:rsidTr="00752F04">
        <w:trPr>
          <w:trHeight w:val="450"/>
        </w:trPr>
        <w:tc>
          <w:tcPr>
            <w:tcW w:w="1228" w:type="dxa"/>
            <w:tcBorders>
              <w:top w:val="nil"/>
              <w:left w:val="single" w:sz="8" w:space="0" w:color="auto"/>
              <w:bottom w:val="single" w:sz="4" w:space="0" w:color="auto"/>
              <w:right w:val="single" w:sz="4" w:space="0" w:color="auto"/>
            </w:tcBorders>
            <w:noWrap/>
            <w:vAlign w:val="bottom"/>
            <w:hideMark/>
          </w:tcPr>
          <w:p w14:paraId="42312A39"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822000</w:t>
            </w:r>
          </w:p>
        </w:tc>
        <w:tc>
          <w:tcPr>
            <w:tcW w:w="2215" w:type="dxa"/>
            <w:tcBorders>
              <w:top w:val="nil"/>
              <w:left w:val="nil"/>
              <w:bottom w:val="single" w:sz="4" w:space="0" w:color="auto"/>
              <w:right w:val="single" w:sz="4" w:space="0" w:color="auto"/>
            </w:tcBorders>
            <w:vAlign w:val="bottom"/>
            <w:hideMark/>
          </w:tcPr>
          <w:p w14:paraId="732DB109"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финансијску имовину</w:t>
            </w:r>
          </w:p>
        </w:tc>
        <w:tc>
          <w:tcPr>
            <w:tcW w:w="1425" w:type="dxa"/>
            <w:tcBorders>
              <w:top w:val="nil"/>
              <w:left w:val="nil"/>
              <w:bottom w:val="single" w:sz="4" w:space="0" w:color="auto"/>
              <w:right w:val="single" w:sz="4" w:space="0" w:color="auto"/>
            </w:tcBorders>
            <w:noWrap/>
            <w:vAlign w:val="bottom"/>
            <w:hideMark/>
          </w:tcPr>
          <w:p w14:paraId="3AED886D"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459795A3"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63547876"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3A9E367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629B2BEB"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30A3285E" w14:textId="77777777" w:rsidTr="00752F04">
        <w:trPr>
          <w:trHeight w:val="270"/>
        </w:trPr>
        <w:tc>
          <w:tcPr>
            <w:tcW w:w="1228" w:type="dxa"/>
            <w:tcBorders>
              <w:top w:val="nil"/>
              <w:left w:val="single" w:sz="8" w:space="0" w:color="auto"/>
              <w:bottom w:val="nil"/>
              <w:right w:val="single" w:sz="4" w:space="0" w:color="auto"/>
            </w:tcBorders>
            <w:noWrap/>
            <w:vAlign w:val="bottom"/>
            <w:hideMark/>
          </w:tcPr>
          <w:p w14:paraId="327321F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823000</w:t>
            </w:r>
          </w:p>
        </w:tc>
        <w:tc>
          <w:tcPr>
            <w:tcW w:w="2215" w:type="dxa"/>
            <w:tcBorders>
              <w:top w:val="nil"/>
              <w:left w:val="nil"/>
              <w:bottom w:val="nil"/>
              <w:right w:val="single" w:sz="4" w:space="0" w:color="auto"/>
            </w:tcBorders>
            <w:vAlign w:val="bottom"/>
            <w:hideMark/>
          </w:tcPr>
          <w:p w14:paraId="05E9CEA1"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Издаци за отплате дугова</w:t>
            </w:r>
          </w:p>
        </w:tc>
        <w:tc>
          <w:tcPr>
            <w:tcW w:w="1425" w:type="dxa"/>
            <w:tcBorders>
              <w:top w:val="nil"/>
              <w:left w:val="nil"/>
              <w:bottom w:val="single" w:sz="4" w:space="0" w:color="auto"/>
              <w:right w:val="single" w:sz="4" w:space="0" w:color="auto"/>
            </w:tcBorders>
            <w:noWrap/>
            <w:vAlign w:val="bottom"/>
            <w:hideMark/>
          </w:tcPr>
          <w:p w14:paraId="75A8B32D"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63EECA7E"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5ADB3B6F"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2783EE3D"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0B5756A1"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420E05E3" w14:textId="77777777" w:rsidTr="00752F04">
        <w:trPr>
          <w:trHeight w:val="270"/>
        </w:trPr>
        <w:tc>
          <w:tcPr>
            <w:tcW w:w="1228" w:type="dxa"/>
            <w:tcBorders>
              <w:top w:val="single" w:sz="8" w:space="0" w:color="auto"/>
              <w:left w:val="single" w:sz="8" w:space="0" w:color="auto"/>
              <w:bottom w:val="single" w:sz="8" w:space="0" w:color="auto"/>
              <w:right w:val="single" w:sz="4" w:space="0" w:color="auto"/>
            </w:tcBorders>
            <w:noWrap/>
            <w:vAlign w:val="bottom"/>
            <w:hideMark/>
          </w:tcPr>
          <w:p w14:paraId="7E507BBB" w14:textId="77777777" w:rsidR="00752F04" w:rsidRPr="00EA0FD7" w:rsidRDefault="00752F04" w:rsidP="00752F04">
            <w:pPr>
              <w:spacing w:after="0" w:line="240" w:lineRule="auto"/>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 </w:t>
            </w:r>
          </w:p>
        </w:tc>
        <w:tc>
          <w:tcPr>
            <w:tcW w:w="2215" w:type="dxa"/>
            <w:tcBorders>
              <w:top w:val="single" w:sz="8" w:space="0" w:color="auto"/>
              <w:left w:val="nil"/>
              <w:bottom w:val="single" w:sz="8" w:space="0" w:color="auto"/>
              <w:right w:val="single" w:sz="4" w:space="0" w:color="auto"/>
            </w:tcBorders>
            <w:noWrap/>
            <w:vAlign w:val="bottom"/>
            <w:hideMark/>
          </w:tcPr>
          <w:p w14:paraId="70A7B01D" w14:textId="77777777" w:rsidR="00752F04" w:rsidRPr="00EA0FD7" w:rsidRDefault="00752F04" w:rsidP="00752F04">
            <w:pPr>
              <w:spacing w:after="0" w:line="240" w:lineRule="auto"/>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Укупни расходи</w:t>
            </w:r>
          </w:p>
        </w:tc>
        <w:tc>
          <w:tcPr>
            <w:tcW w:w="1425" w:type="dxa"/>
            <w:tcBorders>
              <w:top w:val="single" w:sz="8" w:space="0" w:color="auto"/>
              <w:left w:val="nil"/>
              <w:bottom w:val="single" w:sz="8" w:space="0" w:color="auto"/>
              <w:right w:val="single" w:sz="4" w:space="0" w:color="auto"/>
            </w:tcBorders>
            <w:noWrap/>
            <w:vAlign w:val="bottom"/>
            <w:hideMark/>
          </w:tcPr>
          <w:p w14:paraId="6C1C3A0D"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121,181.00</w:t>
            </w:r>
          </w:p>
        </w:tc>
        <w:tc>
          <w:tcPr>
            <w:tcW w:w="1447" w:type="dxa"/>
            <w:tcBorders>
              <w:top w:val="single" w:sz="8" w:space="0" w:color="auto"/>
              <w:left w:val="nil"/>
              <w:bottom w:val="single" w:sz="8" w:space="0" w:color="auto"/>
              <w:right w:val="single" w:sz="4" w:space="0" w:color="auto"/>
            </w:tcBorders>
            <w:noWrap/>
            <w:vAlign w:val="bottom"/>
            <w:hideMark/>
          </w:tcPr>
          <w:p w14:paraId="11EBE5C2"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1,039,920.00</w:t>
            </w:r>
          </w:p>
        </w:tc>
        <w:tc>
          <w:tcPr>
            <w:tcW w:w="1209" w:type="dxa"/>
            <w:tcBorders>
              <w:top w:val="single" w:sz="8" w:space="0" w:color="auto"/>
              <w:left w:val="nil"/>
              <w:bottom w:val="single" w:sz="8" w:space="0" w:color="auto"/>
              <w:right w:val="single" w:sz="4" w:space="0" w:color="auto"/>
            </w:tcBorders>
            <w:noWrap/>
            <w:vAlign w:val="bottom"/>
            <w:hideMark/>
          </w:tcPr>
          <w:p w14:paraId="21D9FFA5"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1,039,920.00</w:t>
            </w:r>
          </w:p>
        </w:tc>
        <w:tc>
          <w:tcPr>
            <w:tcW w:w="1209" w:type="dxa"/>
            <w:tcBorders>
              <w:top w:val="single" w:sz="8" w:space="0" w:color="auto"/>
              <w:left w:val="nil"/>
              <w:bottom w:val="single" w:sz="8" w:space="0" w:color="auto"/>
              <w:right w:val="single" w:sz="4" w:space="0" w:color="auto"/>
            </w:tcBorders>
            <w:noWrap/>
            <w:vAlign w:val="bottom"/>
            <w:hideMark/>
          </w:tcPr>
          <w:p w14:paraId="43313150"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1,039,920.00</w:t>
            </w:r>
          </w:p>
        </w:tc>
        <w:tc>
          <w:tcPr>
            <w:tcW w:w="1209" w:type="dxa"/>
            <w:tcBorders>
              <w:top w:val="single" w:sz="8" w:space="0" w:color="auto"/>
              <w:left w:val="nil"/>
              <w:bottom w:val="single" w:sz="8" w:space="0" w:color="auto"/>
              <w:right w:val="single" w:sz="8" w:space="0" w:color="auto"/>
            </w:tcBorders>
            <w:noWrap/>
            <w:vAlign w:val="bottom"/>
            <w:hideMark/>
          </w:tcPr>
          <w:p w14:paraId="513D91C5"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1,039,920.00</w:t>
            </w:r>
          </w:p>
        </w:tc>
      </w:tr>
      <w:tr w:rsidR="00752F04" w:rsidRPr="00EA0FD7" w14:paraId="61AF160A" w14:textId="77777777" w:rsidTr="00752F04">
        <w:trPr>
          <w:trHeight w:val="270"/>
        </w:trPr>
        <w:tc>
          <w:tcPr>
            <w:tcW w:w="9942" w:type="dxa"/>
            <w:gridSpan w:val="7"/>
            <w:tcBorders>
              <w:top w:val="single" w:sz="8" w:space="0" w:color="auto"/>
              <w:left w:val="nil"/>
              <w:bottom w:val="single" w:sz="8" w:space="0" w:color="auto"/>
              <w:right w:val="nil"/>
            </w:tcBorders>
            <w:noWrap/>
            <w:vAlign w:val="bottom"/>
            <w:hideMark/>
          </w:tcPr>
          <w:p w14:paraId="2F04AEB5"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752F04" w:rsidRPr="00EA0FD7" w14:paraId="341D9133" w14:textId="77777777" w:rsidTr="00752F04">
        <w:trPr>
          <w:trHeight w:val="270"/>
        </w:trPr>
        <w:tc>
          <w:tcPr>
            <w:tcW w:w="1228" w:type="dxa"/>
            <w:tcBorders>
              <w:top w:val="nil"/>
              <w:left w:val="single" w:sz="8" w:space="0" w:color="auto"/>
              <w:bottom w:val="single" w:sz="8" w:space="0" w:color="auto"/>
              <w:right w:val="single" w:sz="4" w:space="0" w:color="auto"/>
            </w:tcBorders>
            <w:noWrap/>
            <w:vAlign w:val="bottom"/>
            <w:hideMark/>
          </w:tcPr>
          <w:p w14:paraId="14ED77FE"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215" w:type="dxa"/>
            <w:tcBorders>
              <w:top w:val="nil"/>
              <w:left w:val="nil"/>
              <w:bottom w:val="single" w:sz="8" w:space="0" w:color="auto"/>
              <w:right w:val="single" w:sz="4" w:space="0" w:color="auto"/>
            </w:tcBorders>
            <w:noWrap/>
            <w:vAlign w:val="bottom"/>
            <w:hideMark/>
          </w:tcPr>
          <w:p w14:paraId="75211680"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БРОЈ ЗАПОСЛЕНИХ</w:t>
            </w:r>
          </w:p>
        </w:tc>
        <w:tc>
          <w:tcPr>
            <w:tcW w:w="1425" w:type="dxa"/>
            <w:tcBorders>
              <w:top w:val="nil"/>
              <w:left w:val="nil"/>
              <w:bottom w:val="single" w:sz="8" w:space="0" w:color="auto"/>
              <w:right w:val="single" w:sz="4" w:space="0" w:color="auto"/>
            </w:tcBorders>
            <w:noWrap/>
            <w:vAlign w:val="bottom"/>
            <w:hideMark/>
          </w:tcPr>
          <w:p w14:paraId="1169146E"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21</w:t>
            </w:r>
          </w:p>
        </w:tc>
        <w:tc>
          <w:tcPr>
            <w:tcW w:w="1447" w:type="dxa"/>
            <w:tcBorders>
              <w:top w:val="nil"/>
              <w:left w:val="nil"/>
              <w:bottom w:val="single" w:sz="8" w:space="0" w:color="auto"/>
              <w:right w:val="single" w:sz="4" w:space="0" w:color="auto"/>
            </w:tcBorders>
            <w:noWrap/>
            <w:vAlign w:val="bottom"/>
            <w:hideMark/>
          </w:tcPr>
          <w:p w14:paraId="0741710B"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w:t>
            </w:r>
          </w:p>
        </w:tc>
        <w:tc>
          <w:tcPr>
            <w:tcW w:w="1209" w:type="dxa"/>
            <w:tcBorders>
              <w:top w:val="nil"/>
              <w:left w:val="nil"/>
              <w:bottom w:val="single" w:sz="8" w:space="0" w:color="auto"/>
              <w:right w:val="single" w:sz="4" w:space="0" w:color="auto"/>
            </w:tcBorders>
            <w:noWrap/>
            <w:vAlign w:val="bottom"/>
            <w:hideMark/>
          </w:tcPr>
          <w:p w14:paraId="749A657F"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w:t>
            </w:r>
          </w:p>
        </w:tc>
        <w:tc>
          <w:tcPr>
            <w:tcW w:w="1209" w:type="dxa"/>
            <w:tcBorders>
              <w:top w:val="nil"/>
              <w:left w:val="nil"/>
              <w:bottom w:val="single" w:sz="8" w:space="0" w:color="auto"/>
              <w:right w:val="single" w:sz="4" w:space="0" w:color="auto"/>
            </w:tcBorders>
            <w:noWrap/>
            <w:vAlign w:val="bottom"/>
            <w:hideMark/>
          </w:tcPr>
          <w:p w14:paraId="6234A34F"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w:t>
            </w:r>
          </w:p>
        </w:tc>
        <w:tc>
          <w:tcPr>
            <w:tcW w:w="1209" w:type="dxa"/>
            <w:tcBorders>
              <w:top w:val="nil"/>
              <w:left w:val="nil"/>
              <w:bottom w:val="single" w:sz="8" w:space="0" w:color="auto"/>
              <w:right w:val="single" w:sz="8" w:space="0" w:color="auto"/>
            </w:tcBorders>
            <w:noWrap/>
            <w:vAlign w:val="bottom"/>
            <w:hideMark/>
          </w:tcPr>
          <w:p w14:paraId="1869F660" w14:textId="77777777" w:rsidR="00752F04" w:rsidRPr="00EA0FD7" w:rsidRDefault="00752F04" w:rsidP="00752F04">
            <w:pPr>
              <w:spacing w:after="0" w:line="240" w:lineRule="auto"/>
              <w:jc w:val="right"/>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26</w:t>
            </w:r>
          </w:p>
        </w:tc>
      </w:tr>
    </w:tbl>
    <w:p w14:paraId="43BFF005"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3567CEAD"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357AED96"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47F97439"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47EC9BA7"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tbl>
      <w:tblPr>
        <w:tblpPr w:leftFromText="180" w:rightFromText="180" w:vertAnchor="text" w:horzAnchor="margin" w:tblpY="-836"/>
        <w:tblW w:w="9942" w:type="dxa"/>
        <w:tblLook w:val="04A0" w:firstRow="1" w:lastRow="0" w:firstColumn="1" w:lastColumn="0" w:noHBand="0" w:noVBand="1"/>
      </w:tblPr>
      <w:tblGrid>
        <w:gridCol w:w="1228"/>
        <w:gridCol w:w="2215"/>
        <w:gridCol w:w="1425"/>
        <w:gridCol w:w="1447"/>
        <w:gridCol w:w="1209"/>
        <w:gridCol w:w="1209"/>
        <w:gridCol w:w="1209"/>
      </w:tblGrid>
      <w:tr w:rsidR="00752F04" w:rsidRPr="00EA0FD7" w14:paraId="2AC79323" w14:textId="77777777" w:rsidTr="00752F04">
        <w:trPr>
          <w:trHeight w:val="450"/>
        </w:trPr>
        <w:tc>
          <w:tcPr>
            <w:tcW w:w="9942" w:type="dxa"/>
            <w:gridSpan w:val="7"/>
            <w:vMerge w:val="restart"/>
            <w:tcBorders>
              <w:top w:val="nil"/>
              <w:left w:val="nil"/>
              <w:bottom w:val="single" w:sz="8" w:space="0" w:color="000000"/>
              <w:right w:val="nil"/>
            </w:tcBorders>
            <w:vAlign w:val="bottom"/>
            <w:hideMark/>
          </w:tcPr>
          <w:p w14:paraId="24FA20C3" w14:textId="4C5BA51C"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lastRenderedPageBreak/>
              <w:t>Табела 4.13.</w:t>
            </w:r>
            <w:r w:rsidRPr="00EA0FD7">
              <w:rPr>
                <w:rFonts w:ascii="Arial" w:eastAsia="Times New Roman" w:hAnsi="Arial" w:cs="Arial"/>
                <w:sz w:val="18"/>
                <w:szCs w:val="18"/>
                <w:lang w:val="sr-Cyrl-RS"/>
              </w:rPr>
              <w:t xml:space="preserve"> Финансијски план расхода Радио</w:t>
            </w:r>
            <w:r>
              <w:rPr>
                <w:rFonts w:ascii="Arial" w:eastAsia="Times New Roman" w:hAnsi="Arial" w:cs="Arial"/>
                <w:sz w:val="18"/>
                <w:szCs w:val="18"/>
                <w:lang w:val="sr-Cyrl-RS"/>
              </w:rPr>
              <w:t>-</w:t>
            </w:r>
            <w:r w:rsidRPr="00EA0FD7">
              <w:rPr>
                <w:rFonts w:ascii="Arial" w:eastAsia="Times New Roman" w:hAnsi="Arial" w:cs="Arial"/>
                <w:sz w:val="18"/>
                <w:szCs w:val="18"/>
                <w:lang w:val="sr-Cyrl-RS"/>
              </w:rPr>
              <w:t xml:space="preserve">новинске и издавачке установе </w:t>
            </w:r>
            <w:r>
              <w:rPr>
                <w:rFonts w:ascii="Arial" w:eastAsia="Times New Roman" w:hAnsi="Arial" w:cs="Arial"/>
                <w:sz w:val="18"/>
                <w:szCs w:val="18"/>
                <w:lang w:val="sr-Cyrl-RS"/>
              </w:rPr>
              <w:t>„</w:t>
            </w:r>
            <w:r w:rsidRPr="00EA0FD7">
              <w:rPr>
                <w:rFonts w:ascii="Arial" w:eastAsia="Times New Roman" w:hAnsi="Arial" w:cs="Arial"/>
                <w:sz w:val="18"/>
                <w:szCs w:val="18"/>
                <w:lang w:val="sr-Cyrl-RS"/>
              </w:rPr>
              <w:t>Радио Брчко</w:t>
            </w:r>
            <w:r>
              <w:rPr>
                <w:rFonts w:ascii="Arial" w:eastAsia="Times New Roman" w:hAnsi="Arial" w:cs="Arial"/>
                <w:sz w:val="18"/>
                <w:szCs w:val="18"/>
                <w:lang w:val="sr-Cyrl-RS"/>
              </w:rPr>
              <w:t xml:space="preserve">“ </w:t>
            </w:r>
            <w:r w:rsidRPr="00EA0FD7">
              <w:rPr>
                <w:rFonts w:ascii="Arial" w:eastAsia="Times New Roman" w:hAnsi="Arial" w:cs="Arial"/>
                <w:sz w:val="18"/>
                <w:szCs w:val="18"/>
                <w:lang w:val="sr-Cyrl-RS"/>
              </w:rPr>
              <w:t>Брчко дистрикта БиХ 2023</w:t>
            </w:r>
            <w:r>
              <w:rPr>
                <w:rFonts w:ascii="Arial" w:eastAsia="Times New Roman" w:hAnsi="Arial" w:cs="Arial"/>
                <w:sz w:val="18"/>
                <w:szCs w:val="18"/>
                <w:lang w:val="sr-Cyrl-RS"/>
              </w:rPr>
              <w:t>–</w:t>
            </w:r>
            <w:r w:rsidRPr="00EA0FD7">
              <w:rPr>
                <w:rFonts w:ascii="Arial" w:eastAsia="Times New Roman" w:hAnsi="Arial" w:cs="Arial"/>
                <w:sz w:val="18"/>
                <w:szCs w:val="18"/>
                <w:lang w:val="sr-Cyrl-RS"/>
              </w:rPr>
              <w:t xml:space="preserve">2025. године (по извору финансирања) </w:t>
            </w:r>
          </w:p>
        </w:tc>
      </w:tr>
      <w:tr w:rsidR="00752F04" w:rsidRPr="00EA0FD7" w14:paraId="37902986" w14:textId="77777777" w:rsidTr="00752F04">
        <w:trPr>
          <w:trHeight w:val="450"/>
        </w:trPr>
        <w:tc>
          <w:tcPr>
            <w:tcW w:w="0" w:type="auto"/>
            <w:gridSpan w:val="7"/>
            <w:vMerge/>
            <w:tcBorders>
              <w:top w:val="nil"/>
              <w:left w:val="nil"/>
              <w:bottom w:val="single" w:sz="8" w:space="0" w:color="000000"/>
              <w:right w:val="nil"/>
            </w:tcBorders>
            <w:vAlign w:val="center"/>
            <w:hideMark/>
          </w:tcPr>
          <w:p w14:paraId="45646554" w14:textId="77777777" w:rsidR="00752F04" w:rsidRPr="00EA0FD7" w:rsidRDefault="00752F04" w:rsidP="00752F04">
            <w:pPr>
              <w:spacing w:after="0" w:line="240" w:lineRule="auto"/>
              <w:rPr>
                <w:rFonts w:ascii="Arial" w:eastAsia="Times New Roman" w:hAnsi="Arial" w:cs="Arial"/>
                <w:b/>
                <w:bCs/>
                <w:sz w:val="18"/>
                <w:szCs w:val="18"/>
                <w:lang w:val="sr-Cyrl-RS"/>
              </w:rPr>
            </w:pPr>
          </w:p>
        </w:tc>
      </w:tr>
      <w:tr w:rsidR="00752F04" w:rsidRPr="00EA0FD7" w14:paraId="626374DB" w14:textId="77777777" w:rsidTr="00752F04">
        <w:trPr>
          <w:trHeight w:val="270"/>
        </w:trPr>
        <w:tc>
          <w:tcPr>
            <w:tcW w:w="1228" w:type="dxa"/>
            <w:vMerge w:val="restart"/>
            <w:tcBorders>
              <w:top w:val="nil"/>
              <w:left w:val="single" w:sz="8" w:space="0" w:color="auto"/>
              <w:bottom w:val="single" w:sz="8" w:space="0" w:color="000000"/>
              <w:right w:val="single" w:sz="8" w:space="0" w:color="auto"/>
            </w:tcBorders>
            <w:shd w:val="pct25" w:color="auto" w:fill="CCFFCC"/>
            <w:vAlign w:val="center"/>
            <w:hideMark/>
          </w:tcPr>
          <w:p w14:paraId="3095C3A3"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215" w:type="dxa"/>
            <w:vMerge w:val="restart"/>
            <w:tcBorders>
              <w:top w:val="nil"/>
              <w:left w:val="single" w:sz="8" w:space="0" w:color="auto"/>
              <w:bottom w:val="single" w:sz="8" w:space="0" w:color="000000"/>
              <w:right w:val="single" w:sz="8" w:space="0" w:color="auto"/>
            </w:tcBorders>
            <w:shd w:val="pct25" w:color="auto" w:fill="CCFFCC"/>
            <w:vAlign w:val="center"/>
            <w:hideMark/>
          </w:tcPr>
          <w:p w14:paraId="7C7F0267"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ИЗВОР ФИНАНСИРАЊА</w:t>
            </w:r>
          </w:p>
        </w:tc>
        <w:tc>
          <w:tcPr>
            <w:tcW w:w="1425" w:type="dxa"/>
            <w:vMerge w:val="restart"/>
            <w:tcBorders>
              <w:top w:val="nil"/>
              <w:left w:val="single" w:sz="8" w:space="0" w:color="auto"/>
              <w:bottom w:val="single" w:sz="8" w:space="0" w:color="000000"/>
              <w:right w:val="single" w:sz="8" w:space="0" w:color="auto"/>
            </w:tcBorders>
            <w:shd w:val="pct25" w:color="auto" w:fill="CCFFCC"/>
            <w:vAlign w:val="center"/>
            <w:hideMark/>
          </w:tcPr>
          <w:p w14:paraId="2F8C207B"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xml:space="preserve">Извршење </w:t>
            </w:r>
            <w:r w:rsidRPr="00EA0FD7">
              <w:rPr>
                <w:rFonts w:ascii="Arial" w:eastAsia="Times New Roman" w:hAnsi="Arial" w:cs="Arial"/>
                <w:b/>
                <w:bCs/>
                <w:sz w:val="18"/>
                <w:szCs w:val="18"/>
                <w:lang w:val="sr-Cyrl-RS"/>
              </w:rPr>
              <w:br/>
              <w:t>2021.</w:t>
            </w:r>
          </w:p>
        </w:tc>
        <w:tc>
          <w:tcPr>
            <w:tcW w:w="1447" w:type="dxa"/>
            <w:vMerge w:val="restart"/>
            <w:tcBorders>
              <w:top w:val="nil"/>
              <w:left w:val="single" w:sz="8" w:space="0" w:color="auto"/>
              <w:bottom w:val="single" w:sz="8" w:space="0" w:color="000000"/>
              <w:right w:val="single" w:sz="8" w:space="0" w:color="auto"/>
            </w:tcBorders>
            <w:shd w:val="pct25" w:color="auto" w:fill="CCFFCC"/>
            <w:vAlign w:val="center"/>
            <w:hideMark/>
          </w:tcPr>
          <w:p w14:paraId="2DC6DA4A"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Финансијски план</w:t>
            </w:r>
            <w:r w:rsidRPr="00EA0FD7">
              <w:rPr>
                <w:rFonts w:ascii="Arial" w:eastAsia="Times New Roman" w:hAnsi="Arial" w:cs="Arial"/>
                <w:b/>
                <w:bCs/>
                <w:sz w:val="18"/>
                <w:szCs w:val="18"/>
                <w:lang w:val="sr-Cyrl-RS"/>
              </w:rPr>
              <w:br/>
              <w:t>2022.</w:t>
            </w:r>
          </w:p>
        </w:tc>
        <w:tc>
          <w:tcPr>
            <w:tcW w:w="3627" w:type="dxa"/>
            <w:gridSpan w:val="3"/>
            <w:tcBorders>
              <w:top w:val="single" w:sz="8" w:space="0" w:color="auto"/>
              <w:left w:val="nil"/>
              <w:bottom w:val="single" w:sz="8" w:space="0" w:color="auto"/>
              <w:right w:val="single" w:sz="8" w:space="0" w:color="000000"/>
            </w:tcBorders>
            <w:shd w:val="pct25" w:color="auto" w:fill="CCFFCC"/>
            <w:noWrap/>
            <w:vAlign w:val="center"/>
            <w:hideMark/>
          </w:tcPr>
          <w:p w14:paraId="40B106EC" w14:textId="77777777"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Процјена</w:t>
            </w:r>
          </w:p>
        </w:tc>
      </w:tr>
      <w:tr w:rsidR="00752F04" w:rsidRPr="00EA0FD7" w14:paraId="0FF0AECB" w14:textId="77777777" w:rsidTr="00752F04">
        <w:trPr>
          <w:trHeight w:val="450"/>
        </w:trPr>
        <w:tc>
          <w:tcPr>
            <w:tcW w:w="0" w:type="auto"/>
            <w:vMerge/>
            <w:tcBorders>
              <w:top w:val="nil"/>
              <w:left w:val="single" w:sz="8" w:space="0" w:color="auto"/>
              <w:bottom w:val="single" w:sz="8" w:space="0" w:color="000000"/>
              <w:right w:val="single" w:sz="8" w:space="0" w:color="auto"/>
            </w:tcBorders>
            <w:vAlign w:val="center"/>
            <w:hideMark/>
          </w:tcPr>
          <w:p w14:paraId="1C86EFB2"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7FA635FC"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2671F8D6"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7D63FFFB" w14:textId="77777777" w:rsidR="00752F04" w:rsidRPr="00EA0FD7" w:rsidRDefault="00752F04" w:rsidP="00752F04">
            <w:pPr>
              <w:spacing w:after="0" w:line="240" w:lineRule="auto"/>
              <w:rPr>
                <w:rFonts w:ascii="Arial" w:eastAsia="Times New Roman" w:hAnsi="Arial" w:cs="Arial"/>
                <w:b/>
                <w:bCs/>
                <w:sz w:val="18"/>
                <w:szCs w:val="18"/>
                <w:lang w:val="sr-Cyrl-RS"/>
              </w:rPr>
            </w:pPr>
          </w:p>
        </w:tc>
        <w:tc>
          <w:tcPr>
            <w:tcW w:w="1209" w:type="dxa"/>
            <w:tcBorders>
              <w:top w:val="nil"/>
              <w:left w:val="nil"/>
              <w:bottom w:val="single" w:sz="8" w:space="0" w:color="auto"/>
              <w:right w:val="single" w:sz="4" w:space="0" w:color="auto"/>
            </w:tcBorders>
            <w:shd w:val="pct25" w:color="auto" w:fill="CCFFCC"/>
            <w:noWrap/>
            <w:vAlign w:val="center"/>
            <w:hideMark/>
          </w:tcPr>
          <w:p w14:paraId="00604303" w14:textId="72DA0A1F"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2023</w:t>
            </w:r>
            <w:r>
              <w:rPr>
                <w:rFonts w:ascii="Arial" w:eastAsia="Times New Roman" w:hAnsi="Arial" w:cs="Arial"/>
                <w:b/>
                <w:bCs/>
                <w:sz w:val="18"/>
                <w:szCs w:val="18"/>
                <w:lang w:val="sr-Cyrl-RS"/>
              </w:rPr>
              <w:t>.</w:t>
            </w:r>
          </w:p>
        </w:tc>
        <w:tc>
          <w:tcPr>
            <w:tcW w:w="1209" w:type="dxa"/>
            <w:tcBorders>
              <w:top w:val="nil"/>
              <w:left w:val="nil"/>
              <w:bottom w:val="single" w:sz="8" w:space="0" w:color="auto"/>
              <w:right w:val="single" w:sz="4" w:space="0" w:color="auto"/>
            </w:tcBorders>
            <w:shd w:val="pct25" w:color="auto" w:fill="CCFFCC"/>
            <w:noWrap/>
            <w:vAlign w:val="center"/>
            <w:hideMark/>
          </w:tcPr>
          <w:p w14:paraId="07F78344" w14:textId="31C33721"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2024</w:t>
            </w:r>
            <w:r>
              <w:rPr>
                <w:rFonts w:ascii="Arial" w:eastAsia="Times New Roman" w:hAnsi="Arial" w:cs="Arial"/>
                <w:b/>
                <w:bCs/>
                <w:sz w:val="18"/>
                <w:szCs w:val="18"/>
                <w:lang w:val="sr-Cyrl-RS"/>
              </w:rPr>
              <w:t>.</w:t>
            </w:r>
          </w:p>
        </w:tc>
        <w:tc>
          <w:tcPr>
            <w:tcW w:w="1209" w:type="dxa"/>
            <w:tcBorders>
              <w:top w:val="nil"/>
              <w:left w:val="nil"/>
              <w:bottom w:val="single" w:sz="8" w:space="0" w:color="auto"/>
              <w:right w:val="single" w:sz="8" w:space="0" w:color="auto"/>
            </w:tcBorders>
            <w:shd w:val="pct25" w:color="auto" w:fill="CCFFCC"/>
            <w:noWrap/>
            <w:vAlign w:val="center"/>
            <w:hideMark/>
          </w:tcPr>
          <w:p w14:paraId="3D736B85" w14:textId="2926CE2C" w:rsidR="00752F04" w:rsidRPr="00EA0FD7" w:rsidRDefault="00752F04" w:rsidP="00752F04">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2025</w:t>
            </w:r>
            <w:r>
              <w:rPr>
                <w:rFonts w:ascii="Arial" w:eastAsia="Times New Roman" w:hAnsi="Arial" w:cs="Arial"/>
                <w:b/>
                <w:bCs/>
                <w:sz w:val="18"/>
                <w:szCs w:val="18"/>
                <w:lang w:val="sr-Cyrl-RS"/>
              </w:rPr>
              <w:t>.</w:t>
            </w:r>
          </w:p>
        </w:tc>
      </w:tr>
      <w:tr w:rsidR="00752F04" w:rsidRPr="00EA0FD7" w14:paraId="1F9A2EB0" w14:textId="77777777" w:rsidTr="00752F04">
        <w:trPr>
          <w:trHeight w:val="270"/>
        </w:trPr>
        <w:tc>
          <w:tcPr>
            <w:tcW w:w="1228" w:type="dxa"/>
            <w:tcBorders>
              <w:top w:val="nil"/>
              <w:left w:val="single" w:sz="8" w:space="0" w:color="auto"/>
              <w:bottom w:val="single" w:sz="8" w:space="0" w:color="auto"/>
              <w:right w:val="single" w:sz="4" w:space="0" w:color="auto"/>
            </w:tcBorders>
            <w:noWrap/>
            <w:vAlign w:val="bottom"/>
            <w:hideMark/>
          </w:tcPr>
          <w:p w14:paraId="1F6E5201"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2215" w:type="dxa"/>
            <w:tcBorders>
              <w:top w:val="nil"/>
              <w:left w:val="nil"/>
              <w:bottom w:val="single" w:sz="8" w:space="0" w:color="auto"/>
              <w:right w:val="single" w:sz="4" w:space="0" w:color="auto"/>
            </w:tcBorders>
            <w:noWrap/>
            <w:vAlign w:val="bottom"/>
            <w:hideMark/>
          </w:tcPr>
          <w:p w14:paraId="664CA2F0"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w:t>
            </w:r>
          </w:p>
        </w:tc>
        <w:tc>
          <w:tcPr>
            <w:tcW w:w="1425" w:type="dxa"/>
            <w:tcBorders>
              <w:top w:val="nil"/>
              <w:left w:val="nil"/>
              <w:bottom w:val="single" w:sz="8" w:space="0" w:color="auto"/>
              <w:right w:val="single" w:sz="4" w:space="0" w:color="auto"/>
            </w:tcBorders>
            <w:noWrap/>
            <w:vAlign w:val="bottom"/>
            <w:hideMark/>
          </w:tcPr>
          <w:p w14:paraId="2513C255"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447" w:type="dxa"/>
            <w:tcBorders>
              <w:top w:val="nil"/>
              <w:left w:val="nil"/>
              <w:bottom w:val="single" w:sz="8" w:space="0" w:color="auto"/>
              <w:right w:val="single" w:sz="4" w:space="0" w:color="auto"/>
            </w:tcBorders>
            <w:noWrap/>
            <w:vAlign w:val="bottom"/>
            <w:hideMark/>
          </w:tcPr>
          <w:p w14:paraId="0212F500"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4" w:space="0" w:color="auto"/>
            </w:tcBorders>
            <w:noWrap/>
            <w:vAlign w:val="bottom"/>
            <w:hideMark/>
          </w:tcPr>
          <w:p w14:paraId="2C4DA45E"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4" w:space="0" w:color="auto"/>
            </w:tcBorders>
            <w:noWrap/>
            <w:vAlign w:val="bottom"/>
            <w:hideMark/>
          </w:tcPr>
          <w:p w14:paraId="39A779CD"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209" w:type="dxa"/>
            <w:tcBorders>
              <w:top w:val="nil"/>
              <w:left w:val="nil"/>
              <w:bottom w:val="single" w:sz="8" w:space="0" w:color="auto"/>
              <w:right w:val="single" w:sz="8" w:space="0" w:color="auto"/>
            </w:tcBorders>
            <w:noWrap/>
            <w:vAlign w:val="bottom"/>
            <w:hideMark/>
          </w:tcPr>
          <w:p w14:paraId="68F87B2C" w14:textId="77777777" w:rsidR="00752F04" w:rsidRPr="00EA0FD7" w:rsidRDefault="00752F04" w:rsidP="00752F04">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752F04" w:rsidRPr="00EA0FD7" w14:paraId="7BF50788" w14:textId="77777777" w:rsidTr="00752F04">
        <w:trPr>
          <w:trHeight w:val="450"/>
        </w:trPr>
        <w:tc>
          <w:tcPr>
            <w:tcW w:w="1228" w:type="dxa"/>
            <w:tcBorders>
              <w:top w:val="nil"/>
              <w:left w:val="single" w:sz="8" w:space="0" w:color="auto"/>
              <w:bottom w:val="single" w:sz="4" w:space="0" w:color="auto"/>
              <w:right w:val="single" w:sz="4" w:space="0" w:color="auto"/>
            </w:tcBorders>
            <w:noWrap/>
            <w:vAlign w:val="bottom"/>
            <w:hideMark/>
          </w:tcPr>
          <w:p w14:paraId="78FDD865"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215" w:type="dxa"/>
            <w:tcBorders>
              <w:top w:val="nil"/>
              <w:left w:val="nil"/>
              <w:bottom w:val="single" w:sz="4" w:space="0" w:color="auto"/>
              <w:right w:val="single" w:sz="4" w:space="0" w:color="auto"/>
            </w:tcBorders>
            <w:vAlign w:val="bottom"/>
            <w:hideMark/>
          </w:tcPr>
          <w:p w14:paraId="3D639F51"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властитих</w:t>
            </w:r>
            <w:r w:rsidRPr="00EA0FD7">
              <w:rPr>
                <w:rFonts w:ascii="Arial" w:eastAsia="Times New Roman" w:hAnsi="Arial" w:cs="Arial"/>
                <w:sz w:val="17"/>
                <w:szCs w:val="17"/>
                <w:lang w:val="sr-Cyrl-RS"/>
              </w:rPr>
              <w:br/>
              <w:t xml:space="preserve"> прихода</w:t>
            </w:r>
          </w:p>
        </w:tc>
        <w:tc>
          <w:tcPr>
            <w:tcW w:w="1425" w:type="dxa"/>
            <w:tcBorders>
              <w:top w:val="nil"/>
              <w:left w:val="nil"/>
              <w:bottom w:val="single" w:sz="4" w:space="0" w:color="auto"/>
              <w:right w:val="single" w:sz="4" w:space="0" w:color="auto"/>
            </w:tcBorders>
            <w:noWrap/>
            <w:vAlign w:val="bottom"/>
            <w:hideMark/>
          </w:tcPr>
          <w:p w14:paraId="31E3AD62"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13,394.00</w:t>
            </w:r>
          </w:p>
        </w:tc>
        <w:tc>
          <w:tcPr>
            <w:tcW w:w="1447" w:type="dxa"/>
            <w:tcBorders>
              <w:top w:val="nil"/>
              <w:left w:val="nil"/>
              <w:bottom w:val="single" w:sz="4" w:space="0" w:color="auto"/>
              <w:right w:val="single" w:sz="4" w:space="0" w:color="auto"/>
            </w:tcBorders>
            <w:noWrap/>
            <w:vAlign w:val="bottom"/>
            <w:hideMark/>
          </w:tcPr>
          <w:p w14:paraId="067F62F8"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79,220.00</w:t>
            </w:r>
          </w:p>
        </w:tc>
        <w:tc>
          <w:tcPr>
            <w:tcW w:w="1209" w:type="dxa"/>
            <w:tcBorders>
              <w:top w:val="nil"/>
              <w:left w:val="nil"/>
              <w:bottom w:val="single" w:sz="4" w:space="0" w:color="auto"/>
              <w:right w:val="single" w:sz="4" w:space="0" w:color="auto"/>
            </w:tcBorders>
            <w:noWrap/>
            <w:vAlign w:val="bottom"/>
            <w:hideMark/>
          </w:tcPr>
          <w:p w14:paraId="600479D1"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79,220.00</w:t>
            </w:r>
          </w:p>
        </w:tc>
        <w:tc>
          <w:tcPr>
            <w:tcW w:w="1209" w:type="dxa"/>
            <w:tcBorders>
              <w:top w:val="nil"/>
              <w:left w:val="nil"/>
              <w:bottom w:val="single" w:sz="4" w:space="0" w:color="auto"/>
              <w:right w:val="single" w:sz="4" w:space="0" w:color="auto"/>
            </w:tcBorders>
            <w:noWrap/>
            <w:vAlign w:val="bottom"/>
            <w:hideMark/>
          </w:tcPr>
          <w:p w14:paraId="26C229D5"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79,220.00</w:t>
            </w:r>
          </w:p>
        </w:tc>
        <w:tc>
          <w:tcPr>
            <w:tcW w:w="1209" w:type="dxa"/>
            <w:tcBorders>
              <w:top w:val="nil"/>
              <w:left w:val="nil"/>
              <w:bottom w:val="single" w:sz="4" w:space="0" w:color="auto"/>
              <w:right w:val="single" w:sz="8" w:space="0" w:color="auto"/>
            </w:tcBorders>
            <w:noWrap/>
            <w:vAlign w:val="bottom"/>
            <w:hideMark/>
          </w:tcPr>
          <w:p w14:paraId="01CBA13B"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79,220.00</w:t>
            </w:r>
          </w:p>
        </w:tc>
      </w:tr>
      <w:tr w:rsidR="00752F04" w:rsidRPr="00EA0FD7" w14:paraId="2BC68EBF" w14:textId="77777777" w:rsidTr="00752F04">
        <w:trPr>
          <w:trHeight w:val="450"/>
        </w:trPr>
        <w:tc>
          <w:tcPr>
            <w:tcW w:w="1228" w:type="dxa"/>
            <w:tcBorders>
              <w:top w:val="nil"/>
              <w:left w:val="single" w:sz="8" w:space="0" w:color="auto"/>
              <w:bottom w:val="single" w:sz="4" w:space="0" w:color="auto"/>
              <w:right w:val="single" w:sz="4" w:space="0" w:color="auto"/>
            </w:tcBorders>
            <w:noWrap/>
            <w:vAlign w:val="bottom"/>
            <w:hideMark/>
          </w:tcPr>
          <w:p w14:paraId="022EE7F8"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215" w:type="dxa"/>
            <w:tcBorders>
              <w:top w:val="nil"/>
              <w:left w:val="nil"/>
              <w:bottom w:val="single" w:sz="4" w:space="0" w:color="auto"/>
              <w:right w:val="single" w:sz="4" w:space="0" w:color="auto"/>
            </w:tcBorders>
            <w:vAlign w:val="bottom"/>
            <w:hideMark/>
          </w:tcPr>
          <w:p w14:paraId="5C85CD5D"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кредитних средстава</w:t>
            </w:r>
          </w:p>
        </w:tc>
        <w:tc>
          <w:tcPr>
            <w:tcW w:w="1425" w:type="dxa"/>
            <w:tcBorders>
              <w:top w:val="nil"/>
              <w:left w:val="nil"/>
              <w:bottom w:val="single" w:sz="4" w:space="0" w:color="auto"/>
              <w:right w:val="single" w:sz="4" w:space="0" w:color="auto"/>
            </w:tcBorders>
            <w:noWrap/>
            <w:vAlign w:val="bottom"/>
            <w:hideMark/>
          </w:tcPr>
          <w:p w14:paraId="1424527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507B6183"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2858BBBA"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6F269FF1"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37D2C46E"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45CAF660" w14:textId="77777777" w:rsidTr="00752F04">
        <w:trPr>
          <w:trHeight w:val="255"/>
        </w:trPr>
        <w:tc>
          <w:tcPr>
            <w:tcW w:w="1228" w:type="dxa"/>
            <w:tcBorders>
              <w:top w:val="nil"/>
              <w:left w:val="single" w:sz="8" w:space="0" w:color="auto"/>
              <w:bottom w:val="single" w:sz="4" w:space="0" w:color="auto"/>
              <w:right w:val="single" w:sz="4" w:space="0" w:color="auto"/>
            </w:tcBorders>
            <w:noWrap/>
            <w:vAlign w:val="bottom"/>
            <w:hideMark/>
          </w:tcPr>
          <w:p w14:paraId="7B5F069B"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215" w:type="dxa"/>
            <w:tcBorders>
              <w:top w:val="nil"/>
              <w:left w:val="nil"/>
              <w:bottom w:val="single" w:sz="4" w:space="0" w:color="auto"/>
              <w:right w:val="single" w:sz="4" w:space="0" w:color="auto"/>
            </w:tcBorders>
            <w:vAlign w:val="bottom"/>
            <w:hideMark/>
          </w:tcPr>
          <w:p w14:paraId="078D649E"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донација</w:t>
            </w:r>
          </w:p>
        </w:tc>
        <w:tc>
          <w:tcPr>
            <w:tcW w:w="1425" w:type="dxa"/>
            <w:tcBorders>
              <w:top w:val="nil"/>
              <w:left w:val="nil"/>
              <w:bottom w:val="single" w:sz="4" w:space="0" w:color="auto"/>
              <w:right w:val="single" w:sz="4" w:space="0" w:color="auto"/>
            </w:tcBorders>
            <w:noWrap/>
            <w:vAlign w:val="bottom"/>
            <w:hideMark/>
          </w:tcPr>
          <w:p w14:paraId="5659C20F"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447" w:type="dxa"/>
            <w:tcBorders>
              <w:top w:val="nil"/>
              <w:left w:val="nil"/>
              <w:bottom w:val="single" w:sz="4" w:space="0" w:color="auto"/>
              <w:right w:val="single" w:sz="4" w:space="0" w:color="auto"/>
            </w:tcBorders>
            <w:noWrap/>
            <w:vAlign w:val="bottom"/>
            <w:hideMark/>
          </w:tcPr>
          <w:p w14:paraId="4C76B049"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0055BD82"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4" w:space="0" w:color="auto"/>
            </w:tcBorders>
            <w:noWrap/>
            <w:vAlign w:val="bottom"/>
            <w:hideMark/>
          </w:tcPr>
          <w:p w14:paraId="7453E7A9"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c>
          <w:tcPr>
            <w:tcW w:w="1209" w:type="dxa"/>
            <w:tcBorders>
              <w:top w:val="nil"/>
              <w:left w:val="nil"/>
              <w:bottom w:val="single" w:sz="4" w:space="0" w:color="auto"/>
              <w:right w:val="single" w:sz="8" w:space="0" w:color="auto"/>
            </w:tcBorders>
            <w:noWrap/>
            <w:vAlign w:val="bottom"/>
            <w:hideMark/>
          </w:tcPr>
          <w:p w14:paraId="51EB2A84"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0.00</w:t>
            </w:r>
          </w:p>
        </w:tc>
      </w:tr>
      <w:tr w:rsidR="00752F04" w:rsidRPr="00EA0FD7" w14:paraId="636BCCD3" w14:textId="77777777" w:rsidTr="00752F04">
        <w:trPr>
          <w:trHeight w:val="270"/>
        </w:trPr>
        <w:tc>
          <w:tcPr>
            <w:tcW w:w="1228" w:type="dxa"/>
            <w:tcBorders>
              <w:top w:val="nil"/>
              <w:left w:val="single" w:sz="8" w:space="0" w:color="auto"/>
              <w:bottom w:val="single" w:sz="4" w:space="0" w:color="auto"/>
              <w:right w:val="single" w:sz="4" w:space="0" w:color="auto"/>
            </w:tcBorders>
            <w:noWrap/>
            <w:vAlign w:val="bottom"/>
            <w:hideMark/>
          </w:tcPr>
          <w:p w14:paraId="165A9459"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 </w:t>
            </w:r>
          </w:p>
        </w:tc>
        <w:tc>
          <w:tcPr>
            <w:tcW w:w="2215" w:type="dxa"/>
            <w:tcBorders>
              <w:top w:val="nil"/>
              <w:left w:val="nil"/>
              <w:bottom w:val="single" w:sz="4" w:space="0" w:color="auto"/>
              <w:right w:val="single" w:sz="4" w:space="0" w:color="auto"/>
            </w:tcBorders>
            <w:noWrap/>
            <w:vAlign w:val="bottom"/>
            <w:hideMark/>
          </w:tcPr>
          <w:p w14:paraId="2BF9DB26" w14:textId="77777777" w:rsidR="00752F04" w:rsidRPr="00EA0FD7" w:rsidRDefault="00752F04" w:rsidP="00752F04">
            <w:pPr>
              <w:spacing w:after="0" w:line="240" w:lineRule="auto"/>
              <w:rPr>
                <w:rFonts w:ascii="Arial" w:eastAsia="Times New Roman" w:hAnsi="Arial" w:cs="Arial"/>
                <w:sz w:val="17"/>
                <w:szCs w:val="17"/>
                <w:lang w:val="sr-Cyrl-RS"/>
              </w:rPr>
            </w:pPr>
            <w:r w:rsidRPr="00EA0FD7">
              <w:rPr>
                <w:rFonts w:ascii="Arial" w:eastAsia="Times New Roman" w:hAnsi="Arial" w:cs="Arial"/>
                <w:sz w:val="17"/>
                <w:szCs w:val="17"/>
                <w:lang w:val="sr-Cyrl-RS"/>
              </w:rPr>
              <w:t>Финансирање из буџета</w:t>
            </w:r>
          </w:p>
        </w:tc>
        <w:tc>
          <w:tcPr>
            <w:tcW w:w="1425" w:type="dxa"/>
            <w:tcBorders>
              <w:top w:val="nil"/>
              <w:left w:val="nil"/>
              <w:bottom w:val="single" w:sz="4" w:space="0" w:color="auto"/>
              <w:right w:val="single" w:sz="4" w:space="0" w:color="auto"/>
            </w:tcBorders>
            <w:noWrap/>
            <w:vAlign w:val="bottom"/>
            <w:hideMark/>
          </w:tcPr>
          <w:p w14:paraId="2B58F8DA"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107,787.00</w:t>
            </w:r>
          </w:p>
        </w:tc>
        <w:tc>
          <w:tcPr>
            <w:tcW w:w="1447" w:type="dxa"/>
            <w:tcBorders>
              <w:top w:val="nil"/>
              <w:left w:val="nil"/>
              <w:bottom w:val="single" w:sz="4" w:space="0" w:color="auto"/>
              <w:right w:val="single" w:sz="4" w:space="0" w:color="auto"/>
            </w:tcBorders>
            <w:noWrap/>
            <w:vAlign w:val="bottom"/>
            <w:hideMark/>
          </w:tcPr>
          <w:p w14:paraId="0F4F97F1"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960,700.00</w:t>
            </w:r>
          </w:p>
        </w:tc>
        <w:tc>
          <w:tcPr>
            <w:tcW w:w="1209" w:type="dxa"/>
            <w:tcBorders>
              <w:top w:val="nil"/>
              <w:left w:val="nil"/>
              <w:bottom w:val="single" w:sz="4" w:space="0" w:color="auto"/>
              <w:right w:val="single" w:sz="4" w:space="0" w:color="auto"/>
            </w:tcBorders>
            <w:noWrap/>
            <w:vAlign w:val="bottom"/>
            <w:hideMark/>
          </w:tcPr>
          <w:p w14:paraId="7B84BCBB"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960,700.00</w:t>
            </w:r>
          </w:p>
        </w:tc>
        <w:tc>
          <w:tcPr>
            <w:tcW w:w="1209" w:type="dxa"/>
            <w:tcBorders>
              <w:top w:val="nil"/>
              <w:left w:val="nil"/>
              <w:bottom w:val="single" w:sz="4" w:space="0" w:color="auto"/>
              <w:right w:val="single" w:sz="4" w:space="0" w:color="auto"/>
            </w:tcBorders>
            <w:noWrap/>
            <w:vAlign w:val="bottom"/>
            <w:hideMark/>
          </w:tcPr>
          <w:p w14:paraId="2E495D6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960,700.00</w:t>
            </w:r>
          </w:p>
        </w:tc>
        <w:tc>
          <w:tcPr>
            <w:tcW w:w="1209" w:type="dxa"/>
            <w:tcBorders>
              <w:top w:val="nil"/>
              <w:left w:val="nil"/>
              <w:bottom w:val="single" w:sz="4" w:space="0" w:color="auto"/>
              <w:right w:val="single" w:sz="8" w:space="0" w:color="auto"/>
            </w:tcBorders>
            <w:noWrap/>
            <w:vAlign w:val="bottom"/>
            <w:hideMark/>
          </w:tcPr>
          <w:p w14:paraId="4F900710" w14:textId="77777777" w:rsidR="00752F04" w:rsidRPr="00EA0FD7" w:rsidRDefault="00752F04" w:rsidP="00752F04">
            <w:pPr>
              <w:spacing w:after="0" w:line="240" w:lineRule="auto"/>
              <w:jc w:val="right"/>
              <w:rPr>
                <w:rFonts w:ascii="Arial" w:eastAsia="Times New Roman" w:hAnsi="Arial" w:cs="Arial"/>
                <w:sz w:val="17"/>
                <w:szCs w:val="17"/>
                <w:lang w:val="sr-Cyrl-RS"/>
              </w:rPr>
            </w:pPr>
            <w:r w:rsidRPr="00EA0FD7">
              <w:rPr>
                <w:rFonts w:ascii="Arial" w:eastAsia="Times New Roman" w:hAnsi="Arial" w:cs="Arial"/>
                <w:sz w:val="17"/>
                <w:szCs w:val="17"/>
                <w:lang w:val="sr-Cyrl-RS"/>
              </w:rPr>
              <w:t>960,700.00</w:t>
            </w:r>
          </w:p>
        </w:tc>
      </w:tr>
      <w:tr w:rsidR="00752F04" w:rsidRPr="00EA0FD7" w14:paraId="5E07FEF5" w14:textId="77777777" w:rsidTr="00752F04">
        <w:trPr>
          <w:trHeight w:val="270"/>
        </w:trPr>
        <w:tc>
          <w:tcPr>
            <w:tcW w:w="1228" w:type="dxa"/>
            <w:tcBorders>
              <w:top w:val="single" w:sz="8" w:space="0" w:color="auto"/>
              <w:left w:val="single" w:sz="8" w:space="0" w:color="auto"/>
              <w:bottom w:val="single" w:sz="8" w:space="0" w:color="auto"/>
              <w:right w:val="single" w:sz="4" w:space="0" w:color="auto"/>
            </w:tcBorders>
            <w:noWrap/>
            <w:vAlign w:val="bottom"/>
            <w:hideMark/>
          </w:tcPr>
          <w:p w14:paraId="399D9697" w14:textId="77777777" w:rsidR="00752F04" w:rsidRPr="00EA0FD7" w:rsidRDefault="00752F04" w:rsidP="00752F04">
            <w:pPr>
              <w:spacing w:after="0" w:line="240" w:lineRule="auto"/>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 </w:t>
            </w:r>
          </w:p>
        </w:tc>
        <w:tc>
          <w:tcPr>
            <w:tcW w:w="2215" w:type="dxa"/>
            <w:tcBorders>
              <w:top w:val="single" w:sz="8" w:space="0" w:color="auto"/>
              <w:left w:val="nil"/>
              <w:bottom w:val="single" w:sz="8" w:space="0" w:color="auto"/>
              <w:right w:val="single" w:sz="4" w:space="0" w:color="auto"/>
            </w:tcBorders>
            <w:noWrap/>
            <w:vAlign w:val="bottom"/>
            <w:hideMark/>
          </w:tcPr>
          <w:p w14:paraId="6DA6F3D2" w14:textId="77777777" w:rsidR="00752F04" w:rsidRPr="00EA0FD7" w:rsidRDefault="00752F04" w:rsidP="00752F04">
            <w:pPr>
              <w:spacing w:after="0" w:line="240" w:lineRule="auto"/>
              <w:jc w:val="center"/>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У К У П Н О</w:t>
            </w:r>
          </w:p>
        </w:tc>
        <w:tc>
          <w:tcPr>
            <w:tcW w:w="1425" w:type="dxa"/>
            <w:tcBorders>
              <w:top w:val="single" w:sz="8" w:space="0" w:color="auto"/>
              <w:left w:val="nil"/>
              <w:bottom w:val="single" w:sz="8" w:space="0" w:color="auto"/>
              <w:right w:val="single" w:sz="4" w:space="0" w:color="auto"/>
            </w:tcBorders>
            <w:noWrap/>
            <w:vAlign w:val="bottom"/>
            <w:hideMark/>
          </w:tcPr>
          <w:p w14:paraId="38E4BEBE"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121,181.00</w:t>
            </w:r>
          </w:p>
        </w:tc>
        <w:tc>
          <w:tcPr>
            <w:tcW w:w="1447" w:type="dxa"/>
            <w:tcBorders>
              <w:top w:val="single" w:sz="8" w:space="0" w:color="auto"/>
              <w:left w:val="nil"/>
              <w:bottom w:val="single" w:sz="8" w:space="0" w:color="auto"/>
              <w:right w:val="single" w:sz="4" w:space="0" w:color="auto"/>
            </w:tcBorders>
            <w:noWrap/>
            <w:vAlign w:val="bottom"/>
            <w:hideMark/>
          </w:tcPr>
          <w:p w14:paraId="3A7657D0"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1,039,920.00</w:t>
            </w:r>
          </w:p>
        </w:tc>
        <w:tc>
          <w:tcPr>
            <w:tcW w:w="1209" w:type="dxa"/>
            <w:tcBorders>
              <w:top w:val="single" w:sz="8" w:space="0" w:color="auto"/>
              <w:left w:val="nil"/>
              <w:bottom w:val="single" w:sz="8" w:space="0" w:color="auto"/>
              <w:right w:val="single" w:sz="4" w:space="0" w:color="auto"/>
            </w:tcBorders>
            <w:noWrap/>
            <w:vAlign w:val="bottom"/>
            <w:hideMark/>
          </w:tcPr>
          <w:p w14:paraId="6913A9C4"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1,039,920.00</w:t>
            </w:r>
          </w:p>
        </w:tc>
        <w:tc>
          <w:tcPr>
            <w:tcW w:w="1209" w:type="dxa"/>
            <w:tcBorders>
              <w:top w:val="single" w:sz="8" w:space="0" w:color="auto"/>
              <w:left w:val="nil"/>
              <w:bottom w:val="single" w:sz="8" w:space="0" w:color="auto"/>
              <w:right w:val="single" w:sz="4" w:space="0" w:color="auto"/>
            </w:tcBorders>
            <w:noWrap/>
            <w:vAlign w:val="bottom"/>
            <w:hideMark/>
          </w:tcPr>
          <w:p w14:paraId="3264B0ED"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1,039,920.00</w:t>
            </w:r>
          </w:p>
        </w:tc>
        <w:tc>
          <w:tcPr>
            <w:tcW w:w="1209" w:type="dxa"/>
            <w:tcBorders>
              <w:top w:val="single" w:sz="8" w:space="0" w:color="auto"/>
              <w:left w:val="nil"/>
              <w:bottom w:val="single" w:sz="8" w:space="0" w:color="auto"/>
              <w:right w:val="single" w:sz="8" w:space="0" w:color="auto"/>
            </w:tcBorders>
            <w:noWrap/>
            <w:vAlign w:val="bottom"/>
            <w:hideMark/>
          </w:tcPr>
          <w:p w14:paraId="5BE43D14" w14:textId="77777777" w:rsidR="00752F04" w:rsidRPr="00EA0FD7" w:rsidRDefault="00752F04" w:rsidP="00752F04">
            <w:pPr>
              <w:spacing w:after="0" w:line="240" w:lineRule="auto"/>
              <w:jc w:val="right"/>
              <w:rPr>
                <w:rFonts w:ascii="Arial" w:eastAsia="Times New Roman" w:hAnsi="Arial" w:cs="Arial"/>
                <w:b/>
                <w:bCs/>
                <w:sz w:val="17"/>
                <w:szCs w:val="17"/>
                <w:lang w:val="sr-Cyrl-RS"/>
              </w:rPr>
            </w:pPr>
            <w:r w:rsidRPr="00EA0FD7">
              <w:rPr>
                <w:rFonts w:ascii="Arial" w:eastAsia="Times New Roman" w:hAnsi="Arial" w:cs="Arial"/>
                <w:b/>
                <w:bCs/>
                <w:sz w:val="17"/>
                <w:szCs w:val="17"/>
                <w:lang w:val="sr-Cyrl-RS"/>
              </w:rPr>
              <w:t>1,039,920.00</w:t>
            </w:r>
          </w:p>
        </w:tc>
      </w:tr>
    </w:tbl>
    <w:p w14:paraId="5B1C338D"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738B261A" w14:textId="1CEA208B"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Радио</w:t>
      </w:r>
      <w:r w:rsidR="00752F04">
        <w:rPr>
          <w:rFonts w:ascii="Times New Roman" w:eastAsia="Times New Roman" w:hAnsi="Times New Roman" w:cs="Times New Roman"/>
          <w:sz w:val="24"/>
          <w:lang w:val="sr-Cyrl-RS" w:eastAsia="hr-HR"/>
        </w:rPr>
        <w:t>-</w:t>
      </w:r>
      <w:r w:rsidRPr="00EA0FD7">
        <w:rPr>
          <w:rFonts w:ascii="Times New Roman" w:eastAsia="Times New Roman" w:hAnsi="Times New Roman" w:cs="Times New Roman"/>
          <w:sz w:val="24"/>
          <w:lang w:val="sr-Cyrl-RS" w:eastAsia="hr-HR"/>
        </w:rPr>
        <w:t>новинска и издавачка установа „Радио Брчко“ Брчко дистрикта БиХ је у 2021. години остварио укупне расходе у износу од 121.181 КМ, док им је финансијски план за 2022. годину као и процјена за 2023</w:t>
      </w:r>
      <w:r w:rsidR="00752F04">
        <w:rPr>
          <w:rFonts w:ascii="Times New Roman" w:eastAsia="Times New Roman" w:hAnsi="Times New Roman" w:cs="Times New Roman"/>
          <w:sz w:val="24"/>
          <w:lang w:val="sr-Cyrl-RS" w:eastAsia="hr-HR"/>
        </w:rPr>
        <w:t>–</w:t>
      </w:r>
      <w:r w:rsidRPr="00EA0FD7">
        <w:rPr>
          <w:rFonts w:ascii="Times New Roman" w:eastAsia="Times New Roman" w:hAnsi="Times New Roman" w:cs="Times New Roman"/>
          <w:sz w:val="24"/>
          <w:lang w:val="sr-Cyrl-RS" w:eastAsia="hr-HR"/>
        </w:rPr>
        <w:t>2025. годину у износу од 1.039.920 КМ.</w:t>
      </w:r>
    </w:p>
    <w:p w14:paraId="3C41AC88"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tbl>
      <w:tblPr>
        <w:tblW w:w="9840" w:type="dxa"/>
        <w:tblInd w:w="96" w:type="dxa"/>
        <w:tblLook w:val="04A0" w:firstRow="1" w:lastRow="0" w:firstColumn="1" w:lastColumn="0" w:noHBand="0" w:noVBand="1"/>
      </w:tblPr>
      <w:tblGrid>
        <w:gridCol w:w="2884"/>
        <w:gridCol w:w="1401"/>
        <w:gridCol w:w="1525"/>
        <w:gridCol w:w="1343"/>
        <w:gridCol w:w="1343"/>
        <w:gridCol w:w="1344"/>
      </w:tblGrid>
      <w:tr w:rsidR="00EA0FD7" w:rsidRPr="00EA0FD7" w14:paraId="01C4DC9A" w14:textId="77777777" w:rsidTr="00EA0FD7">
        <w:trPr>
          <w:trHeight w:val="675"/>
        </w:trPr>
        <w:tc>
          <w:tcPr>
            <w:tcW w:w="9840" w:type="dxa"/>
            <w:gridSpan w:val="6"/>
            <w:tcBorders>
              <w:top w:val="nil"/>
              <w:left w:val="nil"/>
              <w:bottom w:val="single" w:sz="8" w:space="0" w:color="auto"/>
              <w:right w:val="nil"/>
            </w:tcBorders>
            <w:vAlign w:val="bottom"/>
            <w:hideMark/>
          </w:tcPr>
          <w:p w14:paraId="3E84A543" w14:textId="37730F76" w:rsidR="00EA0FD7" w:rsidRPr="00EA0FD7" w:rsidRDefault="00EA0FD7" w:rsidP="00EA0FD7">
            <w:pPr>
              <w:spacing w:after="0" w:line="240" w:lineRule="auto"/>
              <w:jc w:val="center"/>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 xml:space="preserve">Табела 4.14.  </w:t>
            </w:r>
            <w:r w:rsidRPr="00EA0FD7">
              <w:rPr>
                <w:rFonts w:ascii="Arial" w:eastAsia="Times New Roman" w:hAnsi="Arial" w:cs="Arial"/>
                <w:sz w:val="20"/>
                <w:szCs w:val="20"/>
                <w:lang w:val="sr-Cyrl-RS"/>
              </w:rPr>
              <w:t>Консолидовани финансијски план расхода ванбуџетских фондова и ванбуџетског</w:t>
            </w:r>
            <w:r w:rsidR="00752F04">
              <w:rPr>
                <w:rFonts w:ascii="Arial" w:eastAsia="Times New Roman" w:hAnsi="Arial" w:cs="Arial"/>
                <w:sz w:val="20"/>
                <w:szCs w:val="20"/>
                <w:lang w:val="sr-Cyrl-RS"/>
              </w:rPr>
              <w:t xml:space="preserve"> </w:t>
            </w:r>
            <w:r w:rsidRPr="00EA0FD7">
              <w:rPr>
                <w:rFonts w:ascii="Arial" w:eastAsia="Times New Roman" w:hAnsi="Arial" w:cs="Arial"/>
                <w:sz w:val="20"/>
                <w:szCs w:val="20"/>
                <w:lang w:val="sr-Cyrl-RS"/>
              </w:rPr>
              <w:t xml:space="preserve">корисника,  </w:t>
            </w:r>
            <w:r w:rsidRPr="00EA0FD7">
              <w:rPr>
                <w:rFonts w:ascii="Arial" w:eastAsia="Times New Roman" w:hAnsi="Arial" w:cs="Arial"/>
                <w:sz w:val="20"/>
                <w:szCs w:val="20"/>
                <w:lang w:val="sr-Cyrl-RS"/>
              </w:rPr>
              <w:br/>
              <w:t xml:space="preserve">                            који је обвезник примјене буџетског рачуноводства  2023</w:t>
            </w:r>
            <w:r w:rsidR="00752F04">
              <w:rPr>
                <w:rFonts w:ascii="Arial" w:eastAsia="Times New Roman" w:hAnsi="Arial" w:cs="Arial"/>
                <w:sz w:val="20"/>
                <w:szCs w:val="20"/>
                <w:lang w:val="sr-Cyrl-RS"/>
              </w:rPr>
              <w:t>–2</w:t>
            </w:r>
            <w:r w:rsidRPr="00EA0FD7">
              <w:rPr>
                <w:rFonts w:ascii="Arial" w:eastAsia="Times New Roman" w:hAnsi="Arial" w:cs="Arial"/>
                <w:sz w:val="20"/>
                <w:szCs w:val="20"/>
                <w:lang w:val="sr-Cyrl-RS"/>
              </w:rPr>
              <w:t>025. из властитих извора</w:t>
            </w:r>
          </w:p>
        </w:tc>
      </w:tr>
      <w:tr w:rsidR="00EA0FD7" w:rsidRPr="00EA0FD7" w14:paraId="4CAA5EA7" w14:textId="77777777" w:rsidTr="00EA0FD7">
        <w:trPr>
          <w:trHeight w:val="270"/>
        </w:trPr>
        <w:tc>
          <w:tcPr>
            <w:tcW w:w="2884" w:type="dxa"/>
            <w:vMerge w:val="restart"/>
            <w:tcBorders>
              <w:top w:val="nil"/>
              <w:left w:val="single" w:sz="8" w:space="0" w:color="auto"/>
              <w:bottom w:val="single" w:sz="8" w:space="0" w:color="000000"/>
              <w:right w:val="single" w:sz="8" w:space="0" w:color="auto"/>
            </w:tcBorders>
            <w:shd w:val="pct25" w:color="auto" w:fill="CCFFCC"/>
            <w:vAlign w:val="center"/>
            <w:hideMark/>
          </w:tcPr>
          <w:p w14:paraId="784FAA94"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ВАНБУЏЕТСКИ ФОНДОВИ</w:t>
            </w:r>
            <w:r w:rsidRPr="00EA0FD7">
              <w:rPr>
                <w:rFonts w:ascii="Arial" w:eastAsia="Times New Roman" w:hAnsi="Arial" w:cs="Arial"/>
                <w:b/>
                <w:bCs/>
                <w:sz w:val="18"/>
                <w:szCs w:val="18"/>
                <w:lang w:val="sr-Cyrl-RS"/>
              </w:rPr>
              <w:br/>
              <w:t xml:space="preserve"> (финансирање из властитих извора)</w:t>
            </w:r>
          </w:p>
        </w:tc>
        <w:tc>
          <w:tcPr>
            <w:tcW w:w="1401" w:type="dxa"/>
            <w:vMerge w:val="restart"/>
            <w:tcBorders>
              <w:top w:val="nil"/>
              <w:left w:val="single" w:sz="8" w:space="0" w:color="auto"/>
              <w:bottom w:val="single" w:sz="8" w:space="0" w:color="000000"/>
              <w:right w:val="single" w:sz="8" w:space="0" w:color="auto"/>
            </w:tcBorders>
            <w:shd w:val="pct25" w:color="auto" w:fill="CCFFCC"/>
            <w:vAlign w:val="center"/>
            <w:hideMark/>
          </w:tcPr>
          <w:p w14:paraId="234FD72C"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xml:space="preserve">Извршење </w:t>
            </w:r>
            <w:r w:rsidRPr="00EA0FD7">
              <w:rPr>
                <w:rFonts w:ascii="Arial" w:eastAsia="Times New Roman" w:hAnsi="Arial" w:cs="Arial"/>
                <w:b/>
                <w:bCs/>
                <w:sz w:val="18"/>
                <w:szCs w:val="18"/>
                <w:lang w:val="sr-Cyrl-RS"/>
              </w:rPr>
              <w:br/>
              <w:t>2021.</w:t>
            </w:r>
          </w:p>
        </w:tc>
        <w:tc>
          <w:tcPr>
            <w:tcW w:w="1525" w:type="dxa"/>
            <w:vMerge w:val="restart"/>
            <w:tcBorders>
              <w:top w:val="nil"/>
              <w:left w:val="single" w:sz="8" w:space="0" w:color="auto"/>
              <w:bottom w:val="single" w:sz="8" w:space="0" w:color="000000"/>
              <w:right w:val="single" w:sz="8" w:space="0" w:color="auto"/>
            </w:tcBorders>
            <w:shd w:val="pct25" w:color="auto" w:fill="CCFFCC"/>
            <w:vAlign w:val="center"/>
            <w:hideMark/>
          </w:tcPr>
          <w:p w14:paraId="48FE70A6"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Финансијски план</w:t>
            </w:r>
            <w:r w:rsidRPr="00EA0FD7">
              <w:rPr>
                <w:rFonts w:ascii="Arial" w:eastAsia="Times New Roman" w:hAnsi="Arial" w:cs="Arial"/>
                <w:b/>
                <w:bCs/>
                <w:sz w:val="18"/>
                <w:szCs w:val="18"/>
                <w:lang w:val="sr-Cyrl-RS"/>
              </w:rPr>
              <w:br/>
              <w:t>2022.</w:t>
            </w:r>
          </w:p>
        </w:tc>
        <w:tc>
          <w:tcPr>
            <w:tcW w:w="4030" w:type="dxa"/>
            <w:gridSpan w:val="3"/>
            <w:tcBorders>
              <w:top w:val="single" w:sz="8" w:space="0" w:color="auto"/>
              <w:left w:val="nil"/>
              <w:bottom w:val="single" w:sz="8" w:space="0" w:color="auto"/>
              <w:right w:val="single" w:sz="8" w:space="0" w:color="000000"/>
            </w:tcBorders>
            <w:shd w:val="pct25" w:color="auto" w:fill="CCFFCC"/>
            <w:noWrap/>
            <w:vAlign w:val="center"/>
            <w:hideMark/>
          </w:tcPr>
          <w:p w14:paraId="64347CF3"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Процјена</w:t>
            </w:r>
          </w:p>
        </w:tc>
      </w:tr>
      <w:tr w:rsidR="00EA0FD7" w:rsidRPr="00EA0FD7" w14:paraId="71830CF2" w14:textId="77777777" w:rsidTr="00EA0FD7">
        <w:trPr>
          <w:trHeight w:val="465"/>
        </w:trPr>
        <w:tc>
          <w:tcPr>
            <w:tcW w:w="0" w:type="auto"/>
            <w:vMerge/>
            <w:tcBorders>
              <w:top w:val="nil"/>
              <w:left w:val="single" w:sz="8" w:space="0" w:color="auto"/>
              <w:bottom w:val="single" w:sz="8" w:space="0" w:color="000000"/>
              <w:right w:val="single" w:sz="8" w:space="0" w:color="auto"/>
            </w:tcBorders>
            <w:vAlign w:val="center"/>
            <w:hideMark/>
          </w:tcPr>
          <w:p w14:paraId="3EFE077B"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3271D938"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0" w:type="auto"/>
            <w:vMerge/>
            <w:tcBorders>
              <w:top w:val="nil"/>
              <w:left w:val="single" w:sz="8" w:space="0" w:color="auto"/>
              <w:bottom w:val="single" w:sz="8" w:space="0" w:color="000000"/>
              <w:right w:val="single" w:sz="8" w:space="0" w:color="auto"/>
            </w:tcBorders>
            <w:vAlign w:val="center"/>
            <w:hideMark/>
          </w:tcPr>
          <w:p w14:paraId="54A70386"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343" w:type="dxa"/>
            <w:tcBorders>
              <w:top w:val="nil"/>
              <w:left w:val="nil"/>
              <w:bottom w:val="single" w:sz="8" w:space="0" w:color="auto"/>
              <w:right w:val="single" w:sz="4" w:space="0" w:color="auto"/>
            </w:tcBorders>
            <w:shd w:val="pct25" w:color="auto" w:fill="CCFFCC"/>
            <w:noWrap/>
            <w:vAlign w:val="center"/>
            <w:hideMark/>
          </w:tcPr>
          <w:p w14:paraId="263EFEC7" w14:textId="5424F171"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2023</w:t>
            </w:r>
            <w:r w:rsidR="00752F04">
              <w:rPr>
                <w:rFonts w:ascii="Arial" w:eastAsia="Times New Roman" w:hAnsi="Arial" w:cs="Arial"/>
                <w:b/>
                <w:bCs/>
                <w:sz w:val="18"/>
                <w:szCs w:val="18"/>
                <w:lang w:val="sr-Cyrl-RS"/>
              </w:rPr>
              <w:t>.</w:t>
            </w:r>
          </w:p>
        </w:tc>
        <w:tc>
          <w:tcPr>
            <w:tcW w:w="1343" w:type="dxa"/>
            <w:tcBorders>
              <w:top w:val="nil"/>
              <w:left w:val="nil"/>
              <w:bottom w:val="single" w:sz="8" w:space="0" w:color="auto"/>
              <w:right w:val="single" w:sz="4" w:space="0" w:color="auto"/>
            </w:tcBorders>
            <w:shd w:val="pct25" w:color="auto" w:fill="CCFFCC"/>
            <w:noWrap/>
            <w:vAlign w:val="center"/>
            <w:hideMark/>
          </w:tcPr>
          <w:p w14:paraId="59C0DCA0" w14:textId="284F5225"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2024</w:t>
            </w:r>
            <w:r w:rsidR="00752F04">
              <w:rPr>
                <w:rFonts w:ascii="Arial" w:eastAsia="Times New Roman" w:hAnsi="Arial" w:cs="Arial"/>
                <w:b/>
                <w:bCs/>
                <w:sz w:val="18"/>
                <w:szCs w:val="18"/>
                <w:lang w:val="sr-Cyrl-RS"/>
              </w:rPr>
              <w:t>.</w:t>
            </w:r>
          </w:p>
        </w:tc>
        <w:tc>
          <w:tcPr>
            <w:tcW w:w="1344" w:type="dxa"/>
            <w:tcBorders>
              <w:top w:val="nil"/>
              <w:left w:val="nil"/>
              <w:bottom w:val="single" w:sz="8" w:space="0" w:color="auto"/>
              <w:right w:val="single" w:sz="8" w:space="0" w:color="auto"/>
            </w:tcBorders>
            <w:shd w:val="pct25" w:color="auto" w:fill="CCFFCC"/>
            <w:noWrap/>
            <w:vAlign w:val="center"/>
            <w:hideMark/>
          </w:tcPr>
          <w:p w14:paraId="56DCD924" w14:textId="060F23F8"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2025</w:t>
            </w:r>
            <w:r w:rsidR="00752F04">
              <w:rPr>
                <w:rFonts w:ascii="Arial" w:eastAsia="Times New Roman" w:hAnsi="Arial" w:cs="Arial"/>
                <w:b/>
                <w:bCs/>
                <w:sz w:val="18"/>
                <w:szCs w:val="18"/>
                <w:lang w:val="sr-Cyrl-RS"/>
              </w:rPr>
              <w:t>.</w:t>
            </w:r>
          </w:p>
        </w:tc>
      </w:tr>
      <w:tr w:rsidR="00EA0FD7" w:rsidRPr="00EA0FD7" w14:paraId="390AC5BE" w14:textId="77777777" w:rsidTr="00EA0FD7">
        <w:trPr>
          <w:trHeight w:val="270"/>
        </w:trPr>
        <w:tc>
          <w:tcPr>
            <w:tcW w:w="2884" w:type="dxa"/>
            <w:tcBorders>
              <w:top w:val="nil"/>
              <w:left w:val="single" w:sz="8" w:space="0" w:color="auto"/>
              <w:bottom w:val="single" w:sz="8" w:space="0" w:color="auto"/>
              <w:right w:val="single" w:sz="4" w:space="0" w:color="auto"/>
            </w:tcBorders>
            <w:noWrap/>
            <w:vAlign w:val="bottom"/>
            <w:hideMark/>
          </w:tcPr>
          <w:p w14:paraId="4B949C1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РАСХОДИ</w:t>
            </w:r>
          </w:p>
        </w:tc>
        <w:tc>
          <w:tcPr>
            <w:tcW w:w="1401" w:type="dxa"/>
            <w:tcBorders>
              <w:top w:val="nil"/>
              <w:left w:val="nil"/>
              <w:bottom w:val="single" w:sz="8" w:space="0" w:color="auto"/>
              <w:right w:val="single" w:sz="4" w:space="0" w:color="auto"/>
            </w:tcBorders>
            <w:noWrap/>
            <w:vAlign w:val="bottom"/>
            <w:hideMark/>
          </w:tcPr>
          <w:p w14:paraId="1F3437A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525" w:type="dxa"/>
            <w:tcBorders>
              <w:top w:val="nil"/>
              <w:left w:val="nil"/>
              <w:bottom w:val="single" w:sz="8" w:space="0" w:color="auto"/>
              <w:right w:val="single" w:sz="4" w:space="0" w:color="auto"/>
            </w:tcBorders>
            <w:noWrap/>
            <w:vAlign w:val="bottom"/>
            <w:hideMark/>
          </w:tcPr>
          <w:p w14:paraId="3146F434"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43" w:type="dxa"/>
            <w:tcBorders>
              <w:top w:val="nil"/>
              <w:left w:val="nil"/>
              <w:bottom w:val="single" w:sz="8" w:space="0" w:color="auto"/>
              <w:right w:val="single" w:sz="4" w:space="0" w:color="auto"/>
            </w:tcBorders>
            <w:noWrap/>
            <w:vAlign w:val="bottom"/>
            <w:hideMark/>
          </w:tcPr>
          <w:p w14:paraId="0A134B22"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43" w:type="dxa"/>
            <w:tcBorders>
              <w:top w:val="nil"/>
              <w:left w:val="nil"/>
              <w:bottom w:val="single" w:sz="8" w:space="0" w:color="auto"/>
              <w:right w:val="single" w:sz="4" w:space="0" w:color="auto"/>
            </w:tcBorders>
            <w:noWrap/>
            <w:vAlign w:val="bottom"/>
            <w:hideMark/>
          </w:tcPr>
          <w:p w14:paraId="2135FB78"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c>
          <w:tcPr>
            <w:tcW w:w="1344" w:type="dxa"/>
            <w:tcBorders>
              <w:top w:val="nil"/>
              <w:left w:val="nil"/>
              <w:bottom w:val="single" w:sz="8" w:space="0" w:color="auto"/>
              <w:right w:val="single" w:sz="8" w:space="0" w:color="auto"/>
            </w:tcBorders>
            <w:noWrap/>
            <w:vAlign w:val="bottom"/>
            <w:hideMark/>
          </w:tcPr>
          <w:p w14:paraId="2EFCF333" w14:textId="77777777"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w:t>
            </w:r>
          </w:p>
        </w:tc>
      </w:tr>
      <w:tr w:rsidR="00EA0FD7" w:rsidRPr="00EA0FD7" w14:paraId="1FBCE7C5" w14:textId="77777777" w:rsidTr="00EA0FD7">
        <w:trPr>
          <w:trHeight w:val="255"/>
        </w:trPr>
        <w:tc>
          <w:tcPr>
            <w:tcW w:w="2884" w:type="dxa"/>
            <w:tcBorders>
              <w:top w:val="nil"/>
              <w:left w:val="single" w:sz="8" w:space="0" w:color="auto"/>
              <w:bottom w:val="single" w:sz="4" w:space="0" w:color="auto"/>
              <w:right w:val="single" w:sz="4" w:space="0" w:color="auto"/>
            </w:tcBorders>
            <w:vAlign w:val="bottom"/>
            <w:hideMark/>
          </w:tcPr>
          <w:p w14:paraId="6D50D82C"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Фонд здравственог осигурања</w:t>
            </w:r>
          </w:p>
        </w:tc>
        <w:tc>
          <w:tcPr>
            <w:tcW w:w="1401" w:type="dxa"/>
            <w:tcBorders>
              <w:top w:val="nil"/>
              <w:left w:val="nil"/>
              <w:bottom w:val="single" w:sz="4" w:space="0" w:color="auto"/>
              <w:right w:val="single" w:sz="4" w:space="0" w:color="auto"/>
            </w:tcBorders>
            <w:noWrap/>
            <w:vAlign w:val="bottom"/>
            <w:hideMark/>
          </w:tcPr>
          <w:p w14:paraId="5181FB22"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34,485,236.00</w:t>
            </w:r>
          </w:p>
        </w:tc>
        <w:tc>
          <w:tcPr>
            <w:tcW w:w="1525" w:type="dxa"/>
            <w:tcBorders>
              <w:top w:val="nil"/>
              <w:left w:val="nil"/>
              <w:bottom w:val="single" w:sz="4" w:space="0" w:color="auto"/>
              <w:right w:val="single" w:sz="4" w:space="0" w:color="auto"/>
            </w:tcBorders>
            <w:noWrap/>
            <w:vAlign w:val="bottom"/>
            <w:hideMark/>
          </w:tcPr>
          <w:p w14:paraId="028C179B"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33,233,236.00</w:t>
            </w:r>
          </w:p>
        </w:tc>
        <w:tc>
          <w:tcPr>
            <w:tcW w:w="1343" w:type="dxa"/>
            <w:tcBorders>
              <w:top w:val="nil"/>
              <w:left w:val="nil"/>
              <w:bottom w:val="single" w:sz="4" w:space="0" w:color="auto"/>
              <w:right w:val="single" w:sz="4" w:space="0" w:color="auto"/>
            </w:tcBorders>
            <w:noWrap/>
            <w:vAlign w:val="bottom"/>
            <w:hideMark/>
          </w:tcPr>
          <w:p w14:paraId="53723707"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32,971,267.00</w:t>
            </w:r>
          </w:p>
        </w:tc>
        <w:tc>
          <w:tcPr>
            <w:tcW w:w="1343" w:type="dxa"/>
            <w:tcBorders>
              <w:top w:val="nil"/>
              <w:left w:val="nil"/>
              <w:bottom w:val="single" w:sz="4" w:space="0" w:color="auto"/>
              <w:right w:val="single" w:sz="4" w:space="0" w:color="auto"/>
            </w:tcBorders>
            <w:noWrap/>
            <w:vAlign w:val="bottom"/>
            <w:hideMark/>
          </w:tcPr>
          <w:p w14:paraId="5FB5D758"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33,021,267.00</w:t>
            </w:r>
          </w:p>
        </w:tc>
        <w:tc>
          <w:tcPr>
            <w:tcW w:w="1344" w:type="dxa"/>
            <w:tcBorders>
              <w:top w:val="nil"/>
              <w:left w:val="nil"/>
              <w:bottom w:val="single" w:sz="4" w:space="0" w:color="auto"/>
              <w:right w:val="single" w:sz="8" w:space="0" w:color="auto"/>
            </w:tcBorders>
            <w:noWrap/>
            <w:vAlign w:val="bottom"/>
            <w:hideMark/>
          </w:tcPr>
          <w:p w14:paraId="5E13269B"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33,071,267.00</w:t>
            </w:r>
          </w:p>
        </w:tc>
      </w:tr>
      <w:tr w:rsidR="00EA0FD7" w:rsidRPr="00EA0FD7" w14:paraId="681C6DF5" w14:textId="77777777" w:rsidTr="00EA0FD7">
        <w:trPr>
          <w:trHeight w:val="255"/>
        </w:trPr>
        <w:tc>
          <w:tcPr>
            <w:tcW w:w="2884" w:type="dxa"/>
            <w:tcBorders>
              <w:top w:val="nil"/>
              <w:left w:val="single" w:sz="8" w:space="0" w:color="auto"/>
              <w:bottom w:val="single" w:sz="4" w:space="0" w:color="auto"/>
              <w:right w:val="single" w:sz="4" w:space="0" w:color="auto"/>
            </w:tcBorders>
            <w:noWrap/>
            <w:vAlign w:val="bottom"/>
            <w:hideMark/>
          </w:tcPr>
          <w:p w14:paraId="2D1433C7"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Завод за запошљавање</w:t>
            </w:r>
          </w:p>
        </w:tc>
        <w:tc>
          <w:tcPr>
            <w:tcW w:w="1401" w:type="dxa"/>
            <w:tcBorders>
              <w:top w:val="nil"/>
              <w:left w:val="nil"/>
              <w:bottom w:val="single" w:sz="4" w:space="0" w:color="auto"/>
              <w:right w:val="single" w:sz="4" w:space="0" w:color="auto"/>
            </w:tcBorders>
            <w:noWrap/>
            <w:vAlign w:val="bottom"/>
            <w:hideMark/>
          </w:tcPr>
          <w:p w14:paraId="7B133082"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3,765,415.00</w:t>
            </w:r>
          </w:p>
        </w:tc>
        <w:tc>
          <w:tcPr>
            <w:tcW w:w="1525" w:type="dxa"/>
            <w:tcBorders>
              <w:top w:val="nil"/>
              <w:left w:val="nil"/>
              <w:bottom w:val="single" w:sz="4" w:space="0" w:color="auto"/>
              <w:right w:val="single" w:sz="4" w:space="0" w:color="auto"/>
            </w:tcBorders>
            <w:noWrap/>
            <w:vAlign w:val="bottom"/>
            <w:hideMark/>
          </w:tcPr>
          <w:p w14:paraId="2A38D58D"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4,175,360.00</w:t>
            </w:r>
          </w:p>
        </w:tc>
        <w:tc>
          <w:tcPr>
            <w:tcW w:w="1343" w:type="dxa"/>
            <w:tcBorders>
              <w:top w:val="nil"/>
              <w:left w:val="nil"/>
              <w:bottom w:val="single" w:sz="4" w:space="0" w:color="auto"/>
              <w:right w:val="single" w:sz="4" w:space="0" w:color="auto"/>
            </w:tcBorders>
            <w:noWrap/>
            <w:vAlign w:val="bottom"/>
            <w:hideMark/>
          </w:tcPr>
          <w:p w14:paraId="61655278"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4,274,000.00</w:t>
            </w:r>
          </w:p>
        </w:tc>
        <w:tc>
          <w:tcPr>
            <w:tcW w:w="1343" w:type="dxa"/>
            <w:tcBorders>
              <w:top w:val="nil"/>
              <w:left w:val="nil"/>
              <w:bottom w:val="single" w:sz="4" w:space="0" w:color="auto"/>
              <w:right w:val="single" w:sz="4" w:space="0" w:color="auto"/>
            </w:tcBorders>
            <w:noWrap/>
            <w:vAlign w:val="bottom"/>
            <w:hideMark/>
          </w:tcPr>
          <w:p w14:paraId="0719B40B"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4,199,000.00</w:t>
            </w:r>
          </w:p>
        </w:tc>
        <w:tc>
          <w:tcPr>
            <w:tcW w:w="1344" w:type="dxa"/>
            <w:tcBorders>
              <w:top w:val="nil"/>
              <w:left w:val="nil"/>
              <w:bottom w:val="single" w:sz="4" w:space="0" w:color="auto"/>
              <w:right w:val="single" w:sz="8" w:space="0" w:color="auto"/>
            </w:tcBorders>
            <w:noWrap/>
            <w:vAlign w:val="bottom"/>
            <w:hideMark/>
          </w:tcPr>
          <w:p w14:paraId="001CB370"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4,199,000.00</w:t>
            </w:r>
          </w:p>
        </w:tc>
      </w:tr>
      <w:tr w:rsidR="00EA0FD7" w:rsidRPr="00EA0FD7" w14:paraId="521EEACC" w14:textId="77777777" w:rsidTr="00EA0FD7">
        <w:trPr>
          <w:trHeight w:val="255"/>
        </w:trPr>
        <w:tc>
          <w:tcPr>
            <w:tcW w:w="2884" w:type="dxa"/>
            <w:tcBorders>
              <w:top w:val="nil"/>
              <w:left w:val="single" w:sz="8" w:space="0" w:color="auto"/>
              <w:bottom w:val="single" w:sz="4" w:space="0" w:color="auto"/>
              <w:right w:val="single" w:sz="4" w:space="0" w:color="auto"/>
            </w:tcBorders>
            <w:noWrap/>
            <w:vAlign w:val="bottom"/>
            <w:hideMark/>
          </w:tcPr>
          <w:p w14:paraId="25B33888" w14:textId="12E0D7D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Развојно</w:t>
            </w:r>
            <w:r w:rsidR="00752F04">
              <w:rPr>
                <w:rFonts w:ascii="Arial" w:eastAsia="Times New Roman" w:hAnsi="Arial" w:cs="Arial"/>
                <w:sz w:val="18"/>
                <w:szCs w:val="18"/>
                <w:lang w:val="sr-Cyrl-RS"/>
              </w:rPr>
              <w:t>-</w:t>
            </w:r>
            <w:r w:rsidRPr="00EA0FD7">
              <w:rPr>
                <w:rFonts w:ascii="Arial" w:eastAsia="Times New Roman" w:hAnsi="Arial" w:cs="Arial"/>
                <w:sz w:val="18"/>
                <w:szCs w:val="18"/>
                <w:lang w:val="sr-Cyrl-RS"/>
              </w:rPr>
              <w:t>гарантни фонд</w:t>
            </w:r>
          </w:p>
        </w:tc>
        <w:tc>
          <w:tcPr>
            <w:tcW w:w="1401" w:type="dxa"/>
            <w:tcBorders>
              <w:top w:val="nil"/>
              <w:left w:val="nil"/>
              <w:bottom w:val="single" w:sz="4" w:space="0" w:color="auto"/>
              <w:right w:val="single" w:sz="4" w:space="0" w:color="auto"/>
            </w:tcBorders>
            <w:noWrap/>
            <w:vAlign w:val="bottom"/>
            <w:hideMark/>
          </w:tcPr>
          <w:p w14:paraId="678C8A2D"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0.00</w:t>
            </w:r>
          </w:p>
        </w:tc>
        <w:tc>
          <w:tcPr>
            <w:tcW w:w="1525" w:type="dxa"/>
            <w:tcBorders>
              <w:top w:val="nil"/>
              <w:left w:val="nil"/>
              <w:bottom w:val="single" w:sz="4" w:space="0" w:color="auto"/>
              <w:right w:val="single" w:sz="4" w:space="0" w:color="auto"/>
            </w:tcBorders>
            <w:noWrap/>
            <w:vAlign w:val="bottom"/>
            <w:hideMark/>
          </w:tcPr>
          <w:p w14:paraId="159DD936"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0.00</w:t>
            </w:r>
          </w:p>
        </w:tc>
        <w:tc>
          <w:tcPr>
            <w:tcW w:w="1343" w:type="dxa"/>
            <w:tcBorders>
              <w:top w:val="nil"/>
              <w:left w:val="nil"/>
              <w:bottom w:val="single" w:sz="4" w:space="0" w:color="auto"/>
              <w:right w:val="single" w:sz="4" w:space="0" w:color="auto"/>
            </w:tcBorders>
            <w:noWrap/>
            <w:vAlign w:val="bottom"/>
            <w:hideMark/>
          </w:tcPr>
          <w:p w14:paraId="63A29F91"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0.00</w:t>
            </w:r>
          </w:p>
        </w:tc>
        <w:tc>
          <w:tcPr>
            <w:tcW w:w="1343" w:type="dxa"/>
            <w:tcBorders>
              <w:top w:val="nil"/>
              <w:left w:val="nil"/>
              <w:bottom w:val="single" w:sz="4" w:space="0" w:color="auto"/>
              <w:right w:val="single" w:sz="4" w:space="0" w:color="auto"/>
            </w:tcBorders>
            <w:noWrap/>
            <w:vAlign w:val="bottom"/>
            <w:hideMark/>
          </w:tcPr>
          <w:p w14:paraId="70D06B4B"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0.00</w:t>
            </w:r>
          </w:p>
        </w:tc>
        <w:tc>
          <w:tcPr>
            <w:tcW w:w="1344" w:type="dxa"/>
            <w:tcBorders>
              <w:top w:val="nil"/>
              <w:left w:val="nil"/>
              <w:bottom w:val="single" w:sz="4" w:space="0" w:color="auto"/>
              <w:right w:val="single" w:sz="8" w:space="0" w:color="auto"/>
            </w:tcBorders>
            <w:noWrap/>
            <w:vAlign w:val="bottom"/>
            <w:hideMark/>
          </w:tcPr>
          <w:p w14:paraId="06B1127D"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0.00</w:t>
            </w:r>
          </w:p>
        </w:tc>
      </w:tr>
      <w:tr w:rsidR="00EA0FD7" w:rsidRPr="00EA0FD7" w14:paraId="408C1160" w14:textId="77777777" w:rsidTr="00EA0FD7">
        <w:trPr>
          <w:trHeight w:val="720"/>
        </w:trPr>
        <w:tc>
          <w:tcPr>
            <w:tcW w:w="2884" w:type="dxa"/>
            <w:tcBorders>
              <w:top w:val="nil"/>
              <w:left w:val="single" w:sz="8" w:space="0" w:color="auto"/>
              <w:bottom w:val="single" w:sz="4" w:space="0" w:color="auto"/>
              <w:right w:val="single" w:sz="4" w:space="0" w:color="auto"/>
            </w:tcBorders>
            <w:vAlign w:val="bottom"/>
            <w:hideMark/>
          </w:tcPr>
          <w:p w14:paraId="07228674"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xml:space="preserve">Завод за планирање, </w:t>
            </w:r>
            <w:r w:rsidRPr="00EA0FD7">
              <w:rPr>
                <w:rFonts w:ascii="Arial" w:eastAsia="Times New Roman" w:hAnsi="Arial" w:cs="Arial"/>
                <w:sz w:val="18"/>
                <w:szCs w:val="18"/>
                <w:lang w:val="sr-Cyrl-RS"/>
              </w:rPr>
              <w:br/>
              <w:t xml:space="preserve">пројектовање и развој Брчко дистрикта БиХ </w:t>
            </w:r>
          </w:p>
        </w:tc>
        <w:tc>
          <w:tcPr>
            <w:tcW w:w="1401" w:type="dxa"/>
            <w:tcBorders>
              <w:top w:val="nil"/>
              <w:left w:val="nil"/>
              <w:bottom w:val="single" w:sz="4" w:space="0" w:color="auto"/>
              <w:right w:val="single" w:sz="4" w:space="0" w:color="auto"/>
            </w:tcBorders>
            <w:noWrap/>
            <w:vAlign w:val="bottom"/>
            <w:hideMark/>
          </w:tcPr>
          <w:p w14:paraId="528CCAA9"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0.00</w:t>
            </w:r>
          </w:p>
        </w:tc>
        <w:tc>
          <w:tcPr>
            <w:tcW w:w="1525" w:type="dxa"/>
            <w:tcBorders>
              <w:top w:val="nil"/>
              <w:left w:val="nil"/>
              <w:bottom w:val="single" w:sz="4" w:space="0" w:color="auto"/>
              <w:right w:val="single" w:sz="4" w:space="0" w:color="auto"/>
            </w:tcBorders>
            <w:noWrap/>
            <w:vAlign w:val="bottom"/>
            <w:hideMark/>
          </w:tcPr>
          <w:p w14:paraId="7E4789E9"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0.00</w:t>
            </w:r>
          </w:p>
        </w:tc>
        <w:tc>
          <w:tcPr>
            <w:tcW w:w="1343" w:type="dxa"/>
            <w:tcBorders>
              <w:top w:val="nil"/>
              <w:left w:val="nil"/>
              <w:bottom w:val="single" w:sz="4" w:space="0" w:color="auto"/>
              <w:right w:val="single" w:sz="4" w:space="0" w:color="auto"/>
            </w:tcBorders>
            <w:noWrap/>
            <w:vAlign w:val="bottom"/>
            <w:hideMark/>
          </w:tcPr>
          <w:p w14:paraId="1982ABA7"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0.00</w:t>
            </w:r>
          </w:p>
        </w:tc>
        <w:tc>
          <w:tcPr>
            <w:tcW w:w="1343" w:type="dxa"/>
            <w:tcBorders>
              <w:top w:val="nil"/>
              <w:left w:val="nil"/>
              <w:bottom w:val="single" w:sz="4" w:space="0" w:color="auto"/>
              <w:right w:val="single" w:sz="4" w:space="0" w:color="auto"/>
            </w:tcBorders>
            <w:noWrap/>
            <w:vAlign w:val="bottom"/>
            <w:hideMark/>
          </w:tcPr>
          <w:p w14:paraId="44FFF0D2"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0.00</w:t>
            </w:r>
          </w:p>
        </w:tc>
        <w:tc>
          <w:tcPr>
            <w:tcW w:w="1344" w:type="dxa"/>
            <w:tcBorders>
              <w:top w:val="nil"/>
              <w:left w:val="nil"/>
              <w:bottom w:val="single" w:sz="4" w:space="0" w:color="auto"/>
              <w:right w:val="single" w:sz="8" w:space="0" w:color="auto"/>
            </w:tcBorders>
            <w:noWrap/>
            <w:vAlign w:val="bottom"/>
            <w:hideMark/>
          </w:tcPr>
          <w:p w14:paraId="29C6893F"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0.00</w:t>
            </w:r>
          </w:p>
        </w:tc>
      </w:tr>
      <w:tr w:rsidR="00EA0FD7" w:rsidRPr="00EA0FD7" w14:paraId="66E73ADD" w14:textId="77777777" w:rsidTr="00EA0FD7">
        <w:trPr>
          <w:trHeight w:val="825"/>
        </w:trPr>
        <w:tc>
          <w:tcPr>
            <w:tcW w:w="2884" w:type="dxa"/>
            <w:tcBorders>
              <w:top w:val="nil"/>
              <w:left w:val="single" w:sz="8" w:space="0" w:color="auto"/>
              <w:bottom w:val="single" w:sz="8" w:space="0" w:color="auto"/>
              <w:right w:val="single" w:sz="4" w:space="0" w:color="auto"/>
            </w:tcBorders>
            <w:vAlign w:val="bottom"/>
            <w:hideMark/>
          </w:tcPr>
          <w:p w14:paraId="58836165" w14:textId="75FF4ADD"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Радио</w:t>
            </w:r>
            <w:r w:rsidR="00752F04">
              <w:rPr>
                <w:rFonts w:ascii="Arial" w:eastAsia="Times New Roman" w:hAnsi="Arial" w:cs="Arial"/>
                <w:sz w:val="18"/>
                <w:szCs w:val="18"/>
                <w:lang w:val="sr-Cyrl-RS"/>
              </w:rPr>
              <w:t>-</w:t>
            </w:r>
            <w:r w:rsidRPr="00EA0FD7">
              <w:rPr>
                <w:rFonts w:ascii="Arial" w:eastAsia="Times New Roman" w:hAnsi="Arial" w:cs="Arial"/>
                <w:sz w:val="18"/>
                <w:szCs w:val="18"/>
                <w:lang w:val="sr-Cyrl-RS"/>
              </w:rPr>
              <w:t xml:space="preserve">новинске и издавачке установе </w:t>
            </w:r>
            <w:r w:rsidR="00752F04">
              <w:rPr>
                <w:rFonts w:ascii="Arial" w:eastAsia="Times New Roman" w:hAnsi="Arial" w:cs="Arial"/>
                <w:sz w:val="18"/>
                <w:szCs w:val="18"/>
                <w:lang w:val="sr-Cyrl-RS"/>
              </w:rPr>
              <w:t>„</w:t>
            </w:r>
            <w:r w:rsidRPr="00EA0FD7">
              <w:rPr>
                <w:rFonts w:ascii="Arial" w:eastAsia="Times New Roman" w:hAnsi="Arial" w:cs="Arial"/>
                <w:sz w:val="18"/>
                <w:szCs w:val="18"/>
                <w:lang w:val="sr-Cyrl-RS"/>
              </w:rPr>
              <w:t>Радио Брчко</w:t>
            </w:r>
            <w:r w:rsidR="00752F04">
              <w:rPr>
                <w:rFonts w:ascii="Arial" w:eastAsia="Times New Roman" w:hAnsi="Arial" w:cs="Arial"/>
                <w:sz w:val="18"/>
                <w:szCs w:val="18"/>
                <w:lang w:val="sr-Cyrl-RS"/>
              </w:rPr>
              <w:t>“</w:t>
            </w:r>
            <w:r w:rsidRPr="00EA0FD7">
              <w:rPr>
                <w:rFonts w:ascii="Arial" w:eastAsia="Times New Roman" w:hAnsi="Arial" w:cs="Arial"/>
                <w:sz w:val="18"/>
                <w:szCs w:val="18"/>
                <w:lang w:val="sr-Cyrl-RS"/>
              </w:rPr>
              <w:t xml:space="preserve"> Брчко дистрикта БиХ</w:t>
            </w:r>
          </w:p>
        </w:tc>
        <w:tc>
          <w:tcPr>
            <w:tcW w:w="1401" w:type="dxa"/>
            <w:tcBorders>
              <w:top w:val="nil"/>
              <w:left w:val="nil"/>
              <w:bottom w:val="single" w:sz="8" w:space="0" w:color="auto"/>
              <w:right w:val="single" w:sz="4" w:space="0" w:color="auto"/>
            </w:tcBorders>
            <w:noWrap/>
            <w:vAlign w:val="bottom"/>
            <w:hideMark/>
          </w:tcPr>
          <w:p w14:paraId="433C5182"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13,394.00</w:t>
            </w:r>
          </w:p>
        </w:tc>
        <w:tc>
          <w:tcPr>
            <w:tcW w:w="1525" w:type="dxa"/>
            <w:tcBorders>
              <w:top w:val="nil"/>
              <w:left w:val="nil"/>
              <w:bottom w:val="single" w:sz="8" w:space="0" w:color="auto"/>
              <w:right w:val="single" w:sz="4" w:space="0" w:color="auto"/>
            </w:tcBorders>
            <w:noWrap/>
            <w:vAlign w:val="bottom"/>
            <w:hideMark/>
          </w:tcPr>
          <w:p w14:paraId="7C0FBEB1"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79,220.00</w:t>
            </w:r>
          </w:p>
        </w:tc>
        <w:tc>
          <w:tcPr>
            <w:tcW w:w="1343" w:type="dxa"/>
            <w:tcBorders>
              <w:top w:val="nil"/>
              <w:left w:val="nil"/>
              <w:bottom w:val="single" w:sz="8" w:space="0" w:color="auto"/>
              <w:right w:val="single" w:sz="4" w:space="0" w:color="auto"/>
            </w:tcBorders>
            <w:noWrap/>
            <w:vAlign w:val="bottom"/>
            <w:hideMark/>
          </w:tcPr>
          <w:p w14:paraId="03137DAC"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79,220.00</w:t>
            </w:r>
          </w:p>
        </w:tc>
        <w:tc>
          <w:tcPr>
            <w:tcW w:w="1343" w:type="dxa"/>
            <w:tcBorders>
              <w:top w:val="nil"/>
              <w:left w:val="nil"/>
              <w:bottom w:val="single" w:sz="8" w:space="0" w:color="auto"/>
              <w:right w:val="single" w:sz="4" w:space="0" w:color="auto"/>
            </w:tcBorders>
            <w:noWrap/>
            <w:vAlign w:val="bottom"/>
            <w:hideMark/>
          </w:tcPr>
          <w:p w14:paraId="1DC8DC38"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79,220.00</w:t>
            </w:r>
          </w:p>
        </w:tc>
        <w:tc>
          <w:tcPr>
            <w:tcW w:w="1344" w:type="dxa"/>
            <w:tcBorders>
              <w:top w:val="nil"/>
              <w:left w:val="nil"/>
              <w:bottom w:val="single" w:sz="8" w:space="0" w:color="auto"/>
              <w:right w:val="single" w:sz="8" w:space="0" w:color="auto"/>
            </w:tcBorders>
            <w:noWrap/>
            <w:vAlign w:val="bottom"/>
            <w:hideMark/>
          </w:tcPr>
          <w:p w14:paraId="3DB514AE" w14:textId="77777777" w:rsidR="00EA0FD7" w:rsidRPr="00EA0FD7" w:rsidRDefault="00EA0FD7" w:rsidP="00EA0FD7">
            <w:pPr>
              <w:spacing w:after="0" w:line="240" w:lineRule="auto"/>
              <w:jc w:val="right"/>
              <w:rPr>
                <w:rFonts w:ascii="Arial" w:eastAsia="Times New Roman" w:hAnsi="Arial" w:cs="Arial"/>
                <w:sz w:val="16"/>
                <w:szCs w:val="16"/>
                <w:lang w:val="sr-Cyrl-RS"/>
              </w:rPr>
            </w:pPr>
            <w:r w:rsidRPr="00EA0FD7">
              <w:rPr>
                <w:rFonts w:ascii="Arial" w:eastAsia="Times New Roman" w:hAnsi="Arial" w:cs="Arial"/>
                <w:sz w:val="16"/>
                <w:szCs w:val="16"/>
                <w:lang w:val="sr-Cyrl-RS"/>
              </w:rPr>
              <w:t>79,220.00</w:t>
            </w:r>
          </w:p>
        </w:tc>
      </w:tr>
      <w:tr w:rsidR="00EA0FD7" w:rsidRPr="00EA0FD7" w14:paraId="27929345" w14:textId="77777777" w:rsidTr="00EA0FD7">
        <w:trPr>
          <w:trHeight w:val="525"/>
        </w:trPr>
        <w:tc>
          <w:tcPr>
            <w:tcW w:w="2884" w:type="dxa"/>
            <w:tcBorders>
              <w:top w:val="nil"/>
              <w:left w:val="single" w:sz="8" w:space="0" w:color="auto"/>
              <w:bottom w:val="single" w:sz="8" w:space="0" w:color="auto"/>
              <w:right w:val="single" w:sz="4" w:space="0" w:color="auto"/>
            </w:tcBorders>
            <w:noWrap/>
            <w:vAlign w:val="bottom"/>
            <w:hideMark/>
          </w:tcPr>
          <w:p w14:paraId="4FCA2074" w14:textId="77777777" w:rsidR="00EA0FD7" w:rsidRPr="00EA0FD7" w:rsidRDefault="00EA0FD7" w:rsidP="00EA0FD7">
            <w:pPr>
              <w:spacing w:after="0" w:line="240" w:lineRule="auto"/>
              <w:jc w:val="center"/>
              <w:rPr>
                <w:rFonts w:ascii="Arial" w:eastAsia="Times New Roman" w:hAnsi="Arial" w:cs="Arial"/>
                <w:b/>
                <w:bCs/>
                <w:sz w:val="20"/>
                <w:szCs w:val="20"/>
                <w:lang w:val="sr-Cyrl-RS"/>
              </w:rPr>
            </w:pPr>
            <w:r w:rsidRPr="00EA0FD7">
              <w:rPr>
                <w:rFonts w:ascii="Arial" w:eastAsia="Times New Roman" w:hAnsi="Arial" w:cs="Arial"/>
                <w:b/>
                <w:bCs/>
                <w:sz w:val="20"/>
                <w:szCs w:val="20"/>
                <w:lang w:val="sr-Cyrl-RS"/>
              </w:rPr>
              <w:t>У К У П Н О</w:t>
            </w:r>
          </w:p>
        </w:tc>
        <w:tc>
          <w:tcPr>
            <w:tcW w:w="1401" w:type="dxa"/>
            <w:tcBorders>
              <w:top w:val="nil"/>
              <w:left w:val="nil"/>
              <w:bottom w:val="single" w:sz="8" w:space="0" w:color="auto"/>
              <w:right w:val="single" w:sz="4" w:space="0" w:color="auto"/>
            </w:tcBorders>
            <w:noWrap/>
            <w:vAlign w:val="bottom"/>
            <w:hideMark/>
          </w:tcPr>
          <w:p w14:paraId="184BD8C3"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38,264,045.00</w:t>
            </w:r>
          </w:p>
        </w:tc>
        <w:tc>
          <w:tcPr>
            <w:tcW w:w="1525" w:type="dxa"/>
            <w:tcBorders>
              <w:top w:val="nil"/>
              <w:left w:val="nil"/>
              <w:bottom w:val="single" w:sz="8" w:space="0" w:color="auto"/>
              <w:right w:val="single" w:sz="4" w:space="0" w:color="auto"/>
            </w:tcBorders>
            <w:noWrap/>
            <w:vAlign w:val="bottom"/>
            <w:hideMark/>
          </w:tcPr>
          <w:p w14:paraId="30C7636B"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37,487,816.00</w:t>
            </w:r>
          </w:p>
        </w:tc>
        <w:tc>
          <w:tcPr>
            <w:tcW w:w="1343" w:type="dxa"/>
            <w:tcBorders>
              <w:top w:val="nil"/>
              <w:left w:val="nil"/>
              <w:bottom w:val="single" w:sz="8" w:space="0" w:color="auto"/>
              <w:right w:val="single" w:sz="4" w:space="0" w:color="auto"/>
            </w:tcBorders>
            <w:noWrap/>
            <w:vAlign w:val="bottom"/>
            <w:hideMark/>
          </w:tcPr>
          <w:p w14:paraId="6C3DCAA6"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37,324,487.00</w:t>
            </w:r>
          </w:p>
        </w:tc>
        <w:tc>
          <w:tcPr>
            <w:tcW w:w="1343" w:type="dxa"/>
            <w:tcBorders>
              <w:top w:val="nil"/>
              <w:left w:val="nil"/>
              <w:bottom w:val="single" w:sz="8" w:space="0" w:color="auto"/>
              <w:right w:val="single" w:sz="4" w:space="0" w:color="auto"/>
            </w:tcBorders>
            <w:noWrap/>
            <w:vAlign w:val="bottom"/>
            <w:hideMark/>
          </w:tcPr>
          <w:p w14:paraId="199426C9"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37,299,487.00</w:t>
            </w:r>
          </w:p>
        </w:tc>
        <w:tc>
          <w:tcPr>
            <w:tcW w:w="1344" w:type="dxa"/>
            <w:tcBorders>
              <w:top w:val="nil"/>
              <w:left w:val="nil"/>
              <w:bottom w:val="single" w:sz="8" w:space="0" w:color="auto"/>
              <w:right w:val="single" w:sz="8" w:space="0" w:color="auto"/>
            </w:tcBorders>
            <w:noWrap/>
            <w:vAlign w:val="bottom"/>
            <w:hideMark/>
          </w:tcPr>
          <w:p w14:paraId="63A0B6D2" w14:textId="77777777" w:rsidR="00EA0FD7" w:rsidRPr="00EA0FD7" w:rsidRDefault="00EA0FD7" w:rsidP="00EA0FD7">
            <w:pPr>
              <w:spacing w:after="0" w:line="240" w:lineRule="auto"/>
              <w:jc w:val="right"/>
              <w:rPr>
                <w:rFonts w:ascii="Arial" w:eastAsia="Times New Roman" w:hAnsi="Arial" w:cs="Arial"/>
                <w:b/>
                <w:bCs/>
                <w:sz w:val="16"/>
                <w:szCs w:val="16"/>
                <w:lang w:val="sr-Cyrl-RS"/>
              </w:rPr>
            </w:pPr>
            <w:r w:rsidRPr="00EA0FD7">
              <w:rPr>
                <w:rFonts w:ascii="Arial" w:eastAsia="Times New Roman" w:hAnsi="Arial" w:cs="Arial"/>
                <w:b/>
                <w:bCs/>
                <w:sz w:val="16"/>
                <w:szCs w:val="16"/>
                <w:lang w:val="sr-Cyrl-RS"/>
              </w:rPr>
              <w:t>37,349,487.00</w:t>
            </w:r>
          </w:p>
        </w:tc>
      </w:tr>
    </w:tbl>
    <w:p w14:paraId="3D289702"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5935F281" w14:textId="77777777" w:rsidR="00EA0FD7" w:rsidRPr="00EA0FD7" w:rsidRDefault="00EA0FD7" w:rsidP="00EA0FD7">
      <w:pPr>
        <w:spacing w:after="0" w:line="240" w:lineRule="auto"/>
        <w:rPr>
          <w:rFonts w:ascii="Times New Roman" w:eastAsia="Times New Roman" w:hAnsi="Times New Roman" w:cs="Times New Roman"/>
          <w:sz w:val="24"/>
          <w:lang w:val="sr-Cyrl-RS" w:eastAsia="hr-HR"/>
        </w:rPr>
      </w:pPr>
    </w:p>
    <w:p w14:paraId="05A52359" w14:textId="5B6FE7E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У Табели 4.15. је приказан консолидовани преглед плана јавних расхода буџета и финансијских планова ванбуџетских фондова и ванбуџетских корисника који су обвезници примјене буџетског рачуноводства  за 2023</w:t>
      </w:r>
      <w:r w:rsidR="00752F04">
        <w:rPr>
          <w:rFonts w:ascii="Times New Roman" w:eastAsia="Times New Roman" w:hAnsi="Times New Roman" w:cs="Times New Roman"/>
          <w:sz w:val="24"/>
          <w:lang w:val="sr-Cyrl-RS" w:eastAsia="hr-HR"/>
        </w:rPr>
        <w:t>–</w:t>
      </w:r>
      <w:r w:rsidRPr="00EA0FD7">
        <w:rPr>
          <w:rFonts w:ascii="Times New Roman" w:eastAsia="Times New Roman" w:hAnsi="Times New Roman" w:cs="Times New Roman"/>
          <w:sz w:val="24"/>
          <w:lang w:val="sr-Cyrl-RS" w:eastAsia="hr-HR"/>
        </w:rPr>
        <w:t xml:space="preserve">2025. </w:t>
      </w:r>
      <w:bookmarkStart w:id="96" w:name="_Toc33350771"/>
      <w:bookmarkStart w:id="97" w:name="_Toc33323337"/>
      <w:bookmarkStart w:id="98" w:name="_Toc33322503"/>
      <w:r w:rsidRPr="00EA0FD7">
        <w:rPr>
          <w:rFonts w:ascii="Times New Roman" w:eastAsia="Times New Roman" w:hAnsi="Times New Roman" w:cs="Times New Roman"/>
          <w:sz w:val="24"/>
          <w:lang w:val="sr-Cyrl-RS" w:eastAsia="hr-HR"/>
        </w:rPr>
        <w:t>годину.</w:t>
      </w:r>
    </w:p>
    <w:tbl>
      <w:tblPr>
        <w:tblW w:w="10060" w:type="dxa"/>
        <w:tblInd w:w="96" w:type="dxa"/>
        <w:tblLook w:val="04A0" w:firstRow="1" w:lastRow="0" w:firstColumn="1" w:lastColumn="0" w:noHBand="0" w:noVBand="1"/>
      </w:tblPr>
      <w:tblGrid>
        <w:gridCol w:w="3039"/>
        <w:gridCol w:w="1563"/>
        <w:gridCol w:w="1628"/>
        <w:gridCol w:w="1276"/>
        <w:gridCol w:w="1276"/>
        <w:gridCol w:w="1278"/>
      </w:tblGrid>
      <w:tr w:rsidR="00EA0FD7" w:rsidRPr="00EA0FD7" w14:paraId="450C92AD" w14:textId="77777777" w:rsidTr="00EA0FD7">
        <w:trPr>
          <w:trHeight w:val="780"/>
        </w:trPr>
        <w:tc>
          <w:tcPr>
            <w:tcW w:w="10060" w:type="dxa"/>
            <w:gridSpan w:val="6"/>
            <w:vAlign w:val="bottom"/>
            <w:hideMark/>
          </w:tcPr>
          <w:p w14:paraId="2B49B0B3" w14:textId="55180E06" w:rsidR="00EA0FD7" w:rsidRPr="00EA0FD7" w:rsidRDefault="00EA0FD7" w:rsidP="00EA0FD7">
            <w:pPr>
              <w:spacing w:after="0" w:line="240" w:lineRule="auto"/>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 xml:space="preserve">Табела 4.15. </w:t>
            </w:r>
            <w:r w:rsidRPr="00EA0FD7">
              <w:rPr>
                <w:rFonts w:ascii="Arial" w:eastAsia="Times New Roman" w:hAnsi="Arial" w:cs="Arial"/>
                <w:sz w:val="18"/>
                <w:szCs w:val="18"/>
                <w:lang w:val="sr-Cyrl-RS"/>
              </w:rPr>
              <w:t xml:space="preserve"> Консолидовани преглед плана јавних расхода буџета и финансијских планова ванбуџетских фондова и ванбуџетских корисника који су обвезници примјене буџетског рачуноводства за 2023</w:t>
            </w:r>
            <w:r w:rsidR="00752F04">
              <w:rPr>
                <w:rFonts w:ascii="Arial" w:eastAsia="Times New Roman" w:hAnsi="Arial" w:cs="Arial"/>
                <w:sz w:val="18"/>
                <w:szCs w:val="18"/>
                <w:lang w:val="sr-Cyrl-RS"/>
              </w:rPr>
              <w:t>–</w:t>
            </w:r>
            <w:r w:rsidRPr="00EA0FD7">
              <w:rPr>
                <w:rFonts w:ascii="Arial" w:eastAsia="Times New Roman" w:hAnsi="Arial" w:cs="Arial"/>
                <w:sz w:val="18"/>
                <w:szCs w:val="18"/>
                <w:lang w:val="sr-Cyrl-RS"/>
              </w:rPr>
              <w:t>2025. годину</w:t>
            </w:r>
          </w:p>
        </w:tc>
      </w:tr>
      <w:tr w:rsidR="00EA0FD7" w:rsidRPr="00EA0FD7" w14:paraId="735419F6" w14:textId="77777777" w:rsidTr="00EA0FD7">
        <w:trPr>
          <w:trHeight w:val="270"/>
        </w:trPr>
        <w:tc>
          <w:tcPr>
            <w:tcW w:w="3039" w:type="dxa"/>
            <w:noWrap/>
            <w:vAlign w:val="bottom"/>
          </w:tcPr>
          <w:p w14:paraId="0E63D3E9"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563" w:type="dxa"/>
            <w:noWrap/>
            <w:vAlign w:val="bottom"/>
          </w:tcPr>
          <w:p w14:paraId="26C55C0D"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628" w:type="dxa"/>
            <w:noWrap/>
            <w:vAlign w:val="bottom"/>
          </w:tcPr>
          <w:p w14:paraId="7C69205B"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276" w:type="dxa"/>
            <w:noWrap/>
            <w:vAlign w:val="bottom"/>
          </w:tcPr>
          <w:p w14:paraId="680B47C1"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276" w:type="dxa"/>
            <w:noWrap/>
            <w:vAlign w:val="bottom"/>
          </w:tcPr>
          <w:p w14:paraId="13CCAB55" w14:textId="77777777" w:rsidR="00EA0FD7" w:rsidRPr="00EA0FD7" w:rsidRDefault="00EA0FD7" w:rsidP="00EA0FD7">
            <w:pPr>
              <w:spacing w:after="0" w:line="240" w:lineRule="auto"/>
              <w:rPr>
                <w:rFonts w:ascii="Arial" w:eastAsia="Times New Roman" w:hAnsi="Arial" w:cs="Arial"/>
                <w:sz w:val="20"/>
                <w:szCs w:val="20"/>
                <w:lang w:val="sr-Cyrl-RS"/>
              </w:rPr>
            </w:pPr>
          </w:p>
        </w:tc>
        <w:tc>
          <w:tcPr>
            <w:tcW w:w="1278" w:type="dxa"/>
            <w:noWrap/>
            <w:vAlign w:val="bottom"/>
          </w:tcPr>
          <w:p w14:paraId="2DD584CB" w14:textId="77777777" w:rsidR="00EA0FD7" w:rsidRPr="00EA0FD7" w:rsidRDefault="00EA0FD7" w:rsidP="00EA0FD7">
            <w:pPr>
              <w:spacing w:after="0" w:line="240" w:lineRule="auto"/>
              <w:rPr>
                <w:rFonts w:ascii="Arial" w:eastAsia="Times New Roman" w:hAnsi="Arial" w:cs="Arial"/>
                <w:sz w:val="20"/>
                <w:szCs w:val="20"/>
                <w:lang w:val="sr-Cyrl-RS"/>
              </w:rPr>
            </w:pPr>
          </w:p>
        </w:tc>
      </w:tr>
      <w:tr w:rsidR="00EA0FD7" w:rsidRPr="00EA0FD7" w14:paraId="4C478C65" w14:textId="77777777" w:rsidTr="00EA0FD7">
        <w:trPr>
          <w:trHeight w:val="300"/>
        </w:trPr>
        <w:tc>
          <w:tcPr>
            <w:tcW w:w="3039" w:type="dxa"/>
            <w:vMerge w:val="restart"/>
            <w:tcBorders>
              <w:top w:val="single" w:sz="8" w:space="0" w:color="auto"/>
              <w:left w:val="single" w:sz="8" w:space="0" w:color="auto"/>
              <w:bottom w:val="single" w:sz="8" w:space="0" w:color="000000"/>
              <w:right w:val="single" w:sz="8" w:space="0" w:color="auto"/>
            </w:tcBorders>
            <w:shd w:val="clear" w:color="auto" w:fill="FFFF00"/>
            <w:vAlign w:val="center"/>
            <w:hideMark/>
          </w:tcPr>
          <w:p w14:paraId="7C74F7BC"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БУЏЕТСКИ</w:t>
            </w:r>
            <w:r w:rsidRPr="00EA0FD7">
              <w:rPr>
                <w:rFonts w:ascii="Arial" w:eastAsia="Times New Roman" w:hAnsi="Arial" w:cs="Arial"/>
                <w:b/>
                <w:bCs/>
                <w:sz w:val="18"/>
                <w:szCs w:val="18"/>
                <w:lang w:val="sr-Cyrl-RS"/>
              </w:rPr>
              <w:br/>
              <w:t xml:space="preserve"> КОРИСНИК</w:t>
            </w:r>
          </w:p>
        </w:tc>
        <w:tc>
          <w:tcPr>
            <w:tcW w:w="1563" w:type="dxa"/>
            <w:vMerge w:val="restart"/>
            <w:tcBorders>
              <w:top w:val="single" w:sz="8" w:space="0" w:color="auto"/>
              <w:left w:val="single" w:sz="8" w:space="0" w:color="auto"/>
              <w:bottom w:val="single" w:sz="8" w:space="0" w:color="000000"/>
              <w:right w:val="single" w:sz="8" w:space="0" w:color="auto"/>
            </w:tcBorders>
            <w:shd w:val="clear" w:color="auto" w:fill="FFFF00"/>
            <w:vAlign w:val="center"/>
            <w:hideMark/>
          </w:tcPr>
          <w:p w14:paraId="2E50F3CA"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Извршење</w:t>
            </w:r>
            <w:r w:rsidRPr="00EA0FD7">
              <w:rPr>
                <w:rFonts w:ascii="Arial" w:eastAsia="Times New Roman" w:hAnsi="Arial" w:cs="Arial"/>
                <w:b/>
                <w:bCs/>
                <w:sz w:val="18"/>
                <w:szCs w:val="18"/>
                <w:lang w:val="sr-Cyrl-RS"/>
              </w:rPr>
              <w:br/>
              <w:t>2021.</w:t>
            </w:r>
          </w:p>
        </w:tc>
        <w:tc>
          <w:tcPr>
            <w:tcW w:w="1628" w:type="dxa"/>
            <w:vMerge w:val="restart"/>
            <w:tcBorders>
              <w:top w:val="single" w:sz="8" w:space="0" w:color="auto"/>
              <w:left w:val="single" w:sz="8" w:space="0" w:color="auto"/>
              <w:bottom w:val="single" w:sz="8" w:space="0" w:color="000000"/>
              <w:right w:val="single" w:sz="8" w:space="0" w:color="auto"/>
            </w:tcBorders>
            <w:shd w:val="clear" w:color="auto" w:fill="FFFF00"/>
            <w:vAlign w:val="center"/>
            <w:hideMark/>
          </w:tcPr>
          <w:p w14:paraId="72A55609"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План</w:t>
            </w:r>
            <w:r w:rsidRPr="00EA0FD7">
              <w:rPr>
                <w:rFonts w:ascii="Arial" w:eastAsia="Times New Roman" w:hAnsi="Arial" w:cs="Arial"/>
                <w:b/>
                <w:bCs/>
                <w:sz w:val="18"/>
                <w:szCs w:val="18"/>
                <w:lang w:val="sr-Cyrl-RS"/>
              </w:rPr>
              <w:br/>
              <w:t xml:space="preserve"> 2022.</w:t>
            </w:r>
          </w:p>
        </w:tc>
        <w:tc>
          <w:tcPr>
            <w:tcW w:w="3830" w:type="dxa"/>
            <w:gridSpan w:val="3"/>
            <w:tcBorders>
              <w:top w:val="single" w:sz="8" w:space="0" w:color="auto"/>
              <w:left w:val="nil"/>
              <w:bottom w:val="single" w:sz="8" w:space="0" w:color="auto"/>
              <w:right w:val="single" w:sz="8" w:space="0" w:color="000000"/>
            </w:tcBorders>
            <w:shd w:val="clear" w:color="auto" w:fill="FFFF00"/>
            <w:noWrap/>
            <w:vAlign w:val="center"/>
            <w:hideMark/>
          </w:tcPr>
          <w:p w14:paraId="4BE28650" w14:textId="77777777"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Процјена</w:t>
            </w:r>
          </w:p>
        </w:tc>
      </w:tr>
      <w:tr w:rsidR="00EA0FD7" w:rsidRPr="00EA0FD7" w14:paraId="7914A0E7" w14:textId="77777777" w:rsidTr="00EA0FD7">
        <w:trPr>
          <w:trHeight w:val="81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E1D6A8"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F4CE50"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B9BA076" w14:textId="77777777" w:rsidR="00EA0FD7" w:rsidRPr="00EA0FD7" w:rsidRDefault="00EA0FD7" w:rsidP="00EA0FD7">
            <w:pPr>
              <w:spacing w:after="0" w:line="240" w:lineRule="auto"/>
              <w:rPr>
                <w:rFonts w:ascii="Arial" w:eastAsia="Times New Roman" w:hAnsi="Arial" w:cs="Arial"/>
                <w:b/>
                <w:bCs/>
                <w:sz w:val="18"/>
                <w:szCs w:val="18"/>
                <w:lang w:val="sr-Cyrl-RS"/>
              </w:rPr>
            </w:pPr>
          </w:p>
        </w:tc>
        <w:tc>
          <w:tcPr>
            <w:tcW w:w="1276" w:type="dxa"/>
            <w:tcBorders>
              <w:top w:val="nil"/>
              <w:left w:val="nil"/>
              <w:bottom w:val="single" w:sz="8" w:space="0" w:color="auto"/>
              <w:right w:val="single" w:sz="8" w:space="0" w:color="auto"/>
            </w:tcBorders>
            <w:shd w:val="clear" w:color="auto" w:fill="FFFF00"/>
            <w:noWrap/>
            <w:vAlign w:val="center"/>
            <w:hideMark/>
          </w:tcPr>
          <w:p w14:paraId="7C67C10E" w14:textId="16DED63F"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2023</w:t>
            </w:r>
            <w:r w:rsidR="00752F04">
              <w:rPr>
                <w:rFonts w:ascii="Arial" w:eastAsia="Times New Roman" w:hAnsi="Arial" w:cs="Arial"/>
                <w:b/>
                <w:bCs/>
                <w:sz w:val="18"/>
                <w:szCs w:val="18"/>
                <w:lang w:val="sr-Cyrl-RS"/>
              </w:rPr>
              <w:t>.</w:t>
            </w:r>
          </w:p>
        </w:tc>
        <w:tc>
          <w:tcPr>
            <w:tcW w:w="1276" w:type="dxa"/>
            <w:tcBorders>
              <w:top w:val="nil"/>
              <w:left w:val="nil"/>
              <w:bottom w:val="single" w:sz="8" w:space="0" w:color="auto"/>
              <w:right w:val="single" w:sz="8" w:space="0" w:color="auto"/>
            </w:tcBorders>
            <w:shd w:val="clear" w:color="auto" w:fill="FFFF00"/>
            <w:noWrap/>
            <w:vAlign w:val="center"/>
            <w:hideMark/>
          </w:tcPr>
          <w:p w14:paraId="33662F65" w14:textId="7DCDEF19"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2024</w:t>
            </w:r>
            <w:r w:rsidR="00752F04">
              <w:rPr>
                <w:rFonts w:ascii="Arial" w:eastAsia="Times New Roman" w:hAnsi="Arial" w:cs="Arial"/>
                <w:b/>
                <w:bCs/>
                <w:sz w:val="18"/>
                <w:szCs w:val="18"/>
                <w:lang w:val="sr-Cyrl-RS"/>
              </w:rPr>
              <w:t>.</w:t>
            </w:r>
          </w:p>
        </w:tc>
        <w:tc>
          <w:tcPr>
            <w:tcW w:w="1278" w:type="dxa"/>
            <w:tcBorders>
              <w:top w:val="nil"/>
              <w:left w:val="nil"/>
              <w:bottom w:val="single" w:sz="8" w:space="0" w:color="auto"/>
              <w:right w:val="single" w:sz="8" w:space="0" w:color="auto"/>
            </w:tcBorders>
            <w:shd w:val="clear" w:color="auto" w:fill="FFFF00"/>
            <w:noWrap/>
            <w:vAlign w:val="center"/>
            <w:hideMark/>
          </w:tcPr>
          <w:p w14:paraId="72351286" w14:textId="605A8578" w:rsidR="00EA0FD7" w:rsidRPr="00EA0FD7" w:rsidRDefault="00EA0FD7" w:rsidP="00EA0FD7">
            <w:pPr>
              <w:spacing w:after="0" w:line="240" w:lineRule="auto"/>
              <w:jc w:val="center"/>
              <w:rPr>
                <w:rFonts w:ascii="Arial" w:eastAsia="Times New Roman" w:hAnsi="Arial" w:cs="Arial"/>
                <w:b/>
                <w:bCs/>
                <w:sz w:val="18"/>
                <w:szCs w:val="18"/>
                <w:lang w:val="sr-Cyrl-RS"/>
              </w:rPr>
            </w:pPr>
            <w:r w:rsidRPr="00EA0FD7">
              <w:rPr>
                <w:rFonts w:ascii="Arial" w:eastAsia="Times New Roman" w:hAnsi="Arial" w:cs="Arial"/>
                <w:b/>
                <w:bCs/>
                <w:sz w:val="18"/>
                <w:szCs w:val="18"/>
                <w:lang w:val="sr-Cyrl-RS"/>
              </w:rPr>
              <w:t>2025</w:t>
            </w:r>
            <w:r w:rsidR="00752F04">
              <w:rPr>
                <w:rFonts w:ascii="Arial" w:eastAsia="Times New Roman" w:hAnsi="Arial" w:cs="Arial"/>
                <w:b/>
                <w:bCs/>
                <w:sz w:val="18"/>
                <w:szCs w:val="18"/>
                <w:lang w:val="sr-Cyrl-RS"/>
              </w:rPr>
              <w:t>.</w:t>
            </w:r>
          </w:p>
        </w:tc>
      </w:tr>
      <w:tr w:rsidR="00EA0FD7" w:rsidRPr="00EA0FD7" w14:paraId="71DFF415" w14:textId="77777777" w:rsidTr="00EA0FD7">
        <w:trPr>
          <w:trHeight w:val="300"/>
        </w:trPr>
        <w:tc>
          <w:tcPr>
            <w:tcW w:w="3039" w:type="dxa"/>
            <w:tcBorders>
              <w:top w:val="single" w:sz="4" w:space="0" w:color="auto"/>
              <w:left w:val="single" w:sz="8" w:space="0" w:color="auto"/>
              <w:bottom w:val="single" w:sz="4" w:space="0" w:color="auto"/>
              <w:right w:val="single" w:sz="4" w:space="0" w:color="auto"/>
            </w:tcBorders>
            <w:noWrap/>
            <w:vAlign w:val="bottom"/>
            <w:hideMark/>
          </w:tcPr>
          <w:p w14:paraId="276DB26F" w14:textId="13513F33"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Скупштина Брчко дистрикта</w:t>
            </w:r>
            <w:r w:rsidR="00752F04">
              <w:rPr>
                <w:rFonts w:ascii="Arial" w:eastAsia="Times New Roman" w:hAnsi="Arial" w:cs="Arial"/>
                <w:sz w:val="18"/>
                <w:szCs w:val="18"/>
                <w:lang w:val="sr-Cyrl-RS"/>
              </w:rPr>
              <w:t xml:space="preserve"> БиХ</w:t>
            </w:r>
          </w:p>
        </w:tc>
        <w:tc>
          <w:tcPr>
            <w:tcW w:w="1563" w:type="dxa"/>
            <w:tcBorders>
              <w:top w:val="single" w:sz="4" w:space="0" w:color="auto"/>
              <w:left w:val="nil"/>
              <w:bottom w:val="single" w:sz="4" w:space="0" w:color="auto"/>
              <w:right w:val="single" w:sz="4" w:space="0" w:color="auto"/>
            </w:tcBorders>
            <w:noWrap/>
            <w:vAlign w:val="bottom"/>
            <w:hideMark/>
          </w:tcPr>
          <w:p w14:paraId="3663112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5,585,977.46</w:t>
            </w:r>
          </w:p>
        </w:tc>
        <w:tc>
          <w:tcPr>
            <w:tcW w:w="1628" w:type="dxa"/>
            <w:tcBorders>
              <w:top w:val="single" w:sz="4" w:space="0" w:color="auto"/>
              <w:left w:val="nil"/>
              <w:bottom w:val="single" w:sz="4" w:space="0" w:color="auto"/>
              <w:right w:val="single" w:sz="4" w:space="0" w:color="auto"/>
            </w:tcBorders>
            <w:noWrap/>
            <w:vAlign w:val="bottom"/>
            <w:hideMark/>
          </w:tcPr>
          <w:p w14:paraId="11970F2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7,067,614</w:t>
            </w:r>
          </w:p>
        </w:tc>
        <w:tc>
          <w:tcPr>
            <w:tcW w:w="1276" w:type="dxa"/>
            <w:tcBorders>
              <w:top w:val="single" w:sz="4" w:space="0" w:color="auto"/>
              <w:left w:val="nil"/>
              <w:bottom w:val="single" w:sz="4" w:space="0" w:color="auto"/>
              <w:right w:val="single" w:sz="4" w:space="0" w:color="auto"/>
            </w:tcBorders>
            <w:noWrap/>
            <w:vAlign w:val="bottom"/>
            <w:hideMark/>
          </w:tcPr>
          <w:p w14:paraId="6B2CB47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6,208,953</w:t>
            </w:r>
          </w:p>
        </w:tc>
        <w:tc>
          <w:tcPr>
            <w:tcW w:w="1276" w:type="dxa"/>
            <w:tcBorders>
              <w:top w:val="single" w:sz="4" w:space="0" w:color="auto"/>
              <w:left w:val="nil"/>
              <w:bottom w:val="single" w:sz="4" w:space="0" w:color="auto"/>
              <w:right w:val="single" w:sz="4" w:space="0" w:color="auto"/>
            </w:tcBorders>
            <w:noWrap/>
            <w:vAlign w:val="bottom"/>
            <w:hideMark/>
          </w:tcPr>
          <w:p w14:paraId="2D1411A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6,603,001</w:t>
            </w:r>
          </w:p>
        </w:tc>
        <w:tc>
          <w:tcPr>
            <w:tcW w:w="1278" w:type="dxa"/>
            <w:tcBorders>
              <w:top w:val="single" w:sz="4" w:space="0" w:color="auto"/>
              <w:left w:val="nil"/>
              <w:bottom w:val="single" w:sz="4" w:space="0" w:color="auto"/>
              <w:right w:val="single" w:sz="8" w:space="0" w:color="auto"/>
            </w:tcBorders>
            <w:noWrap/>
            <w:vAlign w:val="bottom"/>
            <w:hideMark/>
          </w:tcPr>
          <w:p w14:paraId="75F5CDA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6,231,766</w:t>
            </w:r>
          </w:p>
        </w:tc>
      </w:tr>
      <w:tr w:rsidR="00EA0FD7" w:rsidRPr="00EA0FD7" w14:paraId="52C3EAA6" w14:textId="77777777" w:rsidTr="00EA0FD7">
        <w:trPr>
          <w:trHeight w:val="300"/>
        </w:trPr>
        <w:tc>
          <w:tcPr>
            <w:tcW w:w="3039" w:type="dxa"/>
            <w:tcBorders>
              <w:top w:val="nil"/>
              <w:left w:val="single" w:sz="8" w:space="0" w:color="auto"/>
              <w:bottom w:val="single" w:sz="4" w:space="0" w:color="auto"/>
              <w:right w:val="single" w:sz="4" w:space="0" w:color="auto"/>
            </w:tcBorders>
            <w:noWrap/>
            <w:vAlign w:val="bottom"/>
            <w:hideMark/>
          </w:tcPr>
          <w:p w14:paraId="37A3B740"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Канцеларија градоначелника</w:t>
            </w:r>
          </w:p>
        </w:tc>
        <w:tc>
          <w:tcPr>
            <w:tcW w:w="1563" w:type="dxa"/>
            <w:tcBorders>
              <w:top w:val="nil"/>
              <w:left w:val="nil"/>
              <w:bottom w:val="single" w:sz="4" w:space="0" w:color="auto"/>
              <w:right w:val="single" w:sz="4" w:space="0" w:color="auto"/>
            </w:tcBorders>
            <w:noWrap/>
            <w:vAlign w:val="bottom"/>
            <w:hideMark/>
          </w:tcPr>
          <w:p w14:paraId="1EB9E23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7,292,629.07</w:t>
            </w:r>
          </w:p>
        </w:tc>
        <w:tc>
          <w:tcPr>
            <w:tcW w:w="1628" w:type="dxa"/>
            <w:tcBorders>
              <w:top w:val="nil"/>
              <w:left w:val="nil"/>
              <w:bottom w:val="single" w:sz="4" w:space="0" w:color="auto"/>
              <w:right w:val="single" w:sz="4" w:space="0" w:color="auto"/>
            </w:tcBorders>
            <w:noWrap/>
            <w:vAlign w:val="bottom"/>
            <w:hideMark/>
          </w:tcPr>
          <w:p w14:paraId="5C27911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7,920,170</w:t>
            </w:r>
          </w:p>
        </w:tc>
        <w:tc>
          <w:tcPr>
            <w:tcW w:w="1276" w:type="dxa"/>
            <w:tcBorders>
              <w:top w:val="nil"/>
              <w:left w:val="nil"/>
              <w:bottom w:val="single" w:sz="4" w:space="0" w:color="auto"/>
              <w:right w:val="single" w:sz="4" w:space="0" w:color="auto"/>
            </w:tcBorders>
            <w:noWrap/>
            <w:vAlign w:val="bottom"/>
            <w:hideMark/>
          </w:tcPr>
          <w:p w14:paraId="74F64C5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8,452,662</w:t>
            </w:r>
          </w:p>
        </w:tc>
        <w:tc>
          <w:tcPr>
            <w:tcW w:w="1276" w:type="dxa"/>
            <w:tcBorders>
              <w:top w:val="nil"/>
              <w:left w:val="nil"/>
              <w:bottom w:val="single" w:sz="4" w:space="0" w:color="auto"/>
              <w:right w:val="single" w:sz="4" w:space="0" w:color="auto"/>
            </w:tcBorders>
            <w:noWrap/>
            <w:vAlign w:val="bottom"/>
            <w:hideMark/>
          </w:tcPr>
          <w:p w14:paraId="27DC754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8,047,790</w:t>
            </w:r>
          </w:p>
        </w:tc>
        <w:tc>
          <w:tcPr>
            <w:tcW w:w="1278" w:type="dxa"/>
            <w:tcBorders>
              <w:top w:val="nil"/>
              <w:left w:val="nil"/>
              <w:bottom w:val="single" w:sz="4" w:space="0" w:color="auto"/>
              <w:right w:val="single" w:sz="4" w:space="0" w:color="auto"/>
            </w:tcBorders>
            <w:noWrap/>
            <w:vAlign w:val="bottom"/>
            <w:hideMark/>
          </w:tcPr>
          <w:p w14:paraId="4F8C41C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8,052,015</w:t>
            </w:r>
          </w:p>
        </w:tc>
      </w:tr>
      <w:tr w:rsidR="00EA0FD7" w:rsidRPr="00EA0FD7" w14:paraId="59F496D0" w14:textId="77777777" w:rsidTr="00EA0FD7">
        <w:trPr>
          <w:trHeight w:val="300"/>
        </w:trPr>
        <w:tc>
          <w:tcPr>
            <w:tcW w:w="3039" w:type="dxa"/>
            <w:tcBorders>
              <w:top w:val="nil"/>
              <w:left w:val="single" w:sz="8" w:space="0" w:color="auto"/>
              <w:bottom w:val="single" w:sz="4" w:space="0" w:color="auto"/>
              <w:right w:val="single" w:sz="4" w:space="0" w:color="auto"/>
            </w:tcBorders>
            <w:noWrap/>
            <w:vAlign w:val="bottom"/>
            <w:hideMark/>
          </w:tcPr>
          <w:p w14:paraId="410DB21B" w14:textId="5EC1DCE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Правосуђе Брчко дистрикта</w:t>
            </w:r>
            <w:r w:rsidR="00752F04">
              <w:rPr>
                <w:rFonts w:ascii="Arial" w:eastAsia="Times New Roman" w:hAnsi="Arial" w:cs="Arial"/>
                <w:sz w:val="18"/>
                <w:szCs w:val="18"/>
                <w:lang w:val="sr-Cyrl-RS"/>
              </w:rPr>
              <w:t xml:space="preserve"> БиХ</w:t>
            </w:r>
          </w:p>
        </w:tc>
        <w:tc>
          <w:tcPr>
            <w:tcW w:w="1563" w:type="dxa"/>
            <w:tcBorders>
              <w:top w:val="nil"/>
              <w:left w:val="nil"/>
              <w:bottom w:val="single" w:sz="4" w:space="0" w:color="auto"/>
              <w:right w:val="single" w:sz="4" w:space="0" w:color="auto"/>
            </w:tcBorders>
            <w:noWrap/>
            <w:vAlign w:val="bottom"/>
            <w:hideMark/>
          </w:tcPr>
          <w:p w14:paraId="45767A7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11,443,638.63</w:t>
            </w:r>
          </w:p>
        </w:tc>
        <w:tc>
          <w:tcPr>
            <w:tcW w:w="1628" w:type="dxa"/>
            <w:tcBorders>
              <w:top w:val="nil"/>
              <w:left w:val="nil"/>
              <w:bottom w:val="single" w:sz="4" w:space="0" w:color="auto"/>
              <w:right w:val="single" w:sz="4" w:space="0" w:color="auto"/>
            </w:tcBorders>
            <w:noWrap/>
            <w:vAlign w:val="bottom"/>
            <w:hideMark/>
          </w:tcPr>
          <w:p w14:paraId="6D44299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13,516,910</w:t>
            </w:r>
          </w:p>
        </w:tc>
        <w:tc>
          <w:tcPr>
            <w:tcW w:w="1276" w:type="dxa"/>
            <w:tcBorders>
              <w:top w:val="nil"/>
              <w:left w:val="nil"/>
              <w:bottom w:val="single" w:sz="4" w:space="0" w:color="auto"/>
              <w:right w:val="single" w:sz="4" w:space="0" w:color="auto"/>
            </w:tcBorders>
            <w:noWrap/>
            <w:vAlign w:val="bottom"/>
            <w:hideMark/>
          </w:tcPr>
          <w:p w14:paraId="6AFBD52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14,454,507</w:t>
            </w:r>
          </w:p>
        </w:tc>
        <w:tc>
          <w:tcPr>
            <w:tcW w:w="1276" w:type="dxa"/>
            <w:tcBorders>
              <w:top w:val="nil"/>
              <w:left w:val="nil"/>
              <w:bottom w:val="single" w:sz="4" w:space="0" w:color="auto"/>
              <w:right w:val="single" w:sz="4" w:space="0" w:color="auto"/>
            </w:tcBorders>
            <w:noWrap/>
            <w:vAlign w:val="bottom"/>
            <w:hideMark/>
          </w:tcPr>
          <w:p w14:paraId="5A2D109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13,775,374</w:t>
            </w:r>
          </w:p>
        </w:tc>
        <w:tc>
          <w:tcPr>
            <w:tcW w:w="1278" w:type="dxa"/>
            <w:tcBorders>
              <w:top w:val="nil"/>
              <w:left w:val="nil"/>
              <w:bottom w:val="single" w:sz="4" w:space="0" w:color="auto"/>
              <w:right w:val="single" w:sz="8" w:space="0" w:color="auto"/>
            </w:tcBorders>
            <w:noWrap/>
            <w:vAlign w:val="bottom"/>
            <w:hideMark/>
          </w:tcPr>
          <w:p w14:paraId="0DE3099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13,775,705</w:t>
            </w:r>
          </w:p>
        </w:tc>
      </w:tr>
      <w:tr w:rsidR="00EA0FD7" w:rsidRPr="00EA0FD7" w14:paraId="1AE6031C" w14:textId="77777777" w:rsidTr="00EA0FD7">
        <w:trPr>
          <w:trHeight w:val="300"/>
        </w:trPr>
        <w:tc>
          <w:tcPr>
            <w:tcW w:w="3039" w:type="dxa"/>
            <w:tcBorders>
              <w:top w:val="nil"/>
              <w:left w:val="single" w:sz="8" w:space="0" w:color="auto"/>
              <w:bottom w:val="single" w:sz="4" w:space="0" w:color="auto"/>
              <w:right w:val="single" w:sz="4" w:space="0" w:color="auto"/>
            </w:tcBorders>
            <w:noWrap/>
            <w:vAlign w:val="bottom"/>
            <w:hideMark/>
          </w:tcPr>
          <w:p w14:paraId="174A8E0B" w14:textId="54B3D86B"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lastRenderedPageBreak/>
              <w:t>Полиција Брчко дистрикта</w:t>
            </w:r>
            <w:r w:rsidR="00752F04">
              <w:rPr>
                <w:rFonts w:ascii="Arial" w:eastAsia="Times New Roman" w:hAnsi="Arial" w:cs="Arial"/>
                <w:sz w:val="18"/>
                <w:szCs w:val="18"/>
                <w:lang w:val="sr-Cyrl-RS"/>
              </w:rPr>
              <w:t xml:space="preserve"> БиХ</w:t>
            </w:r>
          </w:p>
        </w:tc>
        <w:tc>
          <w:tcPr>
            <w:tcW w:w="1563" w:type="dxa"/>
            <w:tcBorders>
              <w:top w:val="nil"/>
              <w:left w:val="nil"/>
              <w:bottom w:val="single" w:sz="4" w:space="0" w:color="auto"/>
              <w:right w:val="single" w:sz="4" w:space="0" w:color="auto"/>
            </w:tcBorders>
            <w:noWrap/>
            <w:vAlign w:val="bottom"/>
            <w:hideMark/>
          </w:tcPr>
          <w:p w14:paraId="223805B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12,330,324.14</w:t>
            </w:r>
          </w:p>
        </w:tc>
        <w:tc>
          <w:tcPr>
            <w:tcW w:w="1628" w:type="dxa"/>
            <w:tcBorders>
              <w:top w:val="nil"/>
              <w:left w:val="nil"/>
              <w:bottom w:val="single" w:sz="4" w:space="0" w:color="auto"/>
              <w:right w:val="single" w:sz="4" w:space="0" w:color="auto"/>
            </w:tcBorders>
            <w:noWrap/>
            <w:vAlign w:val="bottom"/>
            <w:hideMark/>
          </w:tcPr>
          <w:p w14:paraId="5A40803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15,209,431</w:t>
            </w:r>
          </w:p>
        </w:tc>
        <w:tc>
          <w:tcPr>
            <w:tcW w:w="1276" w:type="dxa"/>
            <w:tcBorders>
              <w:top w:val="nil"/>
              <w:left w:val="nil"/>
              <w:bottom w:val="single" w:sz="4" w:space="0" w:color="auto"/>
              <w:right w:val="single" w:sz="4" w:space="0" w:color="auto"/>
            </w:tcBorders>
            <w:noWrap/>
            <w:vAlign w:val="bottom"/>
            <w:hideMark/>
          </w:tcPr>
          <w:p w14:paraId="7783C16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17,697,329</w:t>
            </w:r>
          </w:p>
        </w:tc>
        <w:tc>
          <w:tcPr>
            <w:tcW w:w="1276" w:type="dxa"/>
            <w:tcBorders>
              <w:top w:val="nil"/>
              <w:left w:val="nil"/>
              <w:bottom w:val="single" w:sz="4" w:space="0" w:color="auto"/>
              <w:right w:val="single" w:sz="4" w:space="0" w:color="auto"/>
            </w:tcBorders>
            <w:noWrap/>
            <w:vAlign w:val="bottom"/>
            <w:hideMark/>
          </w:tcPr>
          <w:p w14:paraId="149F7D3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16,130,329</w:t>
            </w:r>
          </w:p>
        </w:tc>
        <w:tc>
          <w:tcPr>
            <w:tcW w:w="1278" w:type="dxa"/>
            <w:tcBorders>
              <w:top w:val="nil"/>
              <w:left w:val="nil"/>
              <w:bottom w:val="single" w:sz="4" w:space="0" w:color="auto"/>
              <w:right w:val="single" w:sz="8" w:space="0" w:color="auto"/>
            </w:tcBorders>
            <w:noWrap/>
            <w:vAlign w:val="bottom"/>
            <w:hideMark/>
          </w:tcPr>
          <w:p w14:paraId="45925C2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16,024,329</w:t>
            </w:r>
          </w:p>
        </w:tc>
      </w:tr>
      <w:tr w:rsidR="00EA0FD7" w:rsidRPr="00EA0FD7" w14:paraId="2217C22E" w14:textId="77777777" w:rsidTr="00EA0FD7">
        <w:trPr>
          <w:trHeight w:val="300"/>
        </w:trPr>
        <w:tc>
          <w:tcPr>
            <w:tcW w:w="3039" w:type="dxa"/>
            <w:tcBorders>
              <w:top w:val="nil"/>
              <w:left w:val="single" w:sz="8" w:space="0" w:color="auto"/>
              <w:bottom w:val="single" w:sz="4" w:space="0" w:color="auto"/>
              <w:right w:val="single" w:sz="4" w:space="0" w:color="auto"/>
            </w:tcBorders>
            <w:noWrap/>
            <w:vAlign w:val="bottom"/>
            <w:hideMark/>
          </w:tcPr>
          <w:p w14:paraId="051212D5" w14:textId="1FEBF31D"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xml:space="preserve">Јавна </w:t>
            </w:r>
            <w:r w:rsidR="00752F04">
              <w:rPr>
                <w:rFonts w:ascii="Arial" w:eastAsia="Times New Roman" w:hAnsi="Arial" w:cs="Arial"/>
                <w:sz w:val="18"/>
                <w:szCs w:val="18"/>
                <w:lang w:val="sr-Cyrl-RS"/>
              </w:rPr>
              <w:t>безбједност</w:t>
            </w:r>
          </w:p>
        </w:tc>
        <w:tc>
          <w:tcPr>
            <w:tcW w:w="1563" w:type="dxa"/>
            <w:tcBorders>
              <w:top w:val="nil"/>
              <w:left w:val="nil"/>
              <w:bottom w:val="single" w:sz="4" w:space="0" w:color="auto"/>
              <w:right w:val="single" w:sz="4" w:space="0" w:color="auto"/>
            </w:tcBorders>
            <w:noWrap/>
            <w:vAlign w:val="bottom"/>
            <w:hideMark/>
          </w:tcPr>
          <w:p w14:paraId="216917B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5,338,533.37</w:t>
            </w:r>
          </w:p>
        </w:tc>
        <w:tc>
          <w:tcPr>
            <w:tcW w:w="1628" w:type="dxa"/>
            <w:tcBorders>
              <w:top w:val="nil"/>
              <w:left w:val="nil"/>
              <w:bottom w:val="single" w:sz="4" w:space="0" w:color="auto"/>
              <w:right w:val="single" w:sz="4" w:space="0" w:color="auto"/>
            </w:tcBorders>
            <w:noWrap/>
            <w:vAlign w:val="bottom"/>
            <w:hideMark/>
          </w:tcPr>
          <w:p w14:paraId="57BEE8D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8,020,131</w:t>
            </w:r>
          </w:p>
        </w:tc>
        <w:tc>
          <w:tcPr>
            <w:tcW w:w="1276" w:type="dxa"/>
            <w:tcBorders>
              <w:top w:val="nil"/>
              <w:left w:val="nil"/>
              <w:bottom w:val="single" w:sz="4" w:space="0" w:color="auto"/>
              <w:right w:val="single" w:sz="4" w:space="0" w:color="auto"/>
            </w:tcBorders>
            <w:noWrap/>
            <w:vAlign w:val="bottom"/>
            <w:hideMark/>
          </w:tcPr>
          <w:p w14:paraId="51F796D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8,341,312</w:t>
            </w:r>
          </w:p>
        </w:tc>
        <w:tc>
          <w:tcPr>
            <w:tcW w:w="1276" w:type="dxa"/>
            <w:tcBorders>
              <w:top w:val="nil"/>
              <w:left w:val="nil"/>
              <w:bottom w:val="single" w:sz="4" w:space="0" w:color="auto"/>
              <w:right w:val="single" w:sz="4" w:space="0" w:color="auto"/>
            </w:tcBorders>
            <w:noWrap/>
            <w:vAlign w:val="bottom"/>
            <w:hideMark/>
          </w:tcPr>
          <w:p w14:paraId="2263617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8,541,312</w:t>
            </w:r>
          </w:p>
        </w:tc>
        <w:tc>
          <w:tcPr>
            <w:tcW w:w="1278" w:type="dxa"/>
            <w:tcBorders>
              <w:top w:val="nil"/>
              <w:left w:val="nil"/>
              <w:bottom w:val="single" w:sz="4" w:space="0" w:color="auto"/>
              <w:right w:val="single" w:sz="8" w:space="0" w:color="auto"/>
            </w:tcBorders>
            <w:noWrap/>
            <w:vAlign w:val="bottom"/>
            <w:hideMark/>
          </w:tcPr>
          <w:p w14:paraId="599E1EF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8,541,312</w:t>
            </w:r>
          </w:p>
        </w:tc>
      </w:tr>
      <w:tr w:rsidR="00EA0FD7" w:rsidRPr="00EA0FD7" w14:paraId="29398F17" w14:textId="77777777" w:rsidTr="00EA0FD7">
        <w:trPr>
          <w:trHeight w:val="300"/>
        </w:trPr>
        <w:tc>
          <w:tcPr>
            <w:tcW w:w="3039" w:type="dxa"/>
            <w:tcBorders>
              <w:top w:val="nil"/>
              <w:left w:val="single" w:sz="8" w:space="0" w:color="auto"/>
              <w:bottom w:val="single" w:sz="4" w:space="0" w:color="auto"/>
              <w:right w:val="single" w:sz="4" w:space="0" w:color="auto"/>
            </w:tcBorders>
            <w:noWrap/>
            <w:vAlign w:val="bottom"/>
            <w:hideMark/>
          </w:tcPr>
          <w:p w14:paraId="04811244"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Стручни и административни послови</w:t>
            </w:r>
          </w:p>
        </w:tc>
        <w:tc>
          <w:tcPr>
            <w:tcW w:w="1563" w:type="dxa"/>
            <w:tcBorders>
              <w:top w:val="nil"/>
              <w:left w:val="nil"/>
              <w:bottom w:val="single" w:sz="4" w:space="0" w:color="auto"/>
              <w:right w:val="single" w:sz="4" w:space="0" w:color="auto"/>
            </w:tcBorders>
            <w:noWrap/>
            <w:vAlign w:val="bottom"/>
            <w:hideMark/>
          </w:tcPr>
          <w:p w14:paraId="66A66CF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2,792,022.30</w:t>
            </w:r>
          </w:p>
        </w:tc>
        <w:tc>
          <w:tcPr>
            <w:tcW w:w="1628" w:type="dxa"/>
            <w:tcBorders>
              <w:top w:val="nil"/>
              <w:left w:val="nil"/>
              <w:bottom w:val="single" w:sz="4" w:space="0" w:color="auto"/>
              <w:right w:val="single" w:sz="4" w:space="0" w:color="auto"/>
            </w:tcBorders>
            <w:noWrap/>
            <w:vAlign w:val="bottom"/>
            <w:hideMark/>
          </w:tcPr>
          <w:p w14:paraId="19AFAE7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3,680,114</w:t>
            </w:r>
          </w:p>
        </w:tc>
        <w:tc>
          <w:tcPr>
            <w:tcW w:w="1276" w:type="dxa"/>
            <w:tcBorders>
              <w:top w:val="nil"/>
              <w:left w:val="nil"/>
              <w:bottom w:val="single" w:sz="4" w:space="0" w:color="auto"/>
              <w:right w:val="single" w:sz="4" w:space="0" w:color="auto"/>
            </w:tcBorders>
            <w:noWrap/>
            <w:vAlign w:val="bottom"/>
            <w:hideMark/>
          </w:tcPr>
          <w:p w14:paraId="03C466B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3,810,399</w:t>
            </w:r>
          </w:p>
        </w:tc>
        <w:tc>
          <w:tcPr>
            <w:tcW w:w="1276" w:type="dxa"/>
            <w:tcBorders>
              <w:top w:val="nil"/>
              <w:left w:val="nil"/>
              <w:bottom w:val="single" w:sz="4" w:space="0" w:color="auto"/>
              <w:right w:val="single" w:sz="4" w:space="0" w:color="auto"/>
            </w:tcBorders>
            <w:noWrap/>
            <w:vAlign w:val="bottom"/>
            <w:hideMark/>
          </w:tcPr>
          <w:p w14:paraId="20A64F4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3,878,209</w:t>
            </w:r>
          </w:p>
        </w:tc>
        <w:tc>
          <w:tcPr>
            <w:tcW w:w="1278" w:type="dxa"/>
            <w:tcBorders>
              <w:top w:val="nil"/>
              <w:left w:val="nil"/>
              <w:bottom w:val="single" w:sz="4" w:space="0" w:color="auto"/>
              <w:right w:val="single" w:sz="8" w:space="0" w:color="auto"/>
            </w:tcBorders>
            <w:noWrap/>
            <w:vAlign w:val="bottom"/>
            <w:hideMark/>
          </w:tcPr>
          <w:p w14:paraId="273B4E5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3,863,962</w:t>
            </w:r>
          </w:p>
        </w:tc>
      </w:tr>
      <w:tr w:rsidR="00EA0FD7" w:rsidRPr="00EA0FD7" w14:paraId="025C04BD" w14:textId="77777777" w:rsidTr="00EA0FD7">
        <w:trPr>
          <w:trHeight w:val="300"/>
        </w:trPr>
        <w:tc>
          <w:tcPr>
            <w:tcW w:w="3039" w:type="dxa"/>
            <w:tcBorders>
              <w:top w:val="nil"/>
              <w:left w:val="single" w:sz="8" w:space="0" w:color="auto"/>
              <w:bottom w:val="single" w:sz="4" w:space="0" w:color="auto"/>
              <w:right w:val="single" w:sz="4" w:space="0" w:color="auto"/>
            </w:tcBorders>
            <w:noWrap/>
            <w:vAlign w:val="bottom"/>
            <w:hideMark/>
          </w:tcPr>
          <w:p w14:paraId="20332845"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Дирекција за финансије</w:t>
            </w:r>
          </w:p>
        </w:tc>
        <w:tc>
          <w:tcPr>
            <w:tcW w:w="1563" w:type="dxa"/>
            <w:tcBorders>
              <w:top w:val="nil"/>
              <w:left w:val="nil"/>
              <w:bottom w:val="single" w:sz="4" w:space="0" w:color="auto"/>
              <w:right w:val="single" w:sz="4" w:space="0" w:color="auto"/>
            </w:tcBorders>
            <w:noWrap/>
            <w:vAlign w:val="bottom"/>
            <w:hideMark/>
          </w:tcPr>
          <w:p w14:paraId="659C9A6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5,249,335.87</w:t>
            </w:r>
          </w:p>
        </w:tc>
        <w:tc>
          <w:tcPr>
            <w:tcW w:w="1628" w:type="dxa"/>
            <w:tcBorders>
              <w:top w:val="nil"/>
              <w:left w:val="nil"/>
              <w:bottom w:val="single" w:sz="4" w:space="0" w:color="auto"/>
              <w:right w:val="single" w:sz="4" w:space="0" w:color="auto"/>
            </w:tcBorders>
            <w:noWrap/>
            <w:vAlign w:val="bottom"/>
            <w:hideMark/>
          </w:tcPr>
          <w:p w14:paraId="43DC829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6,256,255</w:t>
            </w:r>
          </w:p>
        </w:tc>
        <w:tc>
          <w:tcPr>
            <w:tcW w:w="1276" w:type="dxa"/>
            <w:tcBorders>
              <w:top w:val="nil"/>
              <w:left w:val="nil"/>
              <w:bottom w:val="single" w:sz="4" w:space="0" w:color="auto"/>
              <w:right w:val="single" w:sz="4" w:space="0" w:color="auto"/>
            </w:tcBorders>
            <w:noWrap/>
            <w:vAlign w:val="bottom"/>
            <w:hideMark/>
          </w:tcPr>
          <w:p w14:paraId="7D8AA98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8,848,141</w:t>
            </w:r>
          </w:p>
        </w:tc>
        <w:tc>
          <w:tcPr>
            <w:tcW w:w="1276" w:type="dxa"/>
            <w:tcBorders>
              <w:top w:val="nil"/>
              <w:left w:val="nil"/>
              <w:bottom w:val="single" w:sz="4" w:space="0" w:color="auto"/>
              <w:right w:val="single" w:sz="4" w:space="0" w:color="auto"/>
            </w:tcBorders>
            <w:noWrap/>
            <w:vAlign w:val="bottom"/>
            <w:hideMark/>
          </w:tcPr>
          <w:p w14:paraId="4B96959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6,112,422</w:t>
            </w:r>
          </w:p>
        </w:tc>
        <w:tc>
          <w:tcPr>
            <w:tcW w:w="1278" w:type="dxa"/>
            <w:tcBorders>
              <w:top w:val="nil"/>
              <w:left w:val="nil"/>
              <w:bottom w:val="single" w:sz="4" w:space="0" w:color="auto"/>
              <w:right w:val="single" w:sz="8" w:space="0" w:color="auto"/>
            </w:tcBorders>
            <w:noWrap/>
            <w:vAlign w:val="bottom"/>
            <w:hideMark/>
          </w:tcPr>
          <w:p w14:paraId="6AF634F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6,141,745</w:t>
            </w:r>
          </w:p>
        </w:tc>
      </w:tr>
      <w:tr w:rsidR="00EA0FD7" w:rsidRPr="00EA0FD7" w14:paraId="461E7BC0" w14:textId="77777777" w:rsidTr="00EA0FD7">
        <w:trPr>
          <w:trHeight w:val="300"/>
        </w:trPr>
        <w:tc>
          <w:tcPr>
            <w:tcW w:w="3039" w:type="dxa"/>
            <w:tcBorders>
              <w:top w:val="nil"/>
              <w:left w:val="single" w:sz="8" w:space="0" w:color="auto"/>
              <w:bottom w:val="single" w:sz="4" w:space="0" w:color="auto"/>
              <w:right w:val="single" w:sz="4" w:space="0" w:color="auto"/>
            </w:tcBorders>
            <w:noWrap/>
            <w:vAlign w:val="bottom"/>
            <w:hideMark/>
          </w:tcPr>
          <w:p w14:paraId="1F2E81EE"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Привредни развој, спорт и култура</w:t>
            </w:r>
          </w:p>
        </w:tc>
        <w:tc>
          <w:tcPr>
            <w:tcW w:w="1563" w:type="dxa"/>
            <w:tcBorders>
              <w:top w:val="nil"/>
              <w:left w:val="nil"/>
              <w:bottom w:val="single" w:sz="4" w:space="0" w:color="auto"/>
              <w:right w:val="single" w:sz="4" w:space="0" w:color="auto"/>
            </w:tcBorders>
            <w:noWrap/>
            <w:vAlign w:val="bottom"/>
            <w:hideMark/>
          </w:tcPr>
          <w:p w14:paraId="563B54F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14,867,450.06</w:t>
            </w:r>
          </w:p>
        </w:tc>
        <w:tc>
          <w:tcPr>
            <w:tcW w:w="1628" w:type="dxa"/>
            <w:tcBorders>
              <w:top w:val="nil"/>
              <w:left w:val="nil"/>
              <w:bottom w:val="single" w:sz="4" w:space="0" w:color="auto"/>
              <w:right w:val="single" w:sz="4" w:space="0" w:color="auto"/>
            </w:tcBorders>
            <w:noWrap/>
            <w:vAlign w:val="bottom"/>
            <w:hideMark/>
          </w:tcPr>
          <w:p w14:paraId="3D3664F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14,008,525</w:t>
            </w:r>
          </w:p>
        </w:tc>
        <w:tc>
          <w:tcPr>
            <w:tcW w:w="1276" w:type="dxa"/>
            <w:tcBorders>
              <w:top w:val="nil"/>
              <w:left w:val="nil"/>
              <w:bottom w:val="single" w:sz="4" w:space="0" w:color="auto"/>
              <w:right w:val="single" w:sz="4" w:space="0" w:color="auto"/>
            </w:tcBorders>
            <w:noWrap/>
            <w:vAlign w:val="bottom"/>
            <w:hideMark/>
          </w:tcPr>
          <w:p w14:paraId="6ACD03A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19,942,562</w:t>
            </w:r>
          </w:p>
        </w:tc>
        <w:tc>
          <w:tcPr>
            <w:tcW w:w="1276" w:type="dxa"/>
            <w:tcBorders>
              <w:top w:val="nil"/>
              <w:left w:val="nil"/>
              <w:bottom w:val="single" w:sz="4" w:space="0" w:color="auto"/>
              <w:right w:val="single" w:sz="4" w:space="0" w:color="auto"/>
            </w:tcBorders>
            <w:noWrap/>
            <w:vAlign w:val="bottom"/>
            <w:hideMark/>
          </w:tcPr>
          <w:p w14:paraId="5612951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18,064,778</w:t>
            </w:r>
          </w:p>
        </w:tc>
        <w:tc>
          <w:tcPr>
            <w:tcW w:w="1278" w:type="dxa"/>
            <w:tcBorders>
              <w:top w:val="nil"/>
              <w:left w:val="nil"/>
              <w:bottom w:val="single" w:sz="4" w:space="0" w:color="auto"/>
              <w:right w:val="single" w:sz="8" w:space="0" w:color="auto"/>
            </w:tcBorders>
            <w:noWrap/>
            <w:vAlign w:val="bottom"/>
            <w:hideMark/>
          </w:tcPr>
          <w:p w14:paraId="21EE181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20,547,194</w:t>
            </w:r>
          </w:p>
        </w:tc>
      </w:tr>
      <w:tr w:rsidR="00EA0FD7" w:rsidRPr="00EA0FD7" w14:paraId="5C9236BD" w14:textId="77777777" w:rsidTr="00EA0FD7">
        <w:trPr>
          <w:trHeight w:val="480"/>
        </w:trPr>
        <w:tc>
          <w:tcPr>
            <w:tcW w:w="3039" w:type="dxa"/>
            <w:tcBorders>
              <w:top w:val="nil"/>
              <w:left w:val="single" w:sz="8" w:space="0" w:color="auto"/>
              <w:bottom w:val="single" w:sz="4" w:space="0" w:color="auto"/>
              <w:right w:val="single" w:sz="4" w:space="0" w:color="auto"/>
            </w:tcBorders>
            <w:vAlign w:val="bottom"/>
            <w:hideMark/>
          </w:tcPr>
          <w:p w14:paraId="1A7E4F57" w14:textId="39DA740E"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Пољопривреда,</w:t>
            </w:r>
            <w:r w:rsidR="00752F04">
              <w:rPr>
                <w:rFonts w:ascii="Arial" w:eastAsia="Times New Roman" w:hAnsi="Arial" w:cs="Arial"/>
                <w:sz w:val="18"/>
                <w:szCs w:val="18"/>
                <w:lang w:val="sr-Cyrl-RS"/>
              </w:rPr>
              <w:t xml:space="preserve"> </w:t>
            </w:r>
            <w:r w:rsidRPr="00EA0FD7">
              <w:rPr>
                <w:rFonts w:ascii="Arial" w:eastAsia="Times New Roman" w:hAnsi="Arial" w:cs="Arial"/>
                <w:sz w:val="18"/>
                <w:szCs w:val="18"/>
                <w:lang w:val="sr-Cyrl-RS"/>
              </w:rPr>
              <w:t>шумарство</w:t>
            </w:r>
            <w:r w:rsidRPr="00EA0FD7">
              <w:rPr>
                <w:rFonts w:ascii="Arial" w:eastAsia="Times New Roman" w:hAnsi="Arial" w:cs="Arial"/>
                <w:sz w:val="18"/>
                <w:szCs w:val="18"/>
                <w:lang w:val="sr-Cyrl-RS"/>
              </w:rPr>
              <w:br/>
              <w:t xml:space="preserve"> и водопривреда</w:t>
            </w:r>
          </w:p>
        </w:tc>
        <w:tc>
          <w:tcPr>
            <w:tcW w:w="1563" w:type="dxa"/>
            <w:tcBorders>
              <w:top w:val="nil"/>
              <w:left w:val="nil"/>
              <w:bottom w:val="single" w:sz="4" w:space="0" w:color="auto"/>
              <w:right w:val="single" w:sz="4" w:space="0" w:color="auto"/>
            </w:tcBorders>
            <w:noWrap/>
            <w:vAlign w:val="bottom"/>
            <w:hideMark/>
          </w:tcPr>
          <w:p w14:paraId="7AB6873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14,872,258.35</w:t>
            </w:r>
          </w:p>
        </w:tc>
        <w:tc>
          <w:tcPr>
            <w:tcW w:w="1628" w:type="dxa"/>
            <w:tcBorders>
              <w:top w:val="nil"/>
              <w:left w:val="nil"/>
              <w:bottom w:val="single" w:sz="4" w:space="0" w:color="auto"/>
              <w:right w:val="single" w:sz="4" w:space="0" w:color="auto"/>
            </w:tcBorders>
            <w:noWrap/>
            <w:vAlign w:val="bottom"/>
            <w:hideMark/>
          </w:tcPr>
          <w:p w14:paraId="476EDF5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20,207,268</w:t>
            </w:r>
          </w:p>
        </w:tc>
        <w:tc>
          <w:tcPr>
            <w:tcW w:w="1276" w:type="dxa"/>
            <w:tcBorders>
              <w:top w:val="nil"/>
              <w:left w:val="nil"/>
              <w:bottom w:val="single" w:sz="4" w:space="0" w:color="auto"/>
              <w:right w:val="single" w:sz="4" w:space="0" w:color="auto"/>
            </w:tcBorders>
            <w:noWrap/>
            <w:vAlign w:val="bottom"/>
            <w:hideMark/>
          </w:tcPr>
          <w:p w14:paraId="037ADEA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17,239,235</w:t>
            </w:r>
          </w:p>
        </w:tc>
        <w:tc>
          <w:tcPr>
            <w:tcW w:w="1276" w:type="dxa"/>
            <w:tcBorders>
              <w:top w:val="nil"/>
              <w:left w:val="nil"/>
              <w:bottom w:val="single" w:sz="4" w:space="0" w:color="auto"/>
              <w:right w:val="single" w:sz="4" w:space="0" w:color="auto"/>
            </w:tcBorders>
            <w:noWrap/>
            <w:vAlign w:val="bottom"/>
            <w:hideMark/>
          </w:tcPr>
          <w:p w14:paraId="1BBC828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17,891,735</w:t>
            </w:r>
          </w:p>
        </w:tc>
        <w:tc>
          <w:tcPr>
            <w:tcW w:w="1278" w:type="dxa"/>
            <w:tcBorders>
              <w:top w:val="nil"/>
              <w:left w:val="nil"/>
              <w:bottom w:val="single" w:sz="4" w:space="0" w:color="auto"/>
              <w:right w:val="single" w:sz="8" w:space="0" w:color="auto"/>
            </w:tcBorders>
            <w:noWrap/>
            <w:vAlign w:val="bottom"/>
            <w:hideMark/>
          </w:tcPr>
          <w:p w14:paraId="29E8A1C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17,891,735</w:t>
            </w:r>
          </w:p>
        </w:tc>
      </w:tr>
      <w:tr w:rsidR="00EA0FD7" w:rsidRPr="00EA0FD7" w14:paraId="3B3B3EDB" w14:textId="77777777" w:rsidTr="00EA0FD7">
        <w:trPr>
          <w:trHeight w:val="300"/>
        </w:trPr>
        <w:tc>
          <w:tcPr>
            <w:tcW w:w="3039" w:type="dxa"/>
            <w:tcBorders>
              <w:top w:val="nil"/>
              <w:left w:val="single" w:sz="8" w:space="0" w:color="auto"/>
              <w:bottom w:val="single" w:sz="4" w:space="0" w:color="auto"/>
              <w:right w:val="single" w:sz="4" w:space="0" w:color="auto"/>
            </w:tcBorders>
            <w:noWrap/>
            <w:vAlign w:val="bottom"/>
            <w:hideMark/>
          </w:tcPr>
          <w:p w14:paraId="704AD164"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Здравство и остале услуге</w:t>
            </w:r>
          </w:p>
        </w:tc>
        <w:tc>
          <w:tcPr>
            <w:tcW w:w="1563" w:type="dxa"/>
            <w:tcBorders>
              <w:top w:val="nil"/>
              <w:left w:val="nil"/>
              <w:bottom w:val="single" w:sz="4" w:space="0" w:color="auto"/>
              <w:right w:val="single" w:sz="4" w:space="0" w:color="auto"/>
            </w:tcBorders>
            <w:noWrap/>
            <w:vAlign w:val="bottom"/>
            <w:hideMark/>
          </w:tcPr>
          <w:p w14:paraId="014FD64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58,424,155.42</w:t>
            </w:r>
          </w:p>
        </w:tc>
        <w:tc>
          <w:tcPr>
            <w:tcW w:w="1628" w:type="dxa"/>
            <w:tcBorders>
              <w:top w:val="nil"/>
              <w:left w:val="nil"/>
              <w:bottom w:val="single" w:sz="4" w:space="0" w:color="auto"/>
              <w:right w:val="single" w:sz="4" w:space="0" w:color="auto"/>
            </w:tcBorders>
            <w:noWrap/>
            <w:vAlign w:val="bottom"/>
            <w:hideMark/>
          </w:tcPr>
          <w:p w14:paraId="6EDC197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50,330,000</w:t>
            </w:r>
          </w:p>
        </w:tc>
        <w:tc>
          <w:tcPr>
            <w:tcW w:w="1276" w:type="dxa"/>
            <w:tcBorders>
              <w:top w:val="nil"/>
              <w:left w:val="nil"/>
              <w:bottom w:val="single" w:sz="4" w:space="0" w:color="auto"/>
              <w:right w:val="single" w:sz="4" w:space="0" w:color="auto"/>
            </w:tcBorders>
            <w:noWrap/>
            <w:vAlign w:val="bottom"/>
            <w:hideMark/>
          </w:tcPr>
          <w:p w14:paraId="0CC9C28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64,435,930</w:t>
            </w:r>
          </w:p>
        </w:tc>
        <w:tc>
          <w:tcPr>
            <w:tcW w:w="1276" w:type="dxa"/>
            <w:tcBorders>
              <w:top w:val="nil"/>
              <w:left w:val="nil"/>
              <w:bottom w:val="single" w:sz="4" w:space="0" w:color="auto"/>
              <w:right w:val="single" w:sz="4" w:space="0" w:color="auto"/>
            </w:tcBorders>
            <w:noWrap/>
            <w:vAlign w:val="bottom"/>
            <w:hideMark/>
          </w:tcPr>
          <w:p w14:paraId="3337667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67,228,276</w:t>
            </w:r>
          </w:p>
        </w:tc>
        <w:tc>
          <w:tcPr>
            <w:tcW w:w="1278" w:type="dxa"/>
            <w:tcBorders>
              <w:top w:val="nil"/>
              <w:left w:val="nil"/>
              <w:bottom w:val="single" w:sz="4" w:space="0" w:color="auto"/>
              <w:right w:val="single" w:sz="8" w:space="0" w:color="auto"/>
            </w:tcBorders>
            <w:noWrap/>
            <w:vAlign w:val="bottom"/>
            <w:hideMark/>
          </w:tcPr>
          <w:p w14:paraId="6F62C56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72,754,847</w:t>
            </w:r>
          </w:p>
        </w:tc>
      </w:tr>
      <w:tr w:rsidR="00EA0FD7" w:rsidRPr="00EA0FD7" w14:paraId="1BD8F41D" w14:textId="77777777" w:rsidTr="00EA0FD7">
        <w:trPr>
          <w:trHeight w:val="300"/>
        </w:trPr>
        <w:tc>
          <w:tcPr>
            <w:tcW w:w="3039" w:type="dxa"/>
            <w:tcBorders>
              <w:top w:val="nil"/>
              <w:left w:val="single" w:sz="8" w:space="0" w:color="auto"/>
              <w:bottom w:val="single" w:sz="4" w:space="0" w:color="auto"/>
              <w:right w:val="single" w:sz="4" w:space="0" w:color="auto"/>
            </w:tcBorders>
            <w:noWrap/>
            <w:vAlign w:val="bottom"/>
            <w:hideMark/>
          </w:tcPr>
          <w:p w14:paraId="6AE733F1"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Образовање</w:t>
            </w:r>
          </w:p>
        </w:tc>
        <w:tc>
          <w:tcPr>
            <w:tcW w:w="1563" w:type="dxa"/>
            <w:tcBorders>
              <w:top w:val="nil"/>
              <w:left w:val="nil"/>
              <w:bottom w:val="single" w:sz="4" w:space="0" w:color="auto"/>
              <w:right w:val="single" w:sz="4" w:space="0" w:color="auto"/>
            </w:tcBorders>
            <w:noWrap/>
            <w:vAlign w:val="bottom"/>
            <w:hideMark/>
          </w:tcPr>
          <w:p w14:paraId="42C0A35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41,697,297.42</w:t>
            </w:r>
          </w:p>
        </w:tc>
        <w:tc>
          <w:tcPr>
            <w:tcW w:w="1628" w:type="dxa"/>
            <w:tcBorders>
              <w:top w:val="nil"/>
              <w:left w:val="nil"/>
              <w:bottom w:val="single" w:sz="4" w:space="0" w:color="auto"/>
              <w:right w:val="single" w:sz="4" w:space="0" w:color="auto"/>
            </w:tcBorders>
            <w:noWrap/>
            <w:vAlign w:val="bottom"/>
            <w:hideMark/>
          </w:tcPr>
          <w:p w14:paraId="7346B43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46,545,904</w:t>
            </w:r>
          </w:p>
        </w:tc>
        <w:tc>
          <w:tcPr>
            <w:tcW w:w="1276" w:type="dxa"/>
            <w:tcBorders>
              <w:top w:val="nil"/>
              <w:left w:val="nil"/>
              <w:bottom w:val="single" w:sz="4" w:space="0" w:color="auto"/>
              <w:right w:val="single" w:sz="4" w:space="0" w:color="auto"/>
            </w:tcBorders>
            <w:noWrap/>
            <w:vAlign w:val="bottom"/>
            <w:hideMark/>
          </w:tcPr>
          <w:p w14:paraId="7A7D897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49,983,974</w:t>
            </w:r>
          </w:p>
        </w:tc>
        <w:tc>
          <w:tcPr>
            <w:tcW w:w="1276" w:type="dxa"/>
            <w:tcBorders>
              <w:top w:val="nil"/>
              <w:left w:val="nil"/>
              <w:bottom w:val="single" w:sz="4" w:space="0" w:color="auto"/>
              <w:right w:val="single" w:sz="4" w:space="0" w:color="auto"/>
            </w:tcBorders>
            <w:noWrap/>
            <w:vAlign w:val="bottom"/>
            <w:hideMark/>
          </w:tcPr>
          <w:p w14:paraId="3D1047A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52,034,274</w:t>
            </w:r>
          </w:p>
        </w:tc>
        <w:tc>
          <w:tcPr>
            <w:tcW w:w="1278" w:type="dxa"/>
            <w:tcBorders>
              <w:top w:val="nil"/>
              <w:left w:val="nil"/>
              <w:bottom w:val="single" w:sz="4" w:space="0" w:color="auto"/>
              <w:right w:val="single" w:sz="8" w:space="0" w:color="auto"/>
            </w:tcBorders>
            <w:noWrap/>
            <w:vAlign w:val="bottom"/>
            <w:hideMark/>
          </w:tcPr>
          <w:p w14:paraId="349A3B1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53,044,274</w:t>
            </w:r>
          </w:p>
        </w:tc>
      </w:tr>
      <w:tr w:rsidR="00EA0FD7" w:rsidRPr="00EA0FD7" w14:paraId="60DF35D2" w14:textId="77777777" w:rsidTr="00EA0FD7">
        <w:trPr>
          <w:trHeight w:val="540"/>
        </w:trPr>
        <w:tc>
          <w:tcPr>
            <w:tcW w:w="3039" w:type="dxa"/>
            <w:tcBorders>
              <w:top w:val="nil"/>
              <w:left w:val="single" w:sz="8" w:space="0" w:color="auto"/>
              <w:bottom w:val="single" w:sz="4" w:space="0" w:color="auto"/>
              <w:right w:val="single" w:sz="4" w:space="0" w:color="auto"/>
            </w:tcBorders>
            <w:vAlign w:val="bottom"/>
            <w:hideMark/>
          </w:tcPr>
          <w:p w14:paraId="6D19B674" w14:textId="47EB4AE0"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Просторно планирање и имовинск</w:t>
            </w:r>
            <w:r w:rsidR="00752F04">
              <w:rPr>
                <w:rFonts w:ascii="Arial" w:eastAsia="Times New Roman" w:hAnsi="Arial" w:cs="Arial"/>
                <w:sz w:val="18"/>
                <w:szCs w:val="18"/>
                <w:lang w:val="sr-Cyrl-RS"/>
              </w:rPr>
              <w:t>о</w:t>
            </w:r>
            <w:r w:rsidRPr="00EA0FD7">
              <w:rPr>
                <w:rFonts w:ascii="Arial" w:eastAsia="Times New Roman" w:hAnsi="Arial" w:cs="Arial"/>
                <w:sz w:val="18"/>
                <w:szCs w:val="18"/>
                <w:lang w:val="sr-Cyrl-RS"/>
              </w:rPr>
              <w:t>правни послови</w:t>
            </w:r>
          </w:p>
        </w:tc>
        <w:tc>
          <w:tcPr>
            <w:tcW w:w="1563" w:type="dxa"/>
            <w:tcBorders>
              <w:top w:val="nil"/>
              <w:left w:val="nil"/>
              <w:bottom w:val="single" w:sz="4" w:space="0" w:color="auto"/>
              <w:right w:val="single" w:sz="4" w:space="0" w:color="auto"/>
            </w:tcBorders>
            <w:noWrap/>
            <w:vAlign w:val="bottom"/>
            <w:hideMark/>
          </w:tcPr>
          <w:p w14:paraId="0E7969A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3,208,009.96</w:t>
            </w:r>
          </w:p>
        </w:tc>
        <w:tc>
          <w:tcPr>
            <w:tcW w:w="1628" w:type="dxa"/>
            <w:tcBorders>
              <w:top w:val="nil"/>
              <w:left w:val="nil"/>
              <w:bottom w:val="single" w:sz="4" w:space="0" w:color="auto"/>
              <w:right w:val="single" w:sz="4" w:space="0" w:color="auto"/>
            </w:tcBorders>
            <w:noWrap/>
            <w:vAlign w:val="bottom"/>
            <w:hideMark/>
          </w:tcPr>
          <w:p w14:paraId="62D688D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3,873,023</w:t>
            </w:r>
          </w:p>
        </w:tc>
        <w:tc>
          <w:tcPr>
            <w:tcW w:w="1276" w:type="dxa"/>
            <w:tcBorders>
              <w:top w:val="nil"/>
              <w:left w:val="nil"/>
              <w:bottom w:val="single" w:sz="4" w:space="0" w:color="auto"/>
              <w:right w:val="single" w:sz="4" w:space="0" w:color="auto"/>
            </w:tcBorders>
            <w:noWrap/>
            <w:vAlign w:val="bottom"/>
            <w:hideMark/>
          </w:tcPr>
          <w:p w14:paraId="5B4BF51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5,988,538</w:t>
            </w:r>
          </w:p>
        </w:tc>
        <w:tc>
          <w:tcPr>
            <w:tcW w:w="1276" w:type="dxa"/>
            <w:tcBorders>
              <w:top w:val="nil"/>
              <w:left w:val="nil"/>
              <w:bottom w:val="single" w:sz="4" w:space="0" w:color="auto"/>
              <w:right w:val="single" w:sz="4" w:space="0" w:color="auto"/>
            </w:tcBorders>
            <w:noWrap/>
            <w:vAlign w:val="bottom"/>
            <w:hideMark/>
          </w:tcPr>
          <w:p w14:paraId="0C068FE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6,851,988</w:t>
            </w:r>
          </w:p>
        </w:tc>
        <w:tc>
          <w:tcPr>
            <w:tcW w:w="1278" w:type="dxa"/>
            <w:tcBorders>
              <w:top w:val="nil"/>
              <w:left w:val="nil"/>
              <w:bottom w:val="single" w:sz="4" w:space="0" w:color="auto"/>
              <w:right w:val="single" w:sz="8" w:space="0" w:color="auto"/>
            </w:tcBorders>
            <w:noWrap/>
            <w:vAlign w:val="bottom"/>
            <w:hideMark/>
          </w:tcPr>
          <w:p w14:paraId="72CA95B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7,058,188</w:t>
            </w:r>
          </w:p>
        </w:tc>
      </w:tr>
      <w:tr w:rsidR="00EA0FD7" w:rsidRPr="00EA0FD7" w14:paraId="47BBBE31" w14:textId="77777777" w:rsidTr="00EA0FD7">
        <w:trPr>
          <w:trHeight w:val="480"/>
        </w:trPr>
        <w:tc>
          <w:tcPr>
            <w:tcW w:w="3039" w:type="dxa"/>
            <w:tcBorders>
              <w:top w:val="nil"/>
              <w:left w:val="single" w:sz="8" w:space="0" w:color="auto"/>
              <w:bottom w:val="single" w:sz="4" w:space="0" w:color="auto"/>
              <w:right w:val="single" w:sz="4" w:space="0" w:color="auto"/>
            </w:tcBorders>
            <w:vAlign w:val="bottom"/>
            <w:hideMark/>
          </w:tcPr>
          <w:p w14:paraId="6E20A21C"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Расељена лица, избјеглице и</w:t>
            </w:r>
            <w:r w:rsidRPr="00EA0FD7">
              <w:rPr>
                <w:rFonts w:ascii="Arial" w:eastAsia="Times New Roman" w:hAnsi="Arial" w:cs="Arial"/>
                <w:sz w:val="18"/>
                <w:szCs w:val="18"/>
                <w:lang w:val="sr-Cyrl-RS"/>
              </w:rPr>
              <w:br/>
              <w:t xml:space="preserve"> стамбена питања</w:t>
            </w:r>
          </w:p>
        </w:tc>
        <w:tc>
          <w:tcPr>
            <w:tcW w:w="1563" w:type="dxa"/>
            <w:tcBorders>
              <w:top w:val="nil"/>
              <w:left w:val="nil"/>
              <w:bottom w:val="single" w:sz="4" w:space="0" w:color="auto"/>
              <w:right w:val="single" w:sz="4" w:space="0" w:color="auto"/>
            </w:tcBorders>
            <w:noWrap/>
            <w:vAlign w:val="bottom"/>
            <w:hideMark/>
          </w:tcPr>
          <w:p w14:paraId="74F810C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2,767,624.05</w:t>
            </w:r>
          </w:p>
        </w:tc>
        <w:tc>
          <w:tcPr>
            <w:tcW w:w="1628" w:type="dxa"/>
            <w:tcBorders>
              <w:top w:val="nil"/>
              <w:left w:val="nil"/>
              <w:bottom w:val="single" w:sz="4" w:space="0" w:color="auto"/>
              <w:right w:val="single" w:sz="4" w:space="0" w:color="auto"/>
            </w:tcBorders>
            <w:noWrap/>
            <w:vAlign w:val="bottom"/>
            <w:hideMark/>
          </w:tcPr>
          <w:p w14:paraId="6BA9291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2,351,292</w:t>
            </w:r>
          </w:p>
        </w:tc>
        <w:tc>
          <w:tcPr>
            <w:tcW w:w="1276" w:type="dxa"/>
            <w:tcBorders>
              <w:top w:val="nil"/>
              <w:left w:val="nil"/>
              <w:bottom w:val="single" w:sz="4" w:space="0" w:color="auto"/>
              <w:right w:val="single" w:sz="4" w:space="0" w:color="auto"/>
            </w:tcBorders>
            <w:noWrap/>
            <w:vAlign w:val="bottom"/>
            <w:hideMark/>
          </w:tcPr>
          <w:p w14:paraId="53994B9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3,254,823</w:t>
            </w:r>
          </w:p>
        </w:tc>
        <w:tc>
          <w:tcPr>
            <w:tcW w:w="1276" w:type="dxa"/>
            <w:tcBorders>
              <w:top w:val="nil"/>
              <w:left w:val="nil"/>
              <w:bottom w:val="single" w:sz="4" w:space="0" w:color="auto"/>
              <w:right w:val="single" w:sz="4" w:space="0" w:color="auto"/>
            </w:tcBorders>
            <w:noWrap/>
            <w:vAlign w:val="bottom"/>
            <w:hideMark/>
          </w:tcPr>
          <w:p w14:paraId="3AF6A92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2,656,984</w:t>
            </w:r>
          </w:p>
        </w:tc>
        <w:tc>
          <w:tcPr>
            <w:tcW w:w="1278" w:type="dxa"/>
            <w:tcBorders>
              <w:top w:val="nil"/>
              <w:left w:val="nil"/>
              <w:bottom w:val="single" w:sz="4" w:space="0" w:color="auto"/>
              <w:right w:val="single" w:sz="8" w:space="0" w:color="auto"/>
            </w:tcBorders>
            <w:noWrap/>
            <w:vAlign w:val="bottom"/>
            <w:hideMark/>
          </w:tcPr>
          <w:p w14:paraId="23C4960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2,659,149</w:t>
            </w:r>
          </w:p>
        </w:tc>
      </w:tr>
      <w:tr w:rsidR="00EA0FD7" w:rsidRPr="00EA0FD7" w14:paraId="6C8E7013" w14:textId="77777777" w:rsidTr="00EA0FD7">
        <w:trPr>
          <w:trHeight w:val="300"/>
        </w:trPr>
        <w:tc>
          <w:tcPr>
            <w:tcW w:w="3039" w:type="dxa"/>
            <w:tcBorders>
              <w:top w:val="nil"/>
              <w:left w:val="single" w:sz="8" w:space="0" w:color="auto"/>
              <w:bottom w:val="single" w:sz="4" w:space="0" w:color="auto"/>
              <w:right w:val="single" w:sz="4" w:space="0" w:color="auto"/>
            </w:tcBorders>
            <w:noWrap/>
            <w:vAlign w:val="bottom"/>
            <w:hideMark/>
          </w:tcPr>
          <w:p w14:paraId="087C341F"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Комунални послови</w:t>
            </w:r>
          </w:p>
        </w:tc>
        <w:tc>
          <w:tcPr>
            <w:tcW w:w="1563" w:type="dxa"/>
            <w:tcBorders>
              <w:top w:val="nil"/>
              <w:left w:val="nil"/>
              <w:bottom w:val="single" w:sz="4" w:space="0" w:color="auto"/>
              <w:right w:val="single" w:sz="4" w:space="0" w:color="auto"/>
            </w:tcBorders>
            <w:noWrap/>
            <w:vAlign w:val="bottom"/>
            <w:hideMark/>
          </w:tcPr>
          <w:p w14:paraId="1FE8465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3,902,155.63</w:t>
            </w:r>
          </w:p>
        </w:tc>
        <w:tc>
          <w:tcPr>
            <w:tcW w:w="1628" w:type="dxa"/>
            <w:tcBorders>
              <w:top w:val="nil"/>
              <w:left w:val="nil"/>
              <w:bottom w:val="single" w:sz="4" w:space="0" w:color="auto"/>
              <w:right w:val="single" w:sz="4" w:space="0" w:color="auto"/>
            </w:tcBorders>
            <w:noWrap/>
            <w:vAlign w:val="bottom"/>
            <w:hideMark/>
          </w:tcPr>
          <w:p w14:paraId="2CDEDFC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8,697,615</w:t>
            </w:r>
          </w:p>
        </w:tc>
        <w:tc>
          <w:tcPr>
            <w:tcW w:w="1276" w:type="dxa"/>
            <w:tcBorders>
              <w:top w:val="nil"/>
              <w:left w:val="nil"/>
              <w:bottom w:val="single" w:sz="4" w:space="0" w:color="auto"/>
              <w:right w:val="single" w:sz="4" w:space="0" w:color="auto"/>
            </w:tcBorders>
            <w:noWrap/>
            <w:vAlign w:val="bottom"/>
            <w:hideMark/>
          </w:tcPr>
          <w:p w14:paraId="7D3BB84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8,985,832</w:t>
            </w:r>
          </w:p>
        </w:tc>
        <w:tc>
          <w:tcPr>
            <w:tcW w:w="1276" w:type="dxa"/>
            <w:tcBorders>
              <w:top w:val="nil"/>
              <w:left w:val="nil"/>
              <w:bottom w:val="single" w:sz="4" w:space="0" w:color="auto"/>
              <w:right w:val="single" w:sz="4" w:space="0" w:color="auto"/>
            </w:tcBorders>
            <w:noWrap/>
            <w:vAlign w:val="bottom"/>
            <w:hideMark/>
          </w:tcPr>
          <w:p w14:paraId="77192D3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10,785,832</w:t>
            </w:r>
          </w:p>
        </w:tc>
        <w:tc>
          <w:tcPr>
            <w:tcW w:w="1278" w:type="dxa"/>
            <w:tcBorders>
              <w:top w:val="nil"/>
              <w:left w:val="nil"/>
              <w:bottom w:val="single" w:sz="4" w:space="0" w:color="auto"/>
              <w:right w:val="single" w:sz="8" w:space="0" w:color="auto"/>
            </w:tcBorders>
            <w:noWrap/>
            <w:vAlign w:val="bottom"/>
            <w:hideMark/>
          </w:tcPr>
          <w:p w14:paraId="1BE99F3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13,875,832</w:t>
            </w:r>
          </w:p>
        </w:tc>
      </w:tr>
      <w:tr w:rsidR="00EA0FD7" w:rsidRPr="00EA0FD7" w14:paraId="35E00358" w14:textId="77777777" w:rsidTr="00EA0FD7">
        <w:trPr>
          <w:trHeight w:val="300"/>
        </w:trPr>
        <w:tc>
          <w:tcPr>
            <w:tcW w:w="3039" w:type="dxa"/>
            <w:tcBorders>
              <w:top w:val="nil"/>
              <w:left w:val="single" w:sz="8" w:space="0" w:color="auto"/>
              <w:bottom w:val="single" w:sz="4" w:space="0" w:color="auto"/>
              <w:right w:val="single" w:sz="4" w:space="0" w:color="auto"/>
            </w:tcBorders>
            <w:noWrap/>
            <w:vAlign w:val="bottom"/>
            <w:hideMark/>
          </w:tcPr>
          <w:p w14:paraId="2F6E7A58"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Јавни послови</w:t>
            </w:r>
          </w:p>
        </w:tc>
        <w:tc>
          <w:tcPr>
            <w:tcW w:w="1563" w:type="dxa"/>
            <w:tcBorders>
              <w:top w:val="nil"/>
              <w:left w:val="nil"/>
              <w:bottom w:val="single" w:sz="4" w:space="0" w:color="auto"/>
              <w:right w:val="single" w:sz="4" w:space="0" w:color="auto"/>
            </w:tcBorders>
            <w:noWrap/>
            <w:vAlign w:val="bottom"/>
            <w:hideMark/>
          </w:tcPr>
          <w:p w14:paraId="3C585C1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3,023,027.12</w:t>
            </w:r>
          </w:p>
        </w:tc>
        <w:tc>
          <w:tcPr>
            <w:tcW w:w="1628" w:type="dxa"/>
            <w:tcBorders>
              <w:top w:val="nil"/>
              <w:left w:val="nil"/>
              <w:bottom w:val="single" w:sz="4" w:space="0" w:color="auto"/>
              <w:right w:val="single" w:sz="4" w:space="0" w:color="auto"/>
            </w:tcBorders>
            <w:noWrap/>
            <w:vAlign w:val="bottom"/>
            <w:hideMark/>
          </w:tcPr>
          <w:p w14:paraId="24D2655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10,935,879</w:t>
            </w:r>
          </w:p>
        </w:tc>
        <w:tc>
          <w:tcPr>
            <w:tcW w:w="1276" w:type="dxa"/>
            <w:tcBorders>
              <w:top w:val="nil"/>
              <w:left w:val="nil"/>
              <w:bottom w:val="single" w:sz="4" w:space="0" w:color="auto"/>
              <w:right w:val="single" w:sz="4" w:space="0" w:color="auto"/>
            </w:tcBorders>
            <w:noWrap/>
            <w:vAlign w:val="bottom"/>
            <w:hideMark/>
          </w:tcPr>
          <w:p w14:paraId="36871CF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10,160,750</w:t>
            </w:r>
          </w:p>
        </w:tc>
        <w:tc>
          <w:tcPr>
            <w:tcW w:w="1276" w:type="dxa"/>
            <w:tcBorders>
              <w:top w:val="nil"/>
              <w:left w:val="nil"/>
              <w:bottom w:val="single" w:sz="4" w:space="0" w:color="auto"/>
              <w:right w:val="single" w:sz="4" w:space="0" w:color="auto"/>
            </w:tcBorders>
            <w:noWrap/>
            <w:vAlign w:val="bottom"/>
            <w:hideMark/>
          </w:tcPr>
          <w:p w14:paraId="786EFF7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13,647,835</w:t>
            </w:r>
          </w:p>
        </w:tc>
        <w:tc>
          <w:tcPr>
            <w:tcW w:w="1278" w:type="dxa"/>
            <w:tcBorders>
              <w:top w:val="nil"/>
              <w:left w:val="nil"/>
              <w:bottom w:val="single" w:sz="4" w:space="0" w:color="auto"/>
              <w:right w:val="single" w:sz="8" w:space="0" w:color="auto"/>
            </w:tcBorders>
            <w:noWrap/>
            <w:vAlign w:val="bottom"/>
            <w:hideMark/>
          </w:tcPr>
          <w:p w14:paraId="554AE92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12,902,042</w:t>
            </w:r>
          </w:p>
        </w:tc>
      </w:tr>
      <w:tr w:rsidR="00EA0FD7" w:rsidRPr="00EA0FD7" w14:paraId="6B926113" w14:textId="77777777" w:rsidTr="00EA0FD7">
        <w:trPr>
          <w:trHeight w:val="300"/>
        </w:trPr>
        <w:tc>
          <w:tcPr>
            <w:tcW w:w="3039" w:type="dxa"/>
            <w:tcBorders>
              <w:top w:val="nil"/>
              <w:left w:val="single" w:sz="8" w:space="0" w:color="auto"/>
              <w:bottom w:val="single" w:sz="4" w:space="0" w:color="auto"/>
              <w:right w:val="single" w:sz="4" w:space="0" w:color="auto"/>
            </w:tcBorders>
            <w:noWrap/>
            <w:vAlign w:val="bottom"/>
            <w:hideMark/>
          </w:tcPr>
          <w:p w14:paraId="6DED0FF2"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Јавни регистар</w:t>
            </w:r>
          </w:p>
        </w:tc>
        <w:tc>
          <w:tcPr>
            <w:tcW w:w="1563" w:type="dxa"/>
            <w:tcBorders>
              <w:top w:val="nil"/>
              <w:left w:val="nil"/>
              <w:bottom w:val="single" w:sz="4" w:space="0" w:color="auto"/>
              <w:right w:val="single" w:sz="4" w:space="0" w:color="auto"/>
            </w:tcBorders>
            <w:noWrap/>
            <w:vAlign w:val="bottom"/>
            <w:hideMark/>
          </w:tcPr>
          <w:p w14:paraId="3A89B3F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4,425,228.89</w:t>
            </w:r>
          </w:p>
        </w:tc>
        <w:tc>
          <w:tcPr>
            <w:tcW w:w="1628" w:type="dxa"/>
            <w:tcBorders>
              <w:top w:val="nil"/>
              <w:left w:val="nil"/>
              <w:bottom w:val="single" w:sz="4" w:space="0" w:color="auto"/>
              <w:right w:val="single" w:sz="4" w:space="0" w:color="auto"/>
            </w:tcBorders>
            <w:noWrap/>
            <w:vAlign w:val="bottom"/>
            <w:hideMark/>
          </w:tcPr>
          <w:p w14:paraId="4FCA111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5,330,079</w:t>
            </w:r>
          </w:p>
        </w:tc>
        <w:tc>
          <w:tcPr>
            <w:tcW w:w="1276" w:type="dxa"/>
            <w:tcBorders>
              <w:top w:val="nil"/>
              <w:left w:val="nil"/>
              <w:bottom w:val="single" w:sz="4" w:space="0" w:color="auto"/>
              <w:right w:val="single" w:sz="4" w:space="0" w:color="auto"/>
            </w:tcBorders>
            <w:noWrap/>
            <w:vAlign w:val="bottom"/>
            <w:hideMark/>
          </w:tcPr>
          <w:p w14:paraId="15FDF9E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5,694,009</w:t>
            </w:r>
          </w:p>
        </w:tc>
        <w:tc>
          <w:tcPr>
            <w:tcW w:w="1276" w:type="dxa"/>
            <w:tcBorders>
              <w:top w:val="nil"/>
              <w:left w:val="nil"/>
              <w:bottom w:val="single" w:sz="4" w:space="0" w:color="auto"/>
              <w:right w:val="single" w:sz="4" w:space="0" w:color="auto"/>
            </w:tcBorders>
            <w:noWrap/>
            <w:vAlign w:val="bottom"/>
            <w:hideMark/>
          </w:tcPr>
          <w:p w14:paraId="4B68808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5,700,564</w:t>
            </w:r>
          </w:p>
        </w:tc>
        <w:tc>
          <w:tcPr>
            <w:tcW w:w="1278" w:type="dxa"/>
            <w:tcBorders>
              <w:top w:val="nil"/>
              <w:left w:val="nil"/>
              <w:bottom w:val="single" w:sz="4" w:space="0" w:color="auto"/>
              <w:right w:val="single" w:sz="8" w:space="0" w:color="auto"/>
            </w:tcBorders>
            <w:noWrap/>
            <w:vAlign w:val="bottom"/>
            <w:hideMark/>
          </w:tcPr>
          <w:p w14:paraId="0318DAE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5,222,060</w:t>
            </w:r>
          </w:p>
        </w:tc>
      </w:tr>
      <w:tr w:rsidR="00EA0FD7" w:rsidRPr="00EA0FD7" w14:paraId="13FE402C" w14:textId="77777777" w:rsidTr="00EA0FD7">
        <w:trPr>
          <w:trHeight w:val="300"/>
        </w:trPr>
        <w:tc>
          <w:tcPr>
            <w:tcW w:w="3039" w:type="dxa"/>
            <w:tcBorders>
              <w:top w:val="nil"/>
              <w:left w:val="single" w:sz="8" w:space="0" w:color="auto"/>
              <w:bottom w:val="nil"/>
              <w:right w:val="single" w:sz="4" w:space="0" w:color="auto"/>
            </w:tcBorders>
            <w:noWrap/>
            <w:vAlign w:val="bottom"/>
            <w:hideMark/>
          </w:tcPr>
          <w:p w14:paraId="69A30698"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Комисија за хартије од вриједности</w:t>
            </w:r>
          </w:p>
        </w:tc>
        <w:tc>
          <w:tcPr>
            <w:tcW w:w="1563" w:type="dxa"/>
            <w:tcBorders>
              <w:top w:val="nil"/>
              <w:left w:val="nil"/>
              <w:bottom w:val="single" w:sz="4" w:space="0" w:color="auto"/>
              <w:right w:val="single" w:sz="4" w:space="0" w:color="auto"/>
            </w:tcBorders>
            <w:noWrap/>
            <w:vAlign w:val="bottom"/>
            <w:hideMark/>
          </w:tcPr>
          <w:p w14:paraId="2E40ED5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296,693.30</w:t>
            </w:r>
          </w:p>
        </w:tc>
        <w:tc>
          <w:tcPr>
            <w:tcW w:w="1628" w:type="dxa"/>
            <w:tcBorders>
              <w:top w:val="nil"/>
              <w:left w:val="nil"/>
              <w:bottom w:val="single" w:sz="4" w:space="0" w:color="auto"/>
              <w:right w:val="single" w:sz="4" w:space="0" w:color="auto"/>
            </w:tcBorders>
            <w:noWrap/>
            <w:vAlign w:val="bottom"/>
            <w:hideMark/>
          </w:tcPr>
          <w:p w14:paraId="0BDD8FE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354,342</w:t>
            </w:r>
          </w:p>
        </w:tc>
        <w:tc>
          <w:tcPr>
            <w:tcW w:w="1276" w:type="dxa"/>
            <w:tcBorders>
              <w:top w:val="nil"/>
              <w:left w:val="nil"/>
              <w:bottom w:val="single" w:sz="4" w:space="0" w:color="auto"/>
              <w:right w:val="single" w:sz="4" w:space="0" w:color="auto"/>
            </w:tcBorders>
            <w:noWrap/>
            <w:vAlign w:val="bottom"/>
            <w:hideMark/>
          </w:tcPr>
          <w:p w14:paraId="4DE54E7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402,824</w:t>
            </w:r>
          </w:p>
        </w:tc>
        <w:tc>
          <w:tcPr>
            <w:tcW w:w="1276" w:type="dxa"/>
            <w:tcBorders>
              <w:top w:val="nil"/>
              <w:left w:val="nil"/>
              <w:bottom w:val="single" w:sz="4" w:space="0" w:color="auto"/>
              <w:right w:val="single" w:sz="4" w:space="0" w:color="auto"/>
            </w:tcBorders>
            <w:noWrap/>
            <w:vAlign w:val="bottom"/>
            <w:hideMark/>
          </w:tcPr>
          <w:p w14:paraId="710090C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389,254</w:t>
            </w:r>
          </w:p>
        </w:tc>
        <w:tc>
          <w:tcPr>
            <w:tcW w:w="1278" w:type="dxa"/>
            <w:tcBorders>
              <w:top w:val="nil"/>
              <w:left w:val="nil"/>
              <w:bottom w:val="single" w:sz="4" w:space="0" w:color="auto"/>
              <w:right w:val="single" w:sz="8" w:space="0" w:color="auto"/>
            </w:tcBorders>
            <w:noWrap/>
            <w:vAlign w:val="bottom"/>
            <w:hideMark/>
          </w:tcPr>
          <w:p w14:paraId="3DC0440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399,720</w:t>
            </w:r>
          </w:p>
        </w:tc>
      </w:tr>
      <w:tr w:rsidR="00EA0FD7" w:rsidRPr="00EA0FD7" w14:paraId="5B0437EB" w14:textId="77777777" w:rsidTr="00EA0FD7">
        <w:trPr>
          <w:trHeight w:val="480"/>
        </w:trPr>
        <w:tc>
          <w:tcPr>
            <w:tcW w:w="3039" w:type="dxa"/>
            <w:tcBorders>
              <w:top w:val="single" w:sz="4" w:space="0" w:color="auto"/>
              <w:left w:val="single" w:sz="8" w:space="0" w:color="auto"/>
              <w:bottom w:val="single" w:sz="4" w:space="0" w:color="auto"/>
              <w:right w:val="single" w:sz="4" w:space="0" w:color="auto"/>
            </w:tcBorders>
            <w:vAlign w:val="bottom"/>
            <w:hideMark/>
          </w:tcPr>
          <w:p w14:paraId="1BF08EFC"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xml:space="preserve">Канцеларија за управљање </w:t>
            </w:r>
            <w:r w:rsidRPr="00EA0FD7">
              <w:rPr>
                <w:rFonts w:ascii="Arial" w:eastAsia="Times New Roman" w:hAnsi="Arial" w:cs="Arial"/>
                <w:sz w:val="18"/>
                <w:szCs w:val="18"/>
                <w:lang w:val="sr-Cyrl-RS"/>
              </w:rPr>
              <w:br/>
              <w:t>јавном имовином</w:t>
            </w:r>
          </w:p>
        </w:tc>
        <w:tc>
          <w:tcPr>
            <w:tcW w:w="1563" w:type="dxa"/>
            <w:tcBorders>
              <w:top w:val="nil"/>
              <w:left w:val="nil"/>
              <w:bottom w:val="single" w:sz="4" w:space="0" w:color="auto"/>
              <w:right w:val="single" w:sz="4" w:space="0" w:color="auto"/>
            </w:tcBorders>
            <w:noWrap/>
            <w:vAlign w:val="bottom"/>
            <w:hideMark/>
          </w:tcPr>
          <w:p w14:paraId="76AA197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3,678,892.33</w:t>
            </w:r>
          </w:p>
        </w:tc>
        <w:tc>
          <w:tcPr>
            <w:tcW w:w="1628" w:type="dxa"/>
            <w:tcBorders>
              <w:top w:val="nil"/>
              <w:left w:val="nil"/>
              <w:bottom w:val="single" w:sz="4" w:space="0" w:color="auto"/>
              <w:right w:val="single" w:sz="4" w:space="0" w:color="auto"/>
            </w:tcBorders>
            <w:noWrap/>
            <w:vAlign w:val="bottom"/>
            <w:hideMark/>
          </w:tcPr>
          <w:p w14:paraId="769F9B6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6,104,778</w:t>
            </w:r>
          </w:p>
        </w:tc>
        <w:tc>
          <w:tcPr>
            <w:tcW w:w="1276" w:type="dxa"/>
            <w:tcBorders>
              <w:top w:val="nil"/>
              <w:left w:val="nil"/>
              <w:bottom w:val="single" w:sz="4" w:space="0" w:color="auto"/>
              <w:right w:val="single" w:sz="4" w:space="0" w:color="auto"/>
            </w:tcBorders>
            <w:noWrap/>
            <w:vAlign w:val="bottom"/>
            <w:hideMark/>
          </w:tcPr>
          <w:p w14:paraId="6418DE6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4,438,532</w:t>
            </w:r>
          </w:p>
        </w:tc>
        <w:tc>
          <w:tcPr>
            <w:tcW w:w="1276" w:type="dxa"/>
            <w:tcBorders>
              <w:top w:val="nil"/>
              <w:left w:val="nil"/>
              <w:bottom w:val="single" w:sz="4" w:space="0" w:color="auto"/>
              <w:right w:val="single" w:sz="4" w:space="0" w:color="auto"/>
            </w:tcBorders>
            <w:noWrap/>
            <w:vAlign w:val="bottom"/>
            <w:hideMark/>
          </w:tcPr>
          <w:p w14:paraId="291A2E7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6,011,841</w:t>
            </w:r>
          </w:p>
        </w:tc>
        <w:tc>
          <w:tcPr>
            <w:tcW w:w="1278" w:type="dxa"/>
            <w:tcBorders>
              <w:top w:val="nil"/>
              <w:left w:val="nil"/>
              <w:bottom w:val="single" w:sz="4" w:space="0" w:color="auto"/>
              <w:right w:val="single" w:sz="8" w:space="0" w:color="auto"/>
            </w:tcBorders>
            <w:noWrap/>
            <w:vAlign w:val="bottom"/>
            <w:hideMark/>
          </w:tcPr>
          <w:p w14:paraId="6C74E1B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5,002,689</w:t>
            </w:r>
          </w:p>
        </w:tc>
      </w:tr>
      <w:tr w:rsidR="00EA0FD7" w:rsidRPr="00EA0FD7" w14:paraId="295E912E" w14:textId="77777777" w:rsidTr="00EA0FD7">
        <w:trPr>
          <w:trHeight w:val="480"/>
        </w:trPr>
        <w:tc>
          <w:tcPr>
            <w:tcW w:w="3039" w:type="dxa"/>
            <w:tcBorders>
              <w:top w:val="nil"/>
              <w:left w:val="single" w:sz="8" w:space="0" w:color="auto"/>
              <w:bottom w:val="single" w:sz="4" w:space="0" w:color="auto"/>
              <w:right w:val="single" w:sz="4" w:space="0" w:color="auto"/>
            </w:tcBorders>
            <w:vAlign w:val="bottom"/>
            <w:hideMark/>
          </w:tcPr>
          <w:p w14:paraId="4BE217C0" w14:textId="4AA420D6"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xml:space="preserve">Канцеларија координатора при </w:t>
            </w:r>
            <w:r w:rsidRPr="00EA0FD7">
              <w:rPr>
                <w:rFonts w:ascii="Arial" w:eastAsia="Times New Roman" w:hAnsi="Arial" w:cs="Arial"/>
                <w:sz w:val="18"/>
                <w:szCs w:val="18"/>
                <w:lang w:val="sr-Cyrl-RS"/>
              </w:rPr>
              <w:br/>
            </w:r>
            <w:r w:rsidR="00752F04">
              <w:rPr>
                <w:rFonts w:ascii="Arial" w:eastAsia="Times New Roman" w:hAnsi="Arial" w:cs="Arial"/>
                <w:sz w:val="18"/>
                <w:szCs w:val="18"/>
                <w:lang w:val="sr-Cyrl-RS"/>
              </w:rPr>
              <w:t>Савјету</w:t>
            </w:r>
            <w:r w:rsidRPr="00EA0FD7">
              <w:rPr>
                <w:rFonts w:ascii="Arial" w:eastAsia="Times New Roman" w:hAnsi="Arial" w:cs="Arial"/>
                <w:sz w:val="18"/>
                <w:szCs w:val="18"/>
                <w:lang w:val="sr-Cyrl-RS"/>
              </w:rPr>
              <w:t xml:space="preserve"> министара БиХ</w:t>
            </w:r>
          </w:p>
        </w:tc>
        <w:tc>
          <w:tcPr>
            <w:tcW w:w="1563" w:type="dxa"/>
            <w:tcBorders>
              <w:top w:val="nil"/>
              <w:left w:val="nil"/>
              <w:bottom w:val="single" w:sz="4" w:space="0" w:color="auto"/>
              <w:right w:val="single" w:sz="4" w:space="0" w:color="auto"/>
            </w:tcBorders>
            <w:noWrap/>
            <w:vAlign w:val="bottom"/>
            <w:hideMark/>
          </w:tcPr>
          <w:p w14:paraId="3BB5F16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271,294.59</w:t>
            </w:r>
          </w:p>
        </w:tc>
        <w:tc>
          <w:tcPr>
            <w:tcW w:w="1628" w:type="dxa"/>
            <w:tcBorders>
              <w:top w:val="nil"/>
              <w:left w:val="nil"/>
              <w:bottom w:val="single" w:sz="4" w:space="0" w:color="auto"/>
              <w:right w:val="single" w:sz="4" w:space="0" w:color="auto"/>
            </w:tcBorders>
            <w:noWrap/>
            <w:vAlign w:val="bottom"/>
            <w:hideMark/>
          </w:tcPr>
          <w:p w14:paraId="4DF9B46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362,155</w:t>
            </w:r>
          </w:p>
        </w:tc>
        <w:tc>
          <w:tcPr>
            <w:tcW w:w="1276" w:type="dxa"/>
            <w:tcBorders>
              <w:top w:val="nil"/>
              <w:left w:val="nil"/>
              <w:bottom w:val="single" w:sz="4" w:space="0" w:color="auto"/>
              <w:right w:val="single" w:sz="4" w:space="0" w:color="auto"/>
            </w:tcBorders>
            <w:noWrap/>
            <w:vAlign w:val="bottom"/>
            <w:hideMark/>
          </w:tcPr>
          <w:p w14:paraId="7F8BE7E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335,882</w:t>
            </w:r>
          </w:p>
        </w:tc>
        <w:tc>
          <w:tcPr>
            <w:tcW w:w="1276" w:type="dxa"/>
            <w:tcBorders>
              <w:top w:val="nil"/>
              <w:left w:val="nil"/>
              <w:bottom w:val="single" w:sz="4" w:space="0" w:color="auto"/>
              <w:right w:val="single" w:sz="4" w:space="0" w:color="auto"/>
            </w:tcBorders>
            <w:noWrap/>
            <w:vAlign w:val="bottom"/>
            <w:hideMark/>
          </w:tcPr>
          <w:p w14:paraId="354B8F9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334,882</w:t>
            </w:r>
          </w:p>
        </w:tc>
        <w:tc>
          <w:tcPr>
            <w:tcW w:w="1278" w:type="dxa"/>
            <w:tcBorders>
              <w:top w:val="nil"/>
              <w:left w:val="nil"/>
              <w:bottom w:val="single" w:sz="4" w:space="0" w:color="auto"/>
              <w:right w:val="single" w:sz="8" w:space="0" w:color="auto"/>
            </w:tcBorders>
            <w:noWrap/>
            <w:vAlign w:val="bottom"/>
            <w:hideMark/>
          </w:tcPr>
          <w:p w14:paraId="2ED12AA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335,382</w:t>
            </w:r>
          </w:p>
        </w:tc>
      </w:tr>
      <w:tr w:rsidR="00EA0FD7" w:rsidRPr="00EA0FD7" w14:paraId="6FBFCFA4" w14:textId="77777777" w:rsidTr="00EA0FD7">
        <w:trPr>
          <w:trHeight w:val="300"/>
        </w:trPr>
        <w:tc>
          <w:tcPr>
            <w:tcW w:w="3039" w:type="dxa"/>
            <w:tcBorders>
              <w:top w:val="nil"/>
              <w:left w:val="single" w:sz="8" w:space="0" w:color="auto"/>
              <w:bottom w:val="single" w:sz="4" w:space="0" w:color="auto"/>
              <w:right w:val="single" w:sz="4" w:space="0" w:color="auto"/>
            </w:tcBorders>
            <w:vAlign w:val="bottom"/>
            <w:hideMark/>
          </w:tcPr>
          <w:p w14:paraId="2BF447E3"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Канцеларија за ревизију</w:t>
            </w:r>
          </w:p>
        </w:tc>
        <w:tc>
          <w:tcPr>
            <w:tcW w:w="1563" w:type="dxa"/>
            <w:tcBorders>
              <w:top w:val="nil"/>
              <w:left w:val="nil"/>
              <w:bottom w:val="single" w:sz="4" w:space="0" w:color="auto"/>
              <w:right w:val="single" w:sz="4" w:space="0" w:color="auto"/>
            </w:tcBorders>
            <w:noWrap/>
            <w:vAlign w:val="bottom"/>
            <w:hideMark/>
          </w:tcPr>
          <w:p w14:paraId="55768F7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787,862.59</w:t>
            </w:r>
          </w:p>
        </w:tc>
        <w:tc>
          <w:tcPr>
            <w:tcW w:w="1628" w:type="dxa"/>
            <w:tcBorders>
              <w:top w:val="nil"/>
              <w:left w:val="nil"/>
              <w:bottom w:val="single" w:sz="4" w:space="0" w:color="auto"/>
              <w:right w:val="single" w:sz="4" w:space="0" w:color="auto"/>
            </w:tcBorders>
            <w:noWrap/>
            <w:vAlign w:val="bottom"/>
            <w:hideMark/>
          </w:tcPr>
          <w:p w14:paraId="406A33A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1,064,212</w:t>
            </w:r>
          </w:p>
        </w:tc>
        <w:tc>
          <w:tcPr>
            <w:tcW w:w="1276" w:type="dxa"/>
            <w:tcBorders>
              <w:top w:val="nil"/>
              <w:left w:val="nil"/>
              <w:bottom w:val="single" w:sz="4" w:space="0" w:color="auto"/>
              <w:right w:val="single" w:sz="4" w:space="0" w:color="auto"/>
            </w:tcBorders>
            <w:noWrap/>
            <w:vAlign w:val="bottom"/>
            <w:hideMark/>
          </w:tcPr>
          <w:p w14:paraId="454B5CD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1,132,559</w:t>
            </w:r>
          </w:p>
        </w:tc>
        <w:tc>
          <w:tcPr>
            <w:tcW w:w="1276" w:type="dxa"/>
            <w:tcBorders>
              <w:top w:val="nil"/>
              <w:left w:val="nil"/>
              <w:bottom w:val="single" w:sz="4" w:space="0" w:color="auto"/>
              <w:right w:val="single" w:sz="4" w:space="0" w:color="auto"/>
            </w:tcBorders>
            <w:noWrap/>
            <w:vAlign w:val="bottom"/>
            <w:hideMark/>
          </w:tcPr>
          <w:p w14:paraId="7735642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1,098,073</w:t>
            </w:r>
          </w:p>
        </w:tc>
        <w:tc>
          <w:tcPr>
            <w:tcW w:w="1278" w:type="dxa"/>
            <w:tcBorders>
              <w:top w:val="nil"/>
              <w:left w:val="nil"/>
              <w:bottom w:val="single" w:sz="4" w:space="0" w:color="auto"/>
              <w:right w:val="single" w:sz="8" w:space="0" w:color="auto"/>
            </w:tcBorders>
            <w:noWrap/>
            <w:vAlign w:val="bottom"/>
            <w:hideMark/>
          </w:tcPr>
          <w:p w14:paraId="5650AB1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1,103,848</w:t>
            </w:r>
          </w:p>
        </w:tc>
      </w:tr>
      <w:tr w:rsidR="00EA0FD7" w:rsidRPr="00EA0FD7" w14:paraId="5E7B9FF5" w14:textId="77777777" w:rsidTr="00EA0FD7">
        <w:trPr>
          <w:trHeight w:val="660"/>
        </w:trPr>
        <w:tc>
          <w:tcPr>
            <w:tcW w:w="3039" w:type="dxa"/>
            <w:tcBorders>
              <w:top w:val="nil"/>
              <w:left w:val="single" w:sz="8" w:space="0" w:color="auto"/>
              <w:bottom w:val="single" w:sz="4" w:space="0" w:color="auto"/>
              <w:right w:val="single" w:sz="4" w:space="0" w:color="auto"/>
            </w:tcBorders>
            <w:vAlign w:val="bottom"/>
            <w:hideMark/>
          </w:tcPr>
          <w:p w14:paraId="2C8DBB51"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Европске интеграције и међународна сарадња</w:t>
            </w:r>
          </w:p>
        </w:tc>
        <w:tc>
          <w:tcPr>
            <w:tcW w:w="1563" w:type="dxa"/>
            <w:tcBorders>
              <w:top w:val="nil"/>
              <w:left w:val="nil"/>
              <w:bottom w:val="single" w:sz="4" w:space="0" w:color="auto"/>
              <w:right w:val="single" w:sz="4" w:space="0" w:color="auto"/>
            </w:tcBorders>
            <w:noWrap/>
            <w:vAlign w:val="bottom"/>
            <w:hideMark/>
          </w:tcPr>
          <w:p w14:paraId="5457EC4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916,113.20</w:t>
            </w:r>
          </w:p>
        </w:tc>
        <w:tc>
          <w:tcPr>
            <w:tcW w:w="1628" w:type="dxa"/>
            <w:tcBorders>
              <w:top w:val="nil"/>
              <w:left w:val="nil"/>
              <w:bottom w:val="single" w:sz="4" w:space="0" w:color="auto"/>
              <w:right w:val="single" w:sz="4" w:space="0" w:color="auto"/>
            </w:tcBorders>
            <w:noWrap/>
            <w:vAlign w:val="bottom"/>
            <w:hideMark/>
          </w:tcPr>
          <w:p w14:paraId="4C0FBE6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1,160,884</w:t>
            </w:r>
          </w:p>
        </w:tc>
        <w:tc>
          <w:tcPr>
            <w:tcW w:w="1276" w:type="dxa"/>
            <w:tcBorders>
              <w:top w:val="nil"/>
              <w:left w:val="nil"/>
              <w:bottom w:val="single" w:sz="4" w:space="0" w:color="auto"/>
              <w:right w:val="single" w:sz="4" w:space="0" w:color="auto"/>
            </w:tcBorders>
            <w:noWrap/>
            <w:vAlign w:val="bottom"/>
            <w:hideMark/>
          </w:tcPr>
          <w:p w14:paraId="1307424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1,166,953</w:t>
            </w:r>
          </w:p>
        </w:tc>
        <w:tc>
          <w:tcPr>
            <w:tcW w:w="1276" w:type="dxa"/>
            <w:tcBorders>
              <w:top w:val="nil"/>
              <w:left w:val="nil"/>
              <w:bottom w:val="single" w:sz="4" w:space="0" w:color="auto"/>
              <w:right w:val="single" w:sz="4" w:space="0" w:color="auto"/>
            </w:tcBorders>
            <w:noWrap/>
            <w:vAlign w:val="bottom"/>
            <w:hideMark/>
          </w:tcPr>
          <w:p w14:paraId="1885F8E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1,169,167</w:t>
            </w:r>
          </w:p>
        </w:tc>
        <w:tc>
          <w:tcPr>
            <w:tcW w:w="1278" w:type="dxa"/>
            <w:tcBorders>
              <w:top w:val="nil"/>
              <w:left w:val="nil"/>
              <w:bottom w:val="single" w:sz="4" w:space="0" w:color="auto"/>
              <w:right w:val="single" w:sz="8" w:space="0" w:color="auto"/>
            </w:tcBorders>
            <w:noWrap/>
            <w:vAlign w:val="bottom"/>
            <w:hideMark/>
          </w:tcPr>
          <w:p w14:paraId="66AB8E36"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1,171,381</w:t>
            </w:r>
          </w:p>
        </w:tc>
      </w:tr>
      <w:tr w:rsidR="00EA0FD7" w:rsidRPr="00EA0FD7" w14:paraId="14B19710" w14:textId="77777777" w:rsidTr="00EA0FD7">
        <w:trPr>
          <w:trHeight w:val="810"/>
        </w:trPr>
        <w:tc>
          <w:tcPr>
            <w:tcW w:w="3039" w:type="dxa"/>
            <w:tcBorders>
              <w:top w:val="nil"/>
              <w:left w:val="single" w:sz="8" w:space="0" w:color="auto"/>
              <w:bottom w:val="single" w:sz="4" w:space="0" w:color="auto"/>
              <w:right w:val="single" w:sz="4" w:space="0" w:color="auto"/>
            </w:tcBorders>
            <w:vAlign w:val="bottom"/>
            <w:hideMark/>
          </w:tcPr>
          <w:p w14:paraId="47B45AE3"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Канцеларија за превенцију корупције и координацију активности на сузбијању корупције</w:t>
            </w:r>
          </w:p>
        </w:tc>
        <w:tc>
          <w:tcPr>
            <w:tcW w:w="1563" w:type="dxa"/>
            <w:tcBorders>
              <w:top w:val="nil"/>
              <w:left w:val="nil"/>
              <w:bottom w:val="single" w:sz="4" w:space="0" w:color="auto"/>
              <w:right w:val="single" w:sz="4" w:space="0" w:color="auto"/>
            </w:tcBorders>
            <w:noWrap/>
            <w:vAlign w:val="bottom"/>
            <w:hideMark/>
          </w:tcPr>
          <w:p w14:paraId="6D0F8AFB"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128,611.37</w:t>
            </w:r>
          </w:p>
        </w:tc>
        <w:tc>
          <w:tcPr>
            <w:tcW w:w="1628" w:type="dxa"/>
            <w:tcBorders>
              <w:top w:val="nil"/>
              <w:left w:val="nil"/>
              <w:bottom w:val="single" w:sz="4" w:space="0" w:color="auto"/>
              <w:right w:val="single" w:sz="4" w:space="0" w:color="auto"/>
            </w:tcBorders>
            <w:noWrap/>
            <w:vAlign w:val="bottom"/>
            <w:hideMark/>
          </w:tcPr>
          <w:p w14:paraId="0853BB3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402,755</w:t>
            </w:r>
          </w:p>
        </w:tc>
        <w:tc>
          <w:tcPr>
            <w:tcW w:w="1276" w:type="dxa"/>
            <w:tcBorders>
              <w:top w:val="nil"/>
              <w:left w:val="nil"/>
              <w:bottom w:val="single" w:sz="4" w:space="0" w:color="auto"/>
              <w:right w:val="single" w:sz="4" w:space="0" w:color="auto"/>
            </w:tcBorders>
            <w:noWrap/>
            <w:vAlign w:val="bottom"/>
            <w:hideMark/>
          </w:tcPr>
          <w:p w14:paraId="0F4111F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399,674</w:t>
            </w:r>
          </w:p>
        </w:tc>
        <w:tc>
          <w:tcPr>
            <w:tcW w:w="1276" w:type="dxa"/>
            <w:tcBorders>
              <w:top w:val="nil"/>
              <w:left w:val="nil"/>
              <w:bottom w:val="single" w:sz="4" w:space="0" w:color="auto"/>
              <w:right w:val="single" w:sz="4" w:space="0" w:color="auto"/>
            </w:tcBorders>
            <w:noWrap/>
            <w:vAlign w:val="bottom"/>
            <w:hideMark/>
          </w:tcPr>
          <w:p w14:paraId="4E5A9E99"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391,232</w:t>
            </w:r>
          </w:p>
        </w:tc>
        <w:tc>
          <w:tcPr>
            <w:tcW w:w="1278" w:type="dxa"/>
            <w:tcBorders>
              <w:top w:val="nil"/>
              <w:left w:val="nil"/>
              <w:bottom w:val="single" w:sz="4" w:space="0" w:color="auto"/>
              <w:right w:val="single" w:sz="8" w:space="0" w:color="auto"/>
            </w:tcBorders>
            <w:noWrap/>
            <w:vAlign w:val="bottom"/>
            <w:hideMark/>
          </w:tcPr>
          <w:p w14:paraId="05832F1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391,782</w:t>
            </w:r>
          </w:p>
        </w:tc>
      </w:tr>
      <w:tr w:rsidR="00EA0FD7" w:rsidRPr="00EA0FD7" w14:paraId="7433B76A" w14:textId="77777777" w:rsidTr="00EA0FD7">
        <w:trPr>
          <w:trHeight w:val="600"/>
        </w:trPr>
        <w:tc>
          <w:tcPr>
            <w:tcW w:w="3039" w:type="dxa"/>
            <w:tcBorders>
              <w:top w:val="nil"/>
              <w:left w:val="single" w:sz="8" w:space="0" w:color="auto"/>
              <w:bottom w:val="nil"/>
              <w:right w:val="single" w:sz="4" w:space="0" w:color="auto"/>
            </w:tcBorders>
            <w:vAlign w:val="bottom"/>
            <w:hideMark/>
          </w:tcPr>
          <w:p w14:paraId="7BFD0C43"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Комисија за одлучивање о сукобу интереса</w:t>
            </w:r>
          </w:p>
        </w:tc>
        <w:tc>
          <w:tcPr>
            <w:tcW w:w="1563" w:type="dxa"/>
            <w:tcBorders>
              <w:top w:val="nil"/>
              <w:left w:val="nil"/>
              <w:bottom w:val="nil"/>
              <w:right w:val="single" w:sz="4" w:space="0" w:color="auto"/>
            </w:tcBorders>
            <w:noWrap/>
            <w:vAlign w:val="bottom"/>
            <w:hideMark/>
          </w:tcPr>
          <w:p w14:paraId="35CC632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91,451.57</w:t>
            </w:r>
          </w:p>
        </w:tc>
        <w:tc>
          <w:tcPr>
            <w:tcW w:w="1628" w:type="dxa"/>
            <w:tcBorders>
              <w:top w:val="nil"/>
              <w:left w:val="nil"/>
              <w:bottom w:val="nil"/>
              <w:right w:val="single" w:sz="4" w:space="0" w:color="auto"/>
            </w:tcBorders>
            <w:noWrap/>
            <w:vAlign w:val="bottom"/>
            <w:hideMark/>
          </w:tcPr>
          <w:p w14:paraId="7D055A2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453,955</w:t>
            </w:r>
          </w:p>
        </w:tc>
        <w:tc>
          <w:tcPr>
            <w:tcW w:w="1276" w:type="dxa"/>
            <w:tcBorders>
              <w:top w:val="nil"/>
              <w:left w:val="nil"/>
              <w:bottom w:val="nil"/>
              <w:right w:val="single" w:sz="4" w:space="0" w:color="auto"/>
            </w:tcBorders>
            <w:noWrap/>
            <w:vAlign w:val="bottom"/>
            <w:hideMark/>
          </w:tcPr>
          <w:p w14:paraId="515FD1AC"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511,792</w:t>
            </w:r>
          </w:p>
        </w:tc>
        <w:tc>
          <w:tcPr>
            <w:tcW w:w="1276" w:type="dxa"/>
            <w:tcBorders>
              <w:top w:val="nil"/>
              <w:left w:val="nil"/>
              <w:bottom w:val="nil"/>
              <w:right w:val="single" w:sz="4" w:space="0" w:color="auto"/>
            </w:tcBorders>
            <w:noWrap/>
            <w:vAlign w:val="bottom"/>
            <w:hideMark/>
          </w:tcPr>
          <w:p w14:paraId="63FB8F1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511,792</w:t>
            </w:r>
          </w:p>
        </w:tc>
        <w:tc>
          <w:tcPr>
            <w:tcW w:w="1278" w:type="dxa"/>
            <w:tcBorders>
              <w:top w:val="nil"/>
              <w:left w:val="nil"/>
              <w:bottom w:val="nil"/>
              <w:right w:val="single" w:sz="4" w:space="0" w:color="auto"/>
            </w:tcBorders>
            <w:noWrap/>
            <w:vAlign w:val="bottom"/>
            <w:hideMark/>
          </w:tcPr>
          <w:p w14:paraId="44AE77B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511,792</w:t>
            </w:r>
          </w:p>
        </w:tc>
      </w:tr>
      <w:tr w:rsidR="00EA0FD7" w:rsidRPr="00EA0FD7" w14:paraId="4AEB80DA" w14:textId="77777777" w:rsidTr="00EA0FD7">
        <w:trPr>
          <w:trHeight w:val="300"/>
        </w:trPr>
        <w:tc>
          <w:tcPr>
            <w:tcW w:w="3039" w:type="dxa"/>
            <w:tcBorders>
              <w:top w:val="single" w:sz="4" w:space="0" w:color="auto"/>
              <w:left w:val="single" w:sz="8" w:space="0" w:color="auto"/>
              <w:bottom w:val="single" w:sz="4" w:space="0" w:color="auto"/>
              <w:right w:val="single" w:sz="4" w:space="0" w:color="auto"/>
            </w:tcBorders>
            <w:vAlign w:val="bottom"/>
            <w:hideMark/>
          </w:tcPr>
          <w:p w14:paraId="7F105B16"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Отплата дуга</w:t>
            </w:r>
          </w:p>
        </w:tc>
        <w:tc>
          <w:tcPr>
            <w:tcW w:w="1563" w:type="dxa"/>
            <w:tcBorders>
              <w:top w:val="single" w:sz="4" w:space="0" w:color="auto"/>
              <w:left w:val="nil"/>
              <w:bottom w:val="single" w:sz="4" w:space="0" w:color="auto"/>
              <w:right w:val="single" w:sz="4" w:space="0" w:color="auto"/>
            </w:tcBorders>
            <w:noWrap/>
            <w:vAlign w:val="bottom"/>
            <w:hideMark/>
          </w:tcPr>
          <w:p w14:paraId="3183455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7,953,703.92</w:t>
            </w:r>
          </w:p>
        </w:tc>
        <w:tc>
          <w:tcPr>
            <w:tcW w:w="1628" w:type="dxa"/>
            <w:tcBorders>
              <w:top w:val="single" w:sz="4" w:space="0" w:color="auto"/>
              <w:left w:val="nil"/>
              <w:bottom w:val="single" w:sz="4" w:space="0" w:color="auto"/>
              <w:right w:val="single" w:sz="4" w:space="0" w:color="auto"/>
            </w:tcBorders>
            <w:noWrap/>
            <w:vAlign w:val="bottom"/>
            <w:hideMark/>
          </w:tcPr>
          <w:p w14:paraId="140704A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10,270,076</w:t>
            </w:r>
          </w:p>
        </w:tc>
        <w:tc>
          <w:tcPr>
            <w:tcW w:w="1276" w:type="dxa"/>
            <w:tcBorders>
              <w:top w:val="single" w:sz="4" w:space="0" w:color="auto"/>
              <w:left w:val="nil"/>
              <w:bottom w:val="single" w:sz="4" w:space="0" w:color="auto"/>
              <w:right w:val="single" w:sz="4" w:space="0" w:color="auto"/>
            </w:tcBorders>
            <w:noWrap/>
            <w:vAlign w:val="bottom"/>
            <w:hideMark/>
          </w:tcPr>
          <w:p w14:paraId="6C4B28E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11,133,140</w:t>
            </w:r>
          </w:p>
        </w:tc>
        <w:tc>
          <w:tcPr>
            <w:tcW w:w="1276" w:type="dxa"/>
            <w:tcBorders>
              <w:top w:val="single" w:sz="4" w:space="0" w:color="auto"/>
              <w:left w:val="nil"/>
              <w:bottom w:val="single" w:sz="4" w:space="0" w:color="auto"/>
              <w:right w:val="single" w:sz="4" w:space="0" w:color="auto"/>
            </w:tcBorders>
            <w:noWrap/>
            <w:vAlign w:val="bottom"/>
            <w:hideMark/>
          </w:tcPr>
          <w:p w14:paraId="1A6E024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12,845,951</w:t>
            </w:r>
          </w:p>
        </w:tc>
        <w:tc>
          <w:tcPr>
            <w:tcW w:w="1278" w:type="dxa"/>
            <w:tcBorders>
              <w:top w:val="single" w:sz="4" w:space="0" w:color="auto"/>
              <w:left w:val="nil"/>
              <w:bottom w:val="single" w:sz="4" w:space="0" w:color="auto"/>
              <w:right w:val="single" w:sz="8" w:space="0" w:color="auto"/>
            </w:tcBorders>
            <w:noWrap/>
            <w:vAlign w:val="bottom"/>
            <w:hideMark/>
          </w:tcPr>
          <w:p w14:paraId="0959890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11,440,829</w:t>
            </w:r>
          </w:p>
        </w:tc>
      </w:tr>
      <w:tr w:rsidR="00EA0FD7" w:rsidRPr="00EA0FD7" w14:paraId="29D33C92" w14:textId="77777777" w:rsidTr="00EA0FD7">
        <w:trPr>
          <w:trHeight w:val="480"/>
        </w:trPr>
        <w:tc>
          <w:tcPr>
            <w:tcW w:w="3039" w:type="dxa"/>
            <w:tcBorders>
              <w:top w:val="nil"/>
              <w:left w:val="single" w:sz="8" w:space="0" w:color="auto"/>
              <w:bottom w:val="single" w:sz="4" w:space="0" w:color="auto"/>
              <w:right w:val="single" w:sz="4" w:space="0" w:color="auto"/>
            </w:tcBorders>
            <w:vAlign w:val="bottom"/>
            <w:hideMark/>
          </w:tcPr>
          <w:p w14:paraId="47BB0FD3"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Судске пресуде и вансудска поравнања</w:t>
            </w:r>
          </w:p>
        </w:tc>
        <w:tc>
          <w:tcPr>
            <w:tcW w:w="1563" w:type="dxa"/>
            <w:tcBorders>
              <w:top w:val="nil"/>
              <w:left w:val="nil"/>
              <w:bottom w:val="single" w:sz="4" w:space="0" w:color="auto"/>
              <w:right w:val="single" w:sz="4" w:space="0" w:color="auto"/>
            </w:tcBorders>
            <w:noWrap/>
            <w:vAlign w:val="bottom"/>
            <w:hideMark/>
          </w:tcPr>
          <w:p w14:paraId="6E5AE95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1,233,705.17</w:t>
            </w:r>
          </w:p>
        </w:tc>
        <w:tc>
          <w:tcPr>
            <w:tcW w:w="1628" w:type="dxa"/>
            <w:tcBorders>
              <w:top w:val="nil"/>
              <w:left w:val="nil"/>
              <w:bottom w:val="single" w:sz="4" w:space="0" w:color="auto"/>
              <w:right w:val="single" w:sz="4" w:space="0" w:color="auto"/>
            </w:tcBorders>
            <w:noWrap/>
            <w:vAlign w:val="bottom"/>
            <w:hideMark/>
          </w:tcPr>
          <w:p w14:paraId="30B5B63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1,550,556</w:t>
            </w:r>
          </w:p>
        </w:tc>
        <w:tc>
          <w:tcPr>
            <w:tcW w:w="1276" w:type="dxa"/>
            <w:tcBorders>
              <w:top w:val="nil"/>
              <w:left w:val="nil"/>
              <w:bottom w:val="single" w:sz="4" w:space="0" w:color="auto"/>
              <w:right w:val="single" w:sz="4" w:space="0" w:color="auto"/>
            </w:tcBorders>
            <w:noWrap/>
            <w:vAlign w:val="bottom"/>
            <w:hideMark/>
          </w:tcPr>
          <w:p w14:paraId="461B7A0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1,233,705</w:t>
            </w:r>
          </w:p>
        </w:tc>
        <w:tc>
          <w:tcPr>
            <w:tcW w:w="1276" w:type="dxa"/>
            <w:tcBorders>
              <w:top w:val="nil"/>
              <w:left w:val="nil"/>
              <w:bottom w:val="single" w:sz="4" w:space="0" w:color="auto"/>
              <w:right w:val="single" w:sz="4" w:space="0" w:color="auto"/>
            </w:tcBorders>
            <w:noWrap/>
            <w:vAlign w:val="bottom"/>
            <w:hideMark/>
          </w:tcPr>
          <w:p w14:paraId="27260F0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1,233,705</w:t>
            </w:r>
          </w:p>
        </w:tc>
        <w:tc>
          <w:tcPr>
            <w:tcW w:w="1278" w:type="dxa"/>
            <w:tcBorders>
              <w:top w:val="nil"/>
              <w:left w:val="nil"/>
              <w:bottom w:val="single" w:sz="4" w:space="0" w:color="auto"/>
              <w:right w:val="single" w:sz="4" w:space="0" w:color="auto"/>
            </w:tcBorders>
            <w:noWrap/>
            <w:vAlign w:val="bottom"/>
            <w:hideMark/>
          </w:tcPr>
          <w:p w14:paraId="7A1C46C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1,233,705</w:t>
            </w:r>
          </w:p>
        </w:tc>
      </w:tr>
      <w:tr w:rsidR="00EA0FD7" w:rsidRPr="00EA0FD7" w14:paraId="317FEAE3" w14:textId="77777777" w:rsidTr="00EA0FD7">
        <w:trPr>
          <w:trHeight w:val="300"/>
        </w:trPr>
        <w:tc>
          <w:tcPr>
            <w:tcW w:w="3039" w:type="dxa"/>
            <w:tcBorders>
              <w:top w:val="nil"/>
              <w:left w:val="single" w:sz="8" w:space="0" w:color="auto"/>
              <w:bottom w:val="nil"/>
              <w:right w:val="single" w:sz="4" w:space="0" w:color="auto"/>
            </w:tcBorders>
            <w:vAlign w:val="bottom"/>
            <w:hideMark/>
          </w:tcPr>
          <w:p w14:paraId="27C77A97"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Средства резерве</w:t>
            </w:r>
          </w:p>
        </w:tc>
        <w:tc>
          <w:tcPr>
            <w:tcW w:w="1563" w:type="dxa"/>
            <w:tcBorders>
              <w:top w:val="nil"/>
              <w:left w:val="nil"/>
              <w:bottom w:val="nil"/>
              <w:right w:val="single" w:sz="4" w:space="0" w:color="auto"/>
            </w:tcBorders>
            <w:noWrap/>
            <w:vAlign w:val="bottom"/>
            <w:hideMark/>
          </w:tcPr>
          <w:p w14:paraId="2AB6CC9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1,584,081.00</w:t>
            </w:r>
          </w:p>
        </w:tc>
        <w:tc>
          <w:tcPr>
            <w:tcW w:w="1628" w:type="dxa"/>
            <w:tcBorders>
              <w:top w:val="nil"/>
              <w:left w:val="nil"/>
              <w:bottom w:val="nil"/>
              <w:right w:val="single" w:sz="4" w:space="0" w:color="auto"/>
            </w:tcBorders>
            <w:noWrap/>
            <w:vAlign w:val="bottom"/>
            <w:hideMark/>
          </w:tcPr>
          <w:p w14:paraId="41D4BA7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3,829,418</w:t>
            </w:r>
          </w:p>
        </w:tc>
        <w:tc>
          <w:tcPr>
            <w:tcW w:w="1276" w:type="dxa"/>
            <w:tcBorders>
              <w:top w:val="nil"/>
              <w:left w:val="nil"/>
              <w:bottom w:val="nil"/>
              <w:right w:val="single" w:sz="4" w:space="0" w:color="auto"/>
            </w:tcBorders>
            <w:noWrap/>
            <w:vAlign w:val="bottom"/>
            <w:hideMark/>
          </w:tcPr>
          <w:p w14:paraId="190244B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3,829,643</w:t>
            </w:r>
          </w:p>
        </w:tc>
        <w:tc>
          <w:tcPr>
            <w:tcW w:w="1276" w:type="dxa"/>
            <w:tcBorders>
              <w:top w:val="nil"/>
              <w:left w:val="nil"/>
              <w:bottom w:val="nil"/>
              <w:right w:val="single" w:sz="4" w:space="0" w:color="auto"/>
            </w:tcBorders>
            <w:noWrap/>
            <w:vAlign w:val="bottom"/>
            <w:hideMark/>
          </w:tcPr>
          <w:p w14:paraId="0713FAE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3,818,383</w:t>
            </w:r>
          </w:p>
        </w:tc>
        <w:tc>
          <w:tcPr>
            <w:tcW w:w="1278" w:type="dxa"/>
            <w:tcBorders>
              <w:top w:val="nil"/>
              <w:left w:val="nil"/>
              <w:bottom w:val="nil"/>
              <w:right w:val="single" w:sz="8" w:space="0" w:color="auto"/>
            </w:tcBorders>
            <w:noWrap/>
            <w:vAlign w:val="bottom"/>
            <w:hideMark/>
          </w:tcPr>
          <w:p w14:paraId="248C32A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3,807,680</w:t>
            </w:r>
          </w:p>
        </w:tc>
      </w:tr>
      <w:tr w:rsidR="00EA0FD7" w:rsidRPr="00EA0FD7" w14:paraId="43D81A85" w14:textId="77777777" w:rsidTr="00EA0FD7">
        <w:trPr>
          <w:trHeight w:val="645"/>
        </w:trPr>
        <w:tc>
          <w:tcPr>
            <w:tcW w:w="3039" w:type="dxa"/>
            <w:tcBorders>
              <w:top w:val="single" w:sz="8" w:space="0" w:color="auto"/>
              <w:left w:val="single" w:sz="8" w:space="0" w:color="auto"/>
              <w:bottom w:val="single" w:sz="8" w:space="0" w:color="auto"/>
              <w:right w:val="single" w:sz="4" w:space="0" w:color="auto"/>
            </w:tcBorders>
            <w:shd w:val="clear" w:color="auto" w:fill="FFFF00"/>
            <w:vAlign w:val="bottom"/>
            <w:hideMark/>
          </w:tcPr>
          <w:p w14:paraId="1362E57A" w14:textId="2FF0021D" w:rsidR="00EA0FD7" w:rsidRPr="00EA0FD7" w:rsidRDefault="00752F04" w:rsidP="00EA0FD7">
            <w:pPr>
              <w:spacing w:after="0" w:line="240" w:lineRule="auto"/>
              <w:rPr>
                <w:rFonts w:ascii="Arial" w:eastAsia="Times New Roman" w:hAnsi="Arial" w:cs="Arial"/>
                <w:b/>
                <w:bCs/>
                <w:i/>
                <w:iCs/>
                <w:sz w:val="18"/>
                <w:szCs w:val="18"/>
                <w:lang w:val="sr-Cyrl-RS"/>
              </w:rPr>
            </w:pPr>
            <w:r>
              <w:rPr>
                <w:rFonts w:ascii="Arial" w:eastAsia="Times New Roman" w:hAnsi="Arial" w:cs="Arial"/>
                <w:b/>
                <w:bCs/>
                <w:i/>
                <w:iCs/>
                <w:sz w:val="18"/>
                <w:szCs w:val="18"/>
              </w:rPr>
              <w:t>I</w:t>
            </w:r>
            <w:r w:rsidR="00EA0FD7" w:rsidRPr="00EA0FD7">
              <w:rPr>
                <w:rFonts w:ascii="Arial" w:eastAsia="Times New Roman" w:hAnsi="Arial" w:cs="Arial"/>
                <w:b/>
                <w:bCs/>
                <w:i/>
                <w:iCs/>
                <w:sz w:val="18"/>
                <w:szCs w:val="18"/>
                <w:lang w:val="sr-Cyrl-RS"/>
              </w:rPr>
              <w:t xml:space="preserve"> </w:t>
            </w:r>
            <w:r>
              <w:rPr>
                <w:rFonts w:ascii="Arial" w:eastAsia="Times New Roman" w:hAnsi="Arial" w:cs="Arial"/>
                <w:b/>
                <w:bCs/>
                <w:i/>
                <w:iCs/>
                <w:sz w:val="18"/>
                <w:szCs w:val="18"/>
                <w:lang w:val="sr-Cyrl-RS"/>
              </w:rPr>
              <w:t>–</w:t>
            </w:r>
            <w:r w:rsidR="00EA0FD7" w:rsidRPr="00EA0FD7">
              <w:rPr>
                <w:rFonts w:ascii="Arial" w:eastAsia="Times New Roman" w:hAnsi="Arial" w:cs="Arial"/>
                <w:b/>
                <w:bCs/>
                <w:i/>
                <w:iCs/>
                <w:sz w:val="18"/>
                <w:szCs w:val="18"/>
                <w:lang w:val="sr-Cyrl-RS"/>
              </w:rPr>
              <w:t xml:space="preserve"> УКУПНО БУЏЕТСКИ КОРИСНИЦИ</w:t>
            </w:r>
          </w:p>
        </w:tc>
        <w:tc>
          <w:tcPr>
            <w:tcW w:w="1563" w:type="dxa"/>
            <w:tcBorders>
              <w:top w:val="single" w:sz="8" w:space="0" w:color="auto"/>
              <w:left w:val="nil"/>
              <w:bottom w:val="single" w:sz="8" w:space="0" w:color="auto"/>
              <w:right w:val="single" w:sz="4" w:space="0" w:color="auto"/>
            </w:tcBorders>
            <w:shd w:val="clear" w:color="auto" w:fill="FFFF00"/>
            <w:noWrap/>
            <w:vAlign w:val="bottom"/>
            <w:hideMark/>
          </w:tcPr>
          <w:p w14:paraId="540A3915"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214,162,076.78</w:t>
            </w:r>
          </w:p>
        </w:tc>
        <w:tc>
          <w:tcPr>
            <w:tcW w:w="1628" w:type="dxa"/>
            <w:tcBorders>
              <w:top w:val="single" w:sz="8" w:space="0" w:color="auto"/>
              <w:left w:val="nil"/>
              <w:bottom w:val="single" w:sz="8" w:space="0" w:color="auto"/>
              <w:right w:val="single" w:sz="4" w:space="0" w:color="auto"/>
            </w:tcBorders>
            <w:shd w:val="clear" w:color="auto" w:fill="FFFF00"/>
            <w:noWrap/>
            <w:vAlign w:val="bottom"/>
            <w:hideMark/>
          </w:tcPr>
          <w:p w14:paraId="273CCA93"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249,503,340</w:t>
            </w:r>
          </w:p>
        </w:tc>
        <w:tc>
          <w:tcPr>
            <w:tcW w:w="1276" w:type="dxa"/>
            <w:tcBorders>
              <w:top w:val="single" w:sz="8" w:space="0" w:color="auto"/>
              <w:left w:val="nil"/>
              <w:bottom w:val="single" w:sz="8" w:space="0" w:color="auto"/>
              <w:right w:val="single" w:sz="4" w:space="0" w:color="auto"/>
            </w:tcBorders>
            <w:shd w:val="clear" w:color="auto" w:fill="FFFF00"/>
            <w:noWrap/>
            <w:vAlign w:val="bottom"/>
            <w:hideMark/>
          </w:tcPr>
          <w:p w14:paraId="62342B1D"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278,083,660</w:t>
            </w:r>
          </w:p>
        </w:tc>
        <w:tc>
          <w:tcPr>
            <w:tcW w:w="1276" w:type="dxa"/>
            <w:tcBorders>
              <w:top w:val="single" w:sz="8" w:space="0" w:color="auto"/>
              <w:left w:val="nil"/>
              <w:bottom w:val="single" w:sz="8" w:space="0" w:color="auto"/>
              <w:right w:val="single" w:sz="4" w:space="0" w:color="auto"/>
            </w:tcBorders>
            <w:shd w:val="clear" w:color="auto" w:fill="FFFF00"/>
            <w:noWrap/>
            <w:vAlign w:val="bottom"/>
            <w:hideMark/>
          </w:tcPr>
          <w:p w14:paraId="0666DCD8"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285,754,983</w:t>
            </w:r>
          </w:p>
        </w:tc>
        <w:tc>
          <w:tcPr>
            <w:tcW w:w="1278" w:type="dxa"/>
            <w:tcBorders>
              <w:top w:val="single" w:sz="8" w:space="0" w:color="auto"/>
              <w:left w:val="nil"/>
              <w:bottom w:val="single" w:sz="8" w:space="0" w:color="auto"/>
              <w:right w:val="single" w:sz="8" w:space="0" w:color="auto"/>
            </w:tcBorders>
            <w:shd w:val="clear" w:color="auto" w:fill="FFFF00"/>
            <w:noWrap/>
            <w:vAlign w:val="bottom"/>
            <w:hideMark/>
          </w:tcPr>
          <w:p w14:paraId="3332EDC3"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293,984,963</w:t>
            </w:r>
          </w:p>
        </w:tc>
      </w:tr>
      <w:tr w:rsidR="00EA0FD7" w:rsidRPr="00EA0FD7" w14:paraId="3020C54A" w14:textId="77777777" w:rsidTr="00EA0FD7">
        <w:trPr>
          <w:trHeight w:val="300"/>
        </w:trPr>
        <w:tc>
          <w:tcPr>
            <w:tcW w:w="3039" w:type="dxa"/>
            <w:tcBorders>
              <w:top w:val="nil"/>
              <w:left w:val="single" w:sz="8" w:space="0" w:color="auto"/>
              <w:bottom w:val="single" w:sz="4" w:space="0" w:color="auto"/>
              <w:right w:val="single" w:sz="4" w:space="0" w:color="auto"/>
            </w:tcBorders>
            <w:noWrap/>
            <w:vAlign w:val="bottom"/>
            <w:hideMark/>
          </w:tcPr>
          <w:p w14:paraId="547E417F"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Фонд здравственог осигурања</w:t>
            </w:r>
          </w:p>
        </w:tc>
        <w:tc>
          <w:tcPr>
            <w:tcW w:w="1563" w:type="dxa"/>
            <w:tcBorders>
              <w:top w:val="nil"/>
              <w:left w:val="nil"/>
              <w:bottom w:val="single" w:sz="4" w:space="0" w:color="auto"/>
              <w:right w:val="single" w:sz="4" w:space="0" w:color="auto"/>
            </w:tcBorders>
            <w:noWrap/>
            <w:vAlign w:val="bottom"/>
            <w:hideMark/>
          </w:tcPr>
          <w:p w14:paraId="0AA3958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34,485,236.00</w:t>
            </w:r>
          </w:p>
        </w:tc>
        <w:tc>
          <w:tcPr>
            <w:tcW w:w="1628" w:type="dxa"/>
            <w:tcBorders>
              <w:top w:val="nil"/>
              <w:left w:val="nil"/>
              <w:bottom w:val="single" w:sz="4" w:space="0" w:color="auto"/>
              <w:right w:val="single" w:sz="4" w:space="0" w:color="auto"/>
            </w:tcBorders>
            <w:noWrap/>
            <w:vAlign w:val="bottom"/>
            <w:hideMark/>
          </w:tcPr>
          <w:p w14:paraId="40AC479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45,108,236</w:t>
            </w:r>
          </w:p>
        </w:tc>
        <w:tc>
          <w:tcPr>
            <w:tcW w:w="1276" w:type="dxa"/>
            <w:tcBorders>
              <w:top w:val="nil"/>
              <w:left w:val="nil"/>
              <w:bottom w:val="single" w:sz="4" w:space="0" w:color="auto"/>
              <w:right w:val="single" w:sz="4" w:space="0" w:color="auto"/>
            </w:tcBorders>
            <w:noWrap/>
            <w:vAlign w:val="bottom"/>
            <w:hideMark/>
          </w:tcPr>
          <w:p w14:paraId="2C42524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32,971,267</w:t>
            </w:r>
          </w:p>
        </w:tc>
        <w:tc>
          <w:tcPr>
            <w:tcW w:w="1276" w:type="dxa"/>
            <w:tcBorders>
              <w:top w:val="nil"/>
              <w:left w:val="nil"/>
              <w:bottom w:val="single" w:sz="4" w:space="0" w:color="auto"/>
              <w:right w:val="single" w:sz="4" w:space="0" w:color="auto"/>
            </w:tcBorders>
            <w:noWrap/>
            <w:vAlign w:val="bottom"/>
            <w:hideMark/>
          </w:tcPr>
          <w:p w14:paraId="075A538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33,021,267</w:t>
            </w:r>
          </w:p>
        </w:tc>
        <w:tc>
          <w:tcPr>
            <w:tcW w:w="1278" w:type="dxa"/>
            <w:tcBorders>
              <w:top w:val="nil"/>
              <w:left w:val="nil"/>
              <w:bottom w:val="single" w:sz="4" w:space="0" w:color="auto"/>
              <w:right w:val="single" w:sz="8" w:space="0" w:color="auto"/>
            </w:tcBorders>
            <w:noWrap/>
            <w:vAlign w:val="bottom"/>
            <w:hideMark/>
          </w:tcPr>
          <w:p w14:paraId="2F42C8D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33,071,267</w:t>
            </w:r>
          </w:p>
        </w:tc>
      </w:tr>
      <w:tr w:rsidR="00EA0FD7" w:rsidRPr="00EA0FD7" w14:paraId="06536177" w14:textId="77777777" w:rsidTr="00EA0FD7">
        <w:trPr>
          <w:trHeight w:val="300"/>
        </w:trPr>
        <w:tc>
          <w:tcPr>
            <w:tcW w:w="3039" w:type="dxa"/>
            <w:tcBorders>
              <w:top w:val="nil"/>
              <w:left w:val="single" w:sz="8" w:space="0" w:color="auto"/>
              <w:bottom w:val="single" w:sz="4" w:space="0" w:color="auto"/>
              <w:right w:val="single" w:sz="4" w:space="0" w:color="auto"/>
            </w:tcBorders>
            <w:noWrap/>
            <w:vAlign w:val="bottom"/>
            <w:hideMark/>
          </w:tcPr>
          <w:p w14:paraId="743D7D26"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Завод за запошљавање</w:t>
            </w:r>
          </w:p>
        </w:tc>
        <w:tc>
          <w:tcPr>
            <w:tcW w:w="1563" w:type="dxa"/>
            <w:tcBorders>
              <w:top w:val="nil"/>
              <w:left w:val="nil"/>
              <w:bottom w:val="single" w:sz="4" w:space="0" w:color="auto"/>
              <w:right w:val="single" w:sz="4" w:space="0" w:color="auto"/>
            </w:tcBorders>
            <w:noWrap/>
            <w:vAlign w:val="bottom"/>
            <w:hideMark/>
          </w:tcPr>
          <w:p w14:paraId="75F70FC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3,765,415.00</w:t>
            </w:r>
          </w:p>
        </w:tc>
        <w:tc>
          <w:tcPr>
            <w:tcW w:w="1628" w:type="dxa"/>
            <w:tcBorders>
              <w:top w:val="nil"/>
              <w:left w:val="nil"/>
              <w:bottom w:val="single" w:sz="4" w:space="0" w:color="auto"/>
              <w:right w:val="single" w:sz="4" w:space="0" w:color="auto"/>
            </w:tcBorders>
            <w:noWrap/>
            <w:vAlign w:val="bottom"/>
            <w:hideMark/>
          </w:tcPr>
          <w:p w14:paraId="2224C0E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5,175,360</w:t>
            </w:r>
          </w:p>
        </w:tc>
        <w:tc>
          <w:tcPr>
            <w:tcW w:w="1276" w:type="dxa"/>
            <w:tcBorders>
              <w:top w:val="nil"/>
              <w:left w:val="nil"/>
              <w:bottom w:val="single" w:sz="4" w:space="0" w:color="auto"/>
              <w:right w:val="single" w:sz="4" w:space="0" w:color="auto"/>
            </w:tcBorders>
            <w:noWrap/>
            <w:vAlign w:val="bottom"/>
            <w:hideMark/>
          </w:tcPr>
          <w:p w14:paraId="77080FCA"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4,274,000</w:t>
            </w:r>
          </w:p>
        </w:tc>
        <w:tc>
          <w:tcPr>
            <w:tcW w:w="1276" w:type="dxa"/>
            <w:tcBorders>
              <w:top w:val="nil"/>
              <w:left w:val="nil"/>
              <w:bottom w:val="single" w:sz="4" w:space="0" w:color="auto"/>
              <w:right w:val="single" w:sz="4" w:space="0" w:color="auto"/>
            </w:tcBorders>
            <w:noWrap/>
            <w:vAlign w:val="bottom"/>
            <w:hideMark/>
          </w:tcPr>
          <w:p w14:paraId="0B529DFD"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4,199,000</w:t>
            </w:r>
          </w:p>
        </w:tc>
        <w:tc>
          <w:tcPr>
            <w:tcW w:w="1278" w:type="dxa"/>
            <w:tcBorders>
              <w:top w:val="nil"/>
              <w:left w:val="nil"/>
              <w:bottom w:val="single" w:sz="4" w:space="0" w:color="auto"/>
              <w:right w:val="single" w:sz="8" w:space="0" w:color="auto"/>
            </w:tcBorders>
            <w:noWrap/>
            <w:vAlign w:val="bottom"/>
            <w:hideMark/>
          </w:tcPr>
          <w:p w14:paraId="7B83B21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4,199,000</w:t>
            </w:r>
          </w:p>
        </w:tc>
      </w:tr>
      <w:tr w:rsidR="00EA0FD7" w:rsidRPr="00EA0FD7" w14:paraId="546A7975" w14:textId="77777777" w:rsidTr="00EA0FD7">
        <w:trPr>
          <w:trHeight w:val="375"/>
        </w:trPr>
        <w:tc>
          <w:tcPr>
            <w:tcW w:w="3039" w:type="dxa"/>
            <w:tcBorders>
              <w:top w:val="nil"/>
              <w:left w:val="single" w:sz="8" w:space="0" w:color="auto"/>
              <w:bottom w:val="single" w:sz="4" w:space="0" w:color="auto"/>
              <w:right w:val="single" w:sz="4" w:space="0" w:color="auto"/>
            </w:tcBorders>
            <w:noWrap/>
            <w:vAlign w:val="bottom"/>
            <w:hideMark/>
          </w:tcPr>
          <w:p w14:paraId="47CECEB3" w14:textId="3B63E99F"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Развојно</w:t>
            </w:r>
            <w:r w:rsidR="00752F04">
              <w:rPr>
                <w:rFonts w:ascii="Arial" w:eastAsia="Times New Roman" w:hAnsi="Arial" w:cs="Arial"/>
                <w:sz w:val="18"/>
                <w:szCs w:val="18"/>
              </w:rPr>
              <w:t>-</w:t>
            </w:r>
            <w:r w:rsidRPr="00EA0FD7">
              <w:rPr>
                <w:rFonts w:ascii="Arial" w:eastAsia="Times New Roman" w:hAnsi="Arial" w:cs="Arial"/>
                <w:sz w:val="18"/>
                <w:szCs w:val="18"/>
                <w:lang w:val="sr-Cyrl-RS"/>
              </w:rPr>
              <w:t>гарантни фонд</w:t>
            </w:r>
          </w:p>
        </w:tc>
        <w:tc>
          <w:tcPr>
            <w:tcW w:w="1563" w:type="dxa"/>
            <w:tcBorders>
              <w:top w:val="nil"/>
              <w:left w:val="nil"/>
              <w:bottom w:val="single" w:sz="4" w:space="0" w:color="auto"/>
              <w:right w:val="single" w:sz="4" w:space="0" w:color="auto"/>
            </w:tcBorders>
            <w:noWrap/>
            <w:vAlign w:val="bottom"/>
            <w:hideMark/>
          </w:tcPr>
          <w:p w14:paraId="63DC72E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628" w:type="dxa"/>
            <w:tcBorders>
              <w:top w:val="nil"/>
              <w:left w:val="nil"/>
              <w:bottom w:val="single" w:sz="4" w:space="0" w:color="auto"/>
              <w:right w:val="single" w:sz="4" w:space="0" w:color="auto"/>
            </w:tcBorders>
            <w:noWrap/>
            <w:vAlign w:val="bottom"/>
            <w:hideMark/>
          </w:tcPr>
          <w:p w14:paraId="1B310BDF"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2,090,000</w:t>
            </w:r>
          </w:p>
        </w:tc>
        <w:tc>
          <w:tcPr>
            <w:tcW w:w="1276" w:type="dxa"/>
            <w:tcBorders>
              <w:top w:val="nil"/>
              <w:left w:val="nil"/>
              <w:bottom w:val="single" w:sz="4" w:space="0" w:color="auto"/>
              <w:right w:val="single" w:sz="4" w:space="0" w:color="auto"/>
            </w:tcBorders>
            <w:noWrap/>
            <w:vAlign w:val="bottom"/>
            <w:hideMark/>
          </w:tcPr>
          <w:p w14:paraId="43A11878"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276" w:type="dxa"/>
            <w:tcBorders>
              <w:top w:val="nil"/>
              <w:left w:val="nil"/>
              <w:bottom w:val="single" w:sz="4" w:space="0" w:color="auto"/>
              <w:right w:val="single" w:sz="4" w:space="0" w:color="auto"/>
            </w:tcBorders>
            <w:noWrap/>
            <w:vAlign w:val="bottom"/>
            <w:hideMark/>
          </w:tcPr>
          <w:p w14:paraId="16347EC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278" w:type="dxa"/>
            <w:tcBorders>
              <w:top w:val="nil"/>
              <w:left w:val="nil"/>
              <w:bottom w:val="single" w:sz="4" w:space="0" w:color="auto"/>
              <w:right w:val="single" w:sz="8" w:space="0" w:color="auto"/>
            </w:tcBorders>
            <w:noWrap/>
            <w:vAlign w:val="bottom"/>
            <w:hideMark/>
          </w:tcPr>
          <w:p w14:paraId="76EF4657"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1E927EDA" w14:textId="77777777" w:rsidTr="00EA0FD7">
        <w:trPr>
          <w:trHeight w:val="555"/>
        </w:trPr>
        <w:tc>
          <w:tcPr>
            <w:tcW w:w="3039" w:type="dxa"/>
            <w:tcBorders>
              <w:top w:val="nil"/>
              <w:left w:val="single" w:sz="8" w:space="0" w:color="auto"/>
              <w:bottom w:val="single" w:sz="4" w:space="0" w:color="auto"/>
              <w:right w:val="single" w:sz="4" w:space="0" w:color="auto"/>
            </w:tcBorders>
            <w:vAlign w:val="bottom"/>
            <w:hideMark/>
          </w:tcPr>
          <w:p w14:paraId="13C24F1B" w14:textId="77777777" w:rsidR="00EA0FD7" w:rsidRPr="00EA0FD7" w:rsidRDefault="00EA0FD7" w:rsidP="00EA0FD7">
            <w:pPr>
              <w:spacing w:after="0" w:line="240" w:lineRule="auto"/>
              <w:rPr>
                <w:rFonts w:ascii="Arial" w:eastAsia="Times New Roman" w:hAnsi="Arial" w:cs="Arial"/>
                <w:sz w:val="18"/>
                <w:szCs w:val="18"/>
                <w:lang w:val="sr-Cyrl-RS"/>
              </w:rPr>
            </w:pPr>
            <w:r w:rsidRPr="00EA0FD7">
              <w:rPr>
                <w:rFonts w:ascii="Arial" w:eastAsia="Times New Roman" w:hAnsi="Arial" w:cs="Arial"/>
                <w:sz w:val="18"/>
                <w:szCs w:val="18"/>
                <w:lang w:val="sr-Cyrl-RS"/>
              </w:rPr>
              <w:t xml:space="preserve">Завод за планирање, </w:t>
            </w:r>
            <w:r w:rsidRPr="00EA0FD7">
              <w:rPr>
                <w:rFonts w:ascii="Arial" w:eastAsia="Times New Roman" w:hAnsi="Arial" w:cs="Arial"/>
                <w:sz w:val="18"/>
                <w:szCs w:val="18"/>
                <w:lang w:val="sr-Cyrl-RS"/>
              </w:rPr>
              <w:br/>
              <w:t>пројектовање и развој</w:t>
            </w:r>
          </w:p>
        </w:tc>
        <w:tc>
          <w:tcPr>
            <w:tcW w:w="1563" w:type="dxa"/>
            <w:tcBorders>
              <w:top w:val="nil"/>
              <w:left w:val="nil"/>
              <w:bottom w:val="single" w:sz="4" w:space="0" w:color="auto"/>
              <w:right w:val="single" w:sz="4" w:space="0" w:color="auto"/>
            </w:tcBorders>
            <w:noWrap/>
            <w:vAlign w:val="bottom"/>
            <w:hideMark/>
          </w:tcPr>
          <w:p w14:paraId="20616AD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0.00</w:t>
            </w:r>
          </w:p>
        </w:tc>
        <w:tc>
          <w:tcPr>
            <w:tcW w:w="1628" w:type="dxa"/>
            <w:tcBorders>
              <w:top w:val="nil"/>
              <w:left w:val="nil"/>
              <w:bottom w:val="single" w:sz="4" w:space="0" w:color="auto"/>
              <w:right w:val="single" w:sz="4" w:space="0" w:color="auto"/>
            </w:tcBorders>
            <w:noWrap/>
            <w:vAlign w:val="bottom"/>
            <w:hideMark/>
          </w:tcPr>
          <w:p w14:paraId="544D98F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1,700,000</w:t>
            </w:r>
          </w:p>
        </w:tc>
        <w:tc>
          <w:tcPr>
            <w:tcW w:w="1276" w:type="dxa"/>
            <w:tcBorders>
              <w:top w:val="nil"/>
              <w:left w:val="nil"/>
              <w:bottom w:val="single" w:sz="4" w:space="0" w:color="auto"/>
              <w:right w:val="single" w:sz="4" w:space="0" w:color="auto"/>
            </w:tcBorders>
            <w:noWrap/>
            <w:vAlign w:val="bottom"/>
            <w:hideMark/>
          </w:tcPr>
          <w:p w14:paraId="3FF33A04"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276" w:type="dxa"/>
            <w:tcBorders>
              <w:top w:val="nil"/>
              <w:left w:val="nil"/>
              <w:bottom w:val="single" w:sz="4" w:space="0" w:color="auto"/>
              <w:right w:val="single" w:sz="4" w:space="0" w:color="auto"/>
            </w:tcBorders>
            <w:noWrap/>
            <w:vAlign w:val="bottom"/>
            <w:hideMark/>
          </w:tcPr>
          <w:p w14:paraId="71057AF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c>
          <w:tcPr>
            <w:tcW w:w="1278" w:type="dxa"/>
            <w:tcBorders>
              <w:top w:val="nil"/>
              <w:left w:val="nil"/>
              <w:bottom w:val="single" w:sz="4" w:space="0" w:color="auto"/>
              <w:right w:val="single" w:sz="8" w:space="0" w:color="auto"/>
            </w:tcBorders>
            <w:noWrap/>
            <w:vAlign w:val="bottom"/>
            <w:hideMark/>
          </w:tcPr>
          <w:p w14:paraId="7A4AB1C3"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0</w:t>
            </w:r>
          </w:p>
        </w:tc>
      </w:tr>
      <w:tr w:rsidR="00EA0FD7" w:rsidRPr="00EA0FD7" w14:paraId="3E482795" w14:textId="77777777" w:rsidTr="00EA0FD7">
        <w:trPr>
          <w:trHeight w:val="555"/>
        </w:trPr>
        <w:tc>
          <w:tcPr>
            <w:tcW w:w="3039" w:type="dxa"/>
            <w:tcBorders>
              <w:top w:val="nil"/>
              <w:left w:val="single" w:sz="8" w:space="0" w:color="auto"/>
              <w:bottom w:val="single" w:sz="8" w:space="0" w:color="auto"/>
              <w:right w:val="single" w:sz="4" w:space="0" w:color="auto"/>
            </w:tcBorders>
            <w:vAlign w:val="bottom"/>
            <w:hideMark/>
          </w:tcPr>
          <w:p w14:paraId="75193228" w14:textId="73761AB0" w:rsidR="00EA0FD7" w:rsidRPr="00752F04" w:rsidRDefault="00EA0FD7" w:rsidP="00EA0FD7">
            <w:pPr>
              <w:spacing w:after="0" w:line="240" w:lineRule="auto"/>
              <w:rPr>
                <w:rFonts w:ascii="Arial" w:eastAsia="Times New Roman" w:hAnsi="Arial" w:cs="Arial"/>
                <w:sz w:val="18"/>
                <w:szCs w:val="18"/>
              </w:rPr>
            </w:pPr>
            <w:r w:rsidRPr="00EA0FD7">
              <w:rPr>
                <w:rFonts w:ascii="Arial" w:eastAsia="Times New Roman" w:hAnsi="Arial" w:cs="Arial"/>
                <w:sz w:val="18"/>
                <w:szCs w:val="18"/>
                <w:lang w:val="sr-Cyrl-RS"/>
              </w:rPr>
              <w:t>Радио</w:t>
            </w:r>
            <w:r w:rsidR="00752F04">
              <w:rPr>
                <w:rFonts w:ascii="Arial" w:eastAsia="Times New Roman" w:hAnsi="Arial" w:cs="Arial"/>
                <w:sz w:val="18"/>
                <w:szCs w:val="18"/>
              </w:rPr>
              <w:t>-</w:t>
            </w:r>
            <w:r w:rsidRPr="00EA0FD7">
              <w:rPr>
                <w:rFonts w:ascii="Arial" w:eastAsia="Times New Roman" w:hAnsi="Arial" w:cs="Arial"/>
                <w:sz w:val="18"/>
                <w:szCs w:val="18"/>
                <w:lang w:val="sr-Cyrl-RS"/>
              </w:rPr>
              <w:t xml:space="preserve">новинске и издавачке установе </w:t>
            </w:r>
            <w:r w:rsidR="00752F04">
              <w:rPr>
                <w:rFonts w:ascii="Arial" w:eastAsia="Times New Roman" w:hAnsi="Arial" w:cs="Arial"/>
                <w:sz w:val="18"/>
                <w:szCs w:val="18"/>
              </w:rPr>
              <w:t>„</w:t>
            </w:r>
            <w:r w:rsidRPr="00EA0FD7">
              <w:rPr>
                <w:rFonts w:ascii="Arial" w:eastAsia="Times New Roman" w:hAnsi="Arial" w:cs="Arial"/>
                <w:sz w:val="18"/>
                <w:szCs w:val="18"/>
                <w:lang w:val="sr-Cyrl-RS"/>
              </w:rPr>
              <w:t>Радио Брчко</w:t>
            </w:r>
            <w:r w:rsidR="00752F04">
              <w:rPr>
                <w:rFonts w:ascii="Arial" w:eastAsia="Times New Roman" w:hAnsi="Arial" w:cs="Arial"/>
                <w:sz w:val="18"/>
                <w:szCs w:val="18"/>
              </w:rPr>
              <w:t>“</w:t>
            </w:r>
          </w:p>
        </w:tc>
        <w:tc>
          <w:tcPr>
            <w:tcW w:w="1563" w:type="dxa"/>
            <w:tcBorders>
              <w:top w:val="nil"/>
              <w:left w:val="nil"/>
              <w:bottom w:val="nil"/>
              <w:right w:val="single" w:sz="4" w:space="0" w:color="auto"/>
            </w:tcBorders>
            <w:noWrap/>
            <w:vAlign w:val="bottom"/>
            <w:hideMark/>
          </w:tcPr>
          <w:p w14:paraId="62A614E0"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13,394.00</w:t>
            </w:r>
          </w:p>
        </w:tc>
        <w:tc>
          <w:tcPr>
            <w:tcW w:w="1628" w:type="dxa"/>
            <w:tcBorders>
              <w:top w:val="nil"/>
              <w:left w:val="nil"/>
              <w:bottom w:val="nil"/>
              <w:right w:val="single" w:sz="4" w:space="0" w:color="auto"/>
            </w:tcBorders>
            <w:noWrap/>
            <w:vAlign w:val="bottom"/>
            <w:hideMark/>
          </w:tcPr>
          <w:p w14:paraId="187BC865"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929,220</w:t>
            </w:r>
          </w:p>
        </w:tc>
        <w:tc>
          <w:tcPr>
            <w:tcW w:w="1276" w:type="dxa"/>
            <w:tcBorders>
              <w:top w:val="nil"/>
              <w:left w:val="nil"/>
              <w:bottom w:val="nil"/>
              <w:right w:val="single" w:sz="4" w:space="0" w:color="auto"/>
            </w:tcBorders>
            <w:noWrap/>
            <w:vAlign w:val="bottom"/>
            <w:hideMark/>
          </w:tcPr>
          <w:p w14:paraId="5FC37732"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79,220</w:t>
            </w:r>
          </w:p>
        </w:tc>
        <w:tc>
          <w:tcPr>
            <w:tcW w:w="1276" w:type="dxa"/>
            <w:tcBorders>
              <w:top w:val="nil"/>
              <w:left w:val="nil"/>
              <w:bottom w:val="nil"/>
              <w:right w:val="single" w:sz="4" w:space="0" w:color="auto"/>
            </w:tcBorders>
            <w:noWrap/>
            <w:vAlign w:val="bottom"/>
            <w:hideMark/>
          </w:tcPr>
          <w:p w14:paraId="68C0B551"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79,220</w:t>
            </w:r>
          </w:p>
        </w:tc>
        <w:tc>
          <w:tcPr>
            <w:tcW w:w="1278" w:type="dxa"/>
            <w:tcBorders>
              <w:top w:val="nil"/>
              <w:left w:val="nil"/>
              <w:bottom w:val="nil"/>
              <w:right w:val="single" w:sz="8" w:space="0" w:color="auto"/>
            </w:tcBorders>
            <w:noWrap/>
            <w:vAlign w:val="bottom"/>
            <w:hideMark/>
          </w:tcPr>
          <w:p w14:paraId="43F8E3CE" w14:textId="77777777" w:rsidR="00EA0FD7" w:rsidRPr="00EA0FD7" w:rsidRDefault="00EA0FD7" w:rsidP="00EA0FD7">
            <w:pPr>
              <w:spacing w:after="0" w:line="240" w:lineRule="auto"/>
              <w:jc w:val="right"/>
              <w:rPr>
                <w:rFonts w:ascii="Arial" w:eastAsia="Times New Roman" w:hAnsi="Arial" w:cs="Arial"/>
                <w:sz w:val="18"/>
                <w:szCs w:val="18"/>
                <w:lang w:val="sr-Cyrl-RS"/>
              </w:rPr>
            </w:pPr>
            <w:r w:rsidRPr="00EA0FD7">
              <w:rPr>
                <w:rFonts w:ascii="Arial" w:eastAsia="Times New Roman" w:hAnsi="Arial" w:cs="Arial"/>
                <w:sz w:val="18"/>
                <w:szCs w:val="18"/>
                <w:lang w:val="sr-Cyrl-RS"/>
              </w:rPr>
              <w:t>79,220</w:t>
            </w:r>
          </w:p>
        </w:tc>
      </w:tr>
      <w:tr w:rsidR="00EA0FD7" w:rsidRPr="00EA0FD7" w14:paraId="15A9175E" w14:textId="77777777" w:rsidTr="00EA0FD7">
        <w:trPr>
          <w:trHeight w:val="1470"/>
        </w:trPr>
        <w:tc>
          <w:tcPr>
            <w:tcW w:w="3039" w:type="dxa"/>
            <w:tcBorders>
              <w:top w:val="nil"/>
              <w:left w:val="single" w:sz="8" w:space="0" w:color="auto"/>
              <w:bottom w:val="single" w:sz="8" w:space="0" w:color="auto"/>
              <w:right w:val="single" w:sz="4" w:space="0" w:color="auto"/>
            </w:tcBorders>
            <w:shd w:val="clear" w:color="auto" w:fill="FFFF00"/>
            <w:vAlign w:val="bottom"/>
            <w:hideMark/>
          </w:tcPr>
          <w:p w14:paraId="71235F7C" w14:textId="46EE2F84" w:rsidR="00EA0FD7" w:rsidRPr="00EA0FD7" w:rsidRDefault="00752F04" w:rsidP="00EA0FD7">
            <w:pPr>
              <w:spacing w:after="0" w:line="240" w:lineRule="auto"/>
              <w:rPr>
                <w:rFonts w:ascii="Arial" w:eastAsia="Times New Roman" w:hAnsi="Arial" w:cs="Arial"/>
                <w:b/>
                <w:bCs/>
                <w:i/>
                <w:iCs/>
                <w:sz w:val="18"/>
                <w:szCs w:val="18"/>
                <w:lang w:val="sr-Cyrl-RS"/>
              </w:rPr>
            </w:pPr>
            <w:r>
              <w:rPr>
                <w:rFonts w:ascii="Arial" w:eastAsia="Times New Roman" w:hAnsi="Arial" w:cs="Arial"/>
                <w:b/>
                <w:bCs/>
                <w:i/>
                <w:iCs/>
                <w:sz w:val="18"/>
                <w:szCs w:val="18"/>
              </w:rPr>
              <w:lastRenderedPageBreak/>
              <w:t>II</w:t>
            </w:r>
            <w:r w:rsidR="00EA0FD7" w:rsidRPr="00EA0FD7">
              <w:rPr>
                <w:rFonts w:ascii="Arial" w:eastAsia="Times New Roman" w:hAnsi="Arial" w:cs="Arial"/>
                <w:b/>
                <w:bCs/>
                <w:i/>
                <w:iCs/>
                <w:sz w:val="18"/>
                <w:szCs w:val="18"/>
                <w:lang w:val="sr-Cyrl-RS"/>
              </w:rPr>
              <w:t xml:space="preserve"> </w:t>
            </w:r>
            <w:r>
              <w:rPr>
                <w:rFonts w:ascii="Arial" w:eastAsia="Times New Roman" w:hAnsi="Arial" w:cs="Arial"/>
                <w:b/>
                <w:bCs/>
                <w:i/>
                <w:iCs/>
                <w:sz w:val="18"/>
                <w:szCs w:val="18"/>
                <w:lang w:val="sr-Cyrl-RS"/>
              </w:rPr>
              <w:t>–</w:t>
            </w:r>
            <w:r w:rsidR="00EA0FD7" w:rsidRPr="00EA0FD7">
              <w:rPr>
                <w:rFonts w:ascii="Arial" w:eastAsia="Times New Roman" w:hAnsi="Arial" w:cs="Arial"/>
                <w:b/>
                <w:bCs/>
                <w:i/>
                <w:iCs/>
                <w:sz w:val="18"/>
                <w:szCs w:val="18"/>
                <w:lang w:val="sr-Cyrl-RS"/>
              </w:rPr>
              <w:t xml:space="preserve"> УКУПНО ВАНБУЏЕТСКИ ФОНДОВИ и ВАНБУЏЕТСКИ КОРИСНИЦИ, КОЈИ СУ ОБВЕЗНИЦИ ПРИМЈЕНЕ БУЏЕТСКОГ РАЧУНОВОДСТВА</w:t>
            </w:r>
          </w:p>
        </w:tc>
        <w:tc>
          <w:tcPr>
            <w:tcW w:w="1563" w:type="dxa"/>
            <w:tcBorders>
              <w:top w:val="single" w:sz="8" w:space="0" w:color="auto"/>
              <w:left w:val="nil"/>
              <w:bottom w:val="single" w:sz="8" w:space="0" w:color="auto"/>
              <w:right w:val="single" w:sz="4" w:space="0" w:color="auto"/>
            </w:tcBorders>
            <w:shd w:val="clear" w:color="auto" w:fill="FFFF00"/>
            <w:noWrap/>
            <w:vAlign w:val="bottom"/>
            <w:hideMark/>
          </w:tcPr>
          <w:p w14:paraId="75130883"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38,264,045.00</w:t>
            </w:r>
          </w:p>
        </w:tc>
        <w:tc>
          <w:tcPr>
            <w:tcW w:w="1628" w:type="dxa"/>
            <w:tcBorders>
              <w:top w:val="single" w:sz="8" w:space="0" w:color="auto"/>
              <w:left w:val="nil"/>
              <w:bottom w:val="single" w:sz="8" w:space="0" w:color="auto"/>
              <w:right w:val="single" w:sz="4" w:space="0" w:color="auto"/>
            </w:tcBorders>
            <w:shd w:val="clear" w:color="auto" w:fill="FFFF00"/>
            <w:noWrap/>
            <w:vAlign w:val="bottom"/>
            <w:hideMark/>
          </w:tcPr>
          <w:p w14:paraId="763A7C27"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55,002,816.00</w:t>
            </w:r>
          </w:p>
        </w:tc>
        <w:tc>
          <w:tcPr>
            <w:tcW w:w="1276" w:type="dxa"/>
            <w:tcBorders>
              <w:top w:val="single" w:sz="8" w:space="0" w:color="auto"/>
              <w:left w:val="nil"/>
              <w:bottom w:val="single" w:sz="8" w:space="0" w:color="auto"/>
              <w:right w:val="single" w:sz="4" w:space="0" w:color="auto"/>
            </w:tcBorders>
            <w:shd w:val="clear" w:color="auto" w:fill="FFFF00"/>
            <w:noWrap/>
            <w:vAlign w:val="bottom"/>
            <w:hideMark/>
          </w:tcPr>
          <w:p w14:paraId="3CB9DA08" w14:textId="77777777" w:rsidR="00EA0FD7" w:rsidRPr="00EA0FD7" w:rsidRDefault="00EA0FD7" w:rsidP="00EA0FD7">
            <w:pPr>
              <w:spacing w:after="0" w:line="240" w:lineRule="auto"/>
              <w:jc w:val="right"/>
              <w:rPr>
                <w:rFonts w:ascii="Arial" w:eastAsia="Times New Roman" w:hAnsi="Arial" w:cs="Arial"/>
                <w:b/>
                <w:bCs/>
                <w:i/>
                <w:iCs/>
                <w:sz w:val="16"/>
                <w:szCs w:val="16"/>
                <w:lang w:val="sr-Cyrl-RS"/>
              </w:rPr>
            </w:pPr>
            <w:r w:rsidRPr="00EA0FD7">
              <w:rPr>
                <w:rFonts w:ascii="Arial" w:eastAsia="Times New Roman" w:hAnsi="Arial" w:cs="Arial"/>
                <w:b/>
                <w:bCs/>
                <w:i/>
                <w:iCs/>
                <w:sz w:val="16"/>
                <w:szCs w:val="16"/>
                <w:lang w:val="sr-Cyrl-RS"/>
              </w:rPr>
              <w:t>37,324,487.00</w:t>
            </w:r>
          </w:p>
        </w:tc>
        <w:tc>
          <w:tcPr>
            <w:tcW w:w="1276" w:type="dxa"/>
            <w:tcBorders>
              <w:top w:val="single" w:sz="8" w:space="0" w:color="auto"/>
              <w:left w:val="nil"/>
              <w:bottom w:val="single" w:sz="8" w:space="0" w:color="auto"/>
              <w:right w:val="single" w:sz="4" w:space="0" w:color="auto"/>
            </w:tcBorders>
            <w:shd w:val="clear" w:color="auto" w:fill="FFFF00"/>
            <w:noWrap/>
            <w:vAlign w:val="bottom"/>
            <w:hideMark/>
          </w:tcPr>
          <w:p w14:paraId="40EE341B" w14:textId="77777777" w:rsidR="00EA0FD7" w:rsidRPr="00EA0FD7" w:rsidRDefault="00EA0FD7" w:rsidP="00EA0FD7">
            <w:pPr>
              <w:spacing w:after="0" w:line="240" w:lineRule="auto"/>
              <w:jc w:val="right"/>
              <w:rPr>
                <w:rFonts w:ascii="Arial" w:eastAsia="Times New Roman" w:hAnsi="Arial" w:cs="Arial"/>
                <w:b/>
                <w:bCs/>
                <w:i/>
                <w:iCs/>
                <w:sz w:val="16"/>
                <w:szCs w:val="16"/>
                <w:lang w:val="sr-Cyrl-RS"/>
              </w:rPr>
            </w:pPr>
            <w:r w:rsidRPr="00EA0FD7">
              <w:rPr>
                <w:rFonts w:ascii="Arial" w:eastAsia="Times New Roman" w:hAnsi="Arial" w:cs="Arial"/>
                <w:b/>
                <w:bCs/>
                <w:i/>
                <w:iCs/>
                <w:sz w:val="16"/>
                <w:szCs w:val="16"/>
                <w:lang w:val="sr-Cyrl-RS"/>
              </w:rPr>
              <w:t>37,299,487.00</w:t>
            </w:r>
          </w:p>
        </w:tc>
        <w:tc>
          <w:tcPr>
            <w:tcW w:w="1278" w:type="dxa"/>
            <w:tcBorders>
              <w:top w:val="single" w:sz="8" w:space="0" w:color="auto"/>
              <w:left w:val="nil"/>
              <w:bottom w:val="single" w:sz="8" w:space="0" w:color="auto"/>
              <w:right w:val="single" w:sz="4" w:space="0" w:color="auto"/>
            </w:tcBorders>
            <w:shd w:val="clear" w:color="auto" w:fill="FFFF00"/>
            <w:noWrap/>
            <w:vAlign w:val="bottom"/>
            <w:hideMark/>
          </w:tcPr>
          <w:p w14:paraId="0D51C96D" w14:textId="77777777" w:rsidR="00EA0FD7" w:rsidRPr="00EA0FD7" w:rsidRDefault="00EA0FD7" w:rsidP="00EA0FD7">
            <w:pPr>
              <w:spacing w:after="0" w:line="240" w:lineRule="auto"/>
              <w:jc w:val="right"/>
              <w:rPr>
                <w:rFonts w:ascii="Arial" w:eastAsia="Times New Roman" w:hAnsi="Arial" w:cs="Arial"/>
                <w:b/>
                <w:bCs/>
                <w:i/>
                <w:iCs/>
                <w:sz w:val="16"/>
                <w:szCs w:val="16"/>
                <w:lang w:val="sr-Cyrl-RS"/>
              </w:rPr>
            </w:pPr>
            <w:r w:rsidRPr="00EA0FD7">
              <w:rPr>
                <w:rFonts w:ascii="Arial" w:eastAsia="Times New Roman" w:hAnsi="Arial" w:cs="Arial"/>
                <w:b/>
                <w:bCs/>
                <w:i/>
                <w:iCs/>
                <w:sz w:val="16"/>
                <w:szCs w:val="16"/>
                <w:lang w:val="sr-Cyrl-RS"/>
              </w:rPr>
              <w:t>37,349,487.00</w:t>
            </w:r>
          </w:p>
        </w:tc>
      </w:tr>
      <w:tr w:rsidR="00EA0FD7" w:rsidRPr="00EA0FD7" w14:paraId="2A845E52" w14:textId="77777777" w:rsidTr="00EA0FD7">
        <w:trPr>
          <w:trHeight w:val="840"/>
        </w:trPr>
        <w:tc>
          <w:tcPr>
            <w:tcW w:w="3039" w:type="dxa"/>
            <w:tcBorders>
              <w:top w:val="nil"/>
              <w:left w:val="single" w:sz="8" w:space="0" w:color="auto"/>
              <w:bottom w:val="single" w:sz="8" w:space="0" w:color="auto"/>
              <w:right w:val="single" w:sz="4" w:space="0" w:color="auto"/>
            </w:tcBorders>
            <w:shd w:val="clear" w:color="auto" w:fill="FFFF00"/>
            <w:vAlign w:val="bottom"/>
            <w:hideMark/>
          </w:tcPr>
          <w:p w14:paraId="12F2308A" w14:textId="1F5EFF0C" w:rsidR="00EA0FD7" w:rsidRPr="00EA0FD7" w:rsidRDefault="00752F04" w:rsidP="00EA0FD7">
            <w:pPr>
              <w:spacing w:after="0" w:line="240" w:lineRule="auto"/>
              <w:rPr>
                <w:rFonts w:ascii="Arial" w:eastAsia="Times New Roman" w:hAnsi="Arial" w:cs="Arial"/>
                <w:b/>
                <w:bCs/>
                <w:i/>
                <w:iCs/>
                <w:sz w:val="18"/>
                <w:szCs w:val="18"/>
                <w:lang w:val="sr-Cyrl-RS"/>
              </w:rPr>
            </w:pPr>
            <w:r>
              <w:rPr>
                <w:rFonts w:ascii="Arial" w:eastAsia="Times New Roman" w:hAnsi="Arial" w:cs="Arial"/>
                <w:b/>
                <w:bCs/>
                <w:i/>
                <w:iCs/>
                <w:sz w:val="18"/>
                <w:szCs w:val="18"/>
              </w:rPr>
              <w:t>III</w:t>
            </w:r>
            <w:r w:rsidR="00EA0FD7" w:rsidRPr="00EA0FD7">
              <w:rPr>
                <w:rFonts w:ascii="Arial" w:eastAsia="Times New Roman" w:hAnsi="Arial" w:cs="Arial"/>
                <w:b/>
                <w:bCs/>
                <w:i/>
                <w:iCs/>
                <w:sz w:val="18"/>
                <w:szCs w:val="18"/>
                <w:lang w:val="sr-Cyrl-RS"/>
              </w:rPr>
              <w:t xml:space="preserve"> </w:t>
            </w:r>
            <w:r>
              <w:rPr>
                <w:rFonts w:ascii="Arial" w:eastAsia="Times New Roman" w:hAnsi="Arial" w:cs="Arial"/>
                <w:b/>
                <w:bCs/>
                <w:i/>
                <w:iCs/>
                <w:sz w:val="18"/>
                <w:szCs w:val="18"/>
                <w:lang w:val="sr-Cyrl-RS"/>
              </w:rPr>
              <w:t>–</w:t>
            </w:r>
            <w:r w:rsidR="00EA0FD7" w:rsidRPr="00EA0FD7">
              <w:rPr>
                <w:rFonts w:ascii="Arial" w:eastAsia="Times New Roman" w:hAnsi="Arial" w:cs="Arial"/>
                <w:b/>
                <w:bCs/>
                <w:i/>
                <w:iCs/>
                <w:sz w:val="18"/>
                <w:szCs w:val="18"/>
                <w:lang w:val="sr-Cyrl-RS"/>
              </w:rPr>
              <w:t xml:space="preserve"> УКУПНО РАСХОДИ (</w:t>
            </w:r>
            <w:r>
              <w:rPr>
                <w:rFonts w:ascii="Arial" w:eastAsia="Times New Roman" w:hAnsi="Arial" w:cs="Arial"/>
                <w:b/>
                <w:bCs/>
                <w:i/>
                <w:iCs/>
                <w:sz w:val="18"/>
                <w:szCs w:val="18"/>
              </w:rPr>
              <w:t>I</w:t>
            </w:r>
            <w:r w:rsidR="00EA0FD7" w:rsidRPr="00EA0FD7">
              <w:rPr>
                <w:rFonts w:ascii="Arial" w:eastAsia="Times New Roman" w:hAnsi="Arial" w:cs="Arial"/>
                <w:b/>
                <w:bCs/>
                <w:i/>
                <w:iCs/>
                <w:sz w:val="18"/>
                <w:szCs w:val="18"/>
                <w:lang w:val="sr-Cyrl-RS"/>
              </w:rPr>
              <w:t>+</w:t>
            </w:r>
            <w:r>
              <w:rPr>
                <w:rFonts w:ascii="Arial" w:eastAsia="Times New Roman" w:hAnsi="Arial" w:cs="Arial"/>
                <w:b/>
                <w:bCs/>
                <w:i/>
                <w:iCs/>
                <w:sz w:val="18"/>
                <w:szCs w:val="18"/>
              </w:rPr>
              <w:t>II</w:t>
            </w:r>
            <w:r w:rsidR="00EA0FD7" w:rsidRPr="00EA0FD7">
              <w:rPr>
                <w:rFonts w:ascii="Arial" w:eastAsia="Times New Roman" w:hAnsi="Arial" w:cs="Arial"/>
                <w:b/>
                <w:bCs/>
                <w:i/>
                <w:iCs/>
                <w:sz w:val="18"/>
                <w:szCs w:val="18"/>
                <w:lang w:val="sr-Cyrl-RS"/>
              </w:rPr>
              <w:t>):</w:t>
            </w:r>
          </w:p>
        </w:tc>
        <w:tc>
          <w:tcPr>
            <w:tcW w:w="1563" w:type="dxa"/>
            <w:tcBorders>
              <w:top w:val="nil"/>
              <w:left w:val="nil"/>
              <w:bottom w:val="single" w:sz="8" w:space="0" w:color="auto"/>
              <w:right w:val="single" w:sz="4" w:space="0" w:color="auto"/>
            </w:tcBorders>
            <w:shd w:val="clear" w:color="auto" w:fill="FFFF00"/>
            <w:noWrap/>
            <w:vAlign w:val="bottom"/>
            <w:hideMark/>
          </w:tcPr>
          <w:p w14:paraId="703CEB3B"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252,426,121.78</w:t>
            </w:r>
          </w:p>
        </w:tc>
        <w:tc>
          <w:tcPr>
            <w:tcW w:w="1628" w:type="dxa"/>
            <w:tcBorders>
              <w:top w:val="nil"/>
              <w:left w:val="nil"/>
              <w:bottom w:val="single" w:sz="8" w:space="0" w:color="auto"/>
              <w:right w:val="single" w:sz="4" w:space="0" w:color="auto"/>
            </w:tcBorders>
            <w:shd w:val="clear" w:color="auto" w:fill="FFFF00"/>
            <w:noWrap/>
            <w:vAlign w:val="bottom"/>
            <w:hideMark/>
          </w:tcPr>
          <w:p w14:paraId="6C19331D"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304,506,156</w:t>
            </w:r>
          </w:p>
        </w:tc>
        <w:tc>
          <w:tcPr>
            <w:tcW w:w="1276" w:type="dxa"/>
            <w:tcBorders>
              <w:top w:val="nil"/>
              <w:left w:val="nil"/>
              <w:bottom w:val="single" w:sz="8" w:space="0" w:color="auto"/>
              <w:right w:val="single" w:sz="4" w:space="0" w:color="auto"/>
            </w:tcBorders>
            <w:shd w:val="clear" w:color="auto" w:fill="FFFF00"/>
            <w:noWrap/>
            <w:vAlign w:val="bottom"/>
            <w:hideMark/>
          </w:tcPr>
          <w:p w14:paraId="1DCAC2F8"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315,408,147</w:t>
            </w:r>
          </w:p>
        </w:tc>
        <w:tc>
          <w:tcPr>
            <w:tcW w:w="1276" w:type="dxa"/>
            <w:tcBorders>
              <w:top w:val="nil"/>
              <w:left w:val="nil"/>
              <w:bottom w:val="single" w:sz="8" w:space="0" w:color="auto"/>
              <w:right w:val="single" w:sz="4" w:space="0" w:color="auto"/>
            </w:tcBorders>
            <w:shd w:val="clear" w:color="auto" w:fill="FFFF00"/>
            <w:noWrap/>
            <w:vAlign w:val="bottom"/>
            <w:hideMark/>
          </w:tcPr>
          <w:p w14:paraId="06A65912"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323,054,470</w:t>
            </w:r>
          </w:p>
        </w:tc>
        <w:tc>
          <w:tcPr>
            <w:tcW w:w="1278" w:type="dxa"/>
            <w:tcBorders>
              <w:top w:val="nil"/>
              <w:left w:val="nil"/>
              <w:bottom w:val="single" w:sz="8" w:space="0" w:color="auto"/>
              <w:right w:val="single" w:sz="8" w:space="0" w:color="auto"/>
            </w:tcBorders>
            <w:shd w:val="clear" w:color="auto" w:fill="FFFF00"/>
            <w:noWrap/>
            <w:vAlign w:val="bottom"/>
            <w:hideMark/>
          </w:tcPr>
          <w:p w14:paraId="36B3CB20" w14:textId="77777777" w:rsidR="00EA0FD7" w:rsidRPr="00EA0FD7" w:rsidRDefault="00EA0FD7" w:rsidP="00EA0FD7">
            <w:pPr>
              <w:spacing w:after="0" w:line="240" w:lineRule="auto"/>
              <w:jc w:val="right"/>
              <w:rPr>
                <w:rFonts w:ascii="Arial" w:eastAsia="Times New Roman" w:hAnsi="Arial" w:cs="Arial"/>
                <w:b/>
                <w:bCs/>
                <w:i/>
                <w:iCs/>
                <w:sz w:val="18"/>
                <w:szCs w:val="18"/>
                <w:lang w:val="sr-Cyrl-RS"/>
              </w:rPr>
            </w:pPr>
            <w:r w:rsidRPr="00EA0FD7">
              <w:rPr>
                <w:rFonts w:ascii="Arial" w:eastAsia="Times New Roman" w:hAnsi="Arial" w:cs="Arial"/>
                <w:b/>
                <w:bCs/>
                <w:i/>
                <w:iCs/>
                <w:sz w:val="18"/>
                <w:szCs w:val="18"/>
                <w:lang w:val="sr-Cyrl-RS"/>
              </w:rPr>
              <w:t>331,334,450</w:t>
            </w:r>
          </w:p>
        </w:tc>
      </w:tr>
    </w:tbl>
    <w:p w14:paraId="1CA84BF5" w14:textId="77777777" w:rsidR="00752F04" w:rsidRDefault="00752F04" w:rsidP="00EA0FD7">
      <w:pPr>
        <w:spacing w:after="0" w:line="240" w:lineRule="auto"/>
        <w:rPr>
          <w:rFonts w:ascii="Times New Roman" w:eastAsia="Times New Roman" w:hAnsi="Times New Roman" w:cs="Times New Roman"/>
          <w:b/>
          <w:sz w:val="24"/>
          <w:szCs w:val="24"/>
          <w:lang w:val="sr-Cyrl-RS" w:eastAsia="hr-HR"/>
        </w:rPr>
      </w:pPr>
    </w:p>
    <w:p w14:paraId="33234582" w14:textId="1A6B2CF4"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r w:rsidRPr="00EA0FD7">
        <w:rPr>
          <w:rFonts w:ascii="Times New Roman" w:eastAsia="Times New Roman" w:hAnsi="Times New Roman" w:cs="Times New Roman"/>
          <w:b/>
          <w:sz w:val="24"/>
          <w:szCs w:val="24"/>
          <w:lang w:val="sr-Cyrl-RS" w:eastAsia="hr-HR"/>
        </w:rPr>
        <w:t>ПОГЛАВЉЕ 5: БУЏЕТСКИ ПРИОРИТЕТИ ЗА ПЕРИОД  2023–2025. ГОДИНЕ</w:t>
      </w:r>
    </w:p>
    <w:p w14:paraId="6B2E5E45" w14:textId="77777777" w:rsidR="00EA0FD7" w:rsidRPr="00EA0FD7" w:rsidRDefault="00EA0FD7" w:rsidP="00EA0FD7">
      <w:pPr>
        <w:spacing w:after="0" w:line="240" w:lineRule="auto"/>
        <w:rPr>
          <w:rFonts w:ascii="Times New Roman" w:eastAsia="Times New Roman" w:hAnsi="Times New Roman" w:cs="Times New Roman"/>
          <w:sz w:val="24"/>
          <w:szCs w:val="24"/>
          <w:highlight w:val="red"/>
          <w:lang w:val="sr-Cyrl-RS" w:eastAsia="hr-HR"/>
        </w:rPr>
      </w:pPr>
    </w:p>
    <w:p w14:paraId="6CE3794C" w14:textId="77777777" w:rsidR="00EA0FD7" w:rsidRPr="00EA0FD7" w:rsidRDefault="00EA0FD7" w:rsidP="00EA0FD7">
      <w:pPr>
        <w:spacing w:after="0" w:line="240" w:lineRule="auto"/>
        <w:ind w:firstLine="720"/>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Буџет је примарни инструмент за реализацију политика било које владе па тако и Владе Брчко дистрикта БиХ. Он је средство путем којег се стратешки циљеви Владе преводе у услуге, програме и активности које испуњавају социјалне, економске и друге потребе њених грађана. </w:t>
      </w:r>
    </w:p>
    <w:p w14:paraId="6DB138BD"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42DAACA9" w14:textId="21616C4D"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Влада Брчко дистрикта БиХ се суочава са захтјевима буџетских корисника за средствима која надмашују ниво расположивих средстава.</w:t>
      </w:r>
      <w:r w:rsidR="00752F04">
        <w:rPr>
          <w:rFonts w:ascii="Times New Roman" w:eastAsia="Times New Roman" w:hAnsi="Times New Roman" w:cs="Times New Roman"/>
          <w:sz w:val="24"/>
          <w:lang w:eastAsia="hr-HR"/>
        </w:rPr>
        <w:t xml:space="preserve"> </w:t>
      </w:r>
      <w:r w:rsidRPr="00EA0FD7">
        <w:rPr>
          <w:rFonts w:ascii="Times New Roman" w:eastAsia="Times New Roman" w:hAnsi="Times New Roman" w:cs="Times New Roman"/>
          <w:sz w:val="24"/>
          <w:lang w:val="sr-Cyrl-RS" w:eastAsia="hr-HR"/>
        </w:rPr>
        <w:t>Суочена са захтјевима буџетских корисника и приоритетима који надилазе ниво расположивих средстава, обавеза Владе Брчко дистрикта БиХ је да доноси одлуке о томе које су њене најважније приоритетне политике. Идеално, ти приоритети би требали бити усклађени са средњорочним и дугорочним друштвеним, економским, развојним и политичким циљевима Брчко дистрикта БиХ.</w:t>
      </w:r>
    </w:p>
    <w:p w14:paraId="5A1EAEED"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6629AAA3"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У овом поглављу су дате препоруке о средњорочним буџетским приоритетима, заснованим на анализи, која узима у обзир захтјеве буџетских корисника по питању приоритета процијењене потрошње.</w:t>
      </w:r>
    </w:p>
    <w:p w14:paraId="678428AC" w14:textId="5312AD09"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Горње границе расхода за 2023. годину су намијењене за осигурање реалног оквира, унутар којег буџетски корисници могу развити своје детаљне буџетске захтјеве. Дирекција за финансије ће доставити </w:t>
      </w:r>
      <w:r w:rsidR="00752F04">
        <w:rPr>
          <w:rFonts w:ascii="Times New Roman" w:eastAsia="Times New Roman" w:hAnsi="Times New Roman" w:cs="Times New Roman"/>
          <w:sz w:val="24"/>
          <w:lang w:eastAsia="hr-HR"/>
        </w:rPr>
        <w:t>„</w:t>
      </w:r>
      <w:r w:rsidRPr="00EA0FD7">
        <w:rPr>
          <w:rFonts w:ascii="Times New Roman" w:eastAsia="Times New Roman" w:hAnsi="Times New Roman" w:cs="Times New Roman"/>
          <w:sz w:val="24"/>
          <w:lang w:val="sr-Cyrl-RS" w:eastAsia="hr-HR"/>
        </w:rPr>
        <w:t xml:space="preserve">Инструкцију </w:t>
      </w:r>
      <w:r w:rsidR="00752F04">
        <w:rPr>
          <w:rFonts w:ascii="Times New Roman" w:eastAsia="Times New Roman" w:hAnsi="Times New Roman" w:cs="Times New Roman"/>
          <w:sz w:val="24"/>
          <w:lang w:eastAsia="hr-HR"/>
        </w:rPr>
        <w:t>II</w:t>
      </w:r>
      <w:r w:rsidRPr="00EA0FD7">
        <w:rPr>
          <w:rFonts w:ascii="Times New Roman" w:eastAsia="Times New Roman" w:hAnsi="Times New Roman" w:cs="Times New Roman"/>
          <w:sz w:val="24"/>
          <w:lang w:val="sr-Cyrl-RS" w:eastAsia="hr-HR"/>
        </w:rPr>
        <w:t xml:space="preserve"> за израду буџета”, која ће буџетским корисницима дати даље упуте  за припрему њихових захтјева за годишњи буџет. </w:t>
      </w:r>
    </w:p>
    <w:p w14:paraId="5419392E" w14:textId="77777777" w:rsidR="00EA0FD7" w:rsidRPr="00EA0FD7" w:rsidRDefault="00EA0FD7" w:rsidP="00EA0FD7">
      <w:pPr>
        <w:spacing w:after="0" w:line="240" w:lineRule="auto"/>
        <w:rPr>
          <w:rFonts w:ascii="Times New Roman" w:eastAsia="Times New Roman" w:hAnsi="Times New Roman" w:cs="Times New Roman"/>
          <w:b/>
          <w:sz w:val="24"/>
          <w:highlight w:val="red"/>
          <w:lang w:val="sr-Cyrl-RS" w:eastAsia="hr-HR"/>
        </w:rPr>
      </w:pPr>
    </w:p>
    <w:p w14:paraId="66B38CB9" w14:textId="77777777" w:rsidR="00EA0FD7" w:rsidRPr="00EA0FD7" w:rsidRDefault="00EA0FD7" w:rsidP="00EA0FD7">
      <w:pPr>
        <w:spacing w:after="0" w:line="240" w:lineRule="auto"/>
        <w:rPr>
          <w:rFonts w:ascii="Times New Roman" w:eastAsia="Times New Roman" w:hAnsi="Times New Roman" w:cs="Times New Roman"/>
          <w:b/>
          <w:sz w:val="24"/>
          <w:lang w:val="sr-Cyrl-RS" w:eastAsia="hr-HR"/>
        </w:rPr>
      </w:pPr>
    </w:p>
    <w:p w14:paraId="112A8E72" w14:textId="77777777" w:rsidR="00EA0FD7" w:rsidRPr="00EA0FD7" w:rsidRDefault="00EA0FD7" w:rsidP="00EA0FD7">
      <w:pPr>
        <w:spacing w:after="0" w:line="240" w:lineRule="auto"/>
        <w:rPr>
          <w:rFonts w:ascii="Times New Roman" w:eastAsia="Times New Roman" w:hAnsi="Times New Roman" w:cs="Times New Roman"/>
          <w:b/>
          <w:bCs/>
          <w:sz w:val="24"/>
          <w:lang w:val="sr-Cyrl-RS" w:eastAsia="hr-HR"/>
        </w:rPr>
      </w:pPr>
      <w:bookmarkStart w:id="99" w:name="_Toc152056770"/>
      <w:r w:rsidRPr="00EA0FD7">
        <w:rPr>
          <w:rFonts w:ascii="Times New Roman" w:eastAsia="Times New Roman" w:hAnsi="Times New Roman" w:cs="Times New Roman"/>
          <w:b/>
          <w:bCs/>
          <w:sz w:val="24"/>
          <w:lang w:val="sr-Cyrl-RS" w:eastAsia="hr-HR"/>
        </w:rPr>
        <w:t>Преглед приоритета буџетских корисника</w:t>
      </w:r>
      <w:bookmarkEnd w:id="99"/>
      <w:r w:rsidRPr="00EA0FD7">
        <w:rPr>
          <w:rFonts w:ascii="Times New Roman" w:eastAsia="Times New Roman" w:hAnsi="Times New Roman" w:cs="Times New Roman"/>
          <w:b/>
          <w:bCs/>
          <w:sz w:val="24"/>
          <w:lang w:val="sr-Cyrl-RS" w:eastAsia="hr-HR"/>
        </w:rPr>
        <w:t xml:space="preserve"> </w:t>
      </w:r>
    </w:p>
    <w:p w14:paraId="28A75AD8" w14:textId="77777777" w:rsidR="00EA0FD7" w:rsidRPr="00EA0FD7" w:rsidRDefault="00EA0FD7" w:rsidP="00EA0FD7">
      <w:pPr>
        <w:spacing w:after="0" w:line="240" w:lineRule="auto"/>
        <w:ind w:firstLine="720"/>
        <w:rPr>
          <w:rFonts w:ascii="Times New Roman" w:eastAsia="Times New Roman" w:hAnsi="Times New Roman" w:cs="Times New Roman"/>
          <w:b/>
          <w:bCs/>
          <w:sz w:val="24"/>
          <w:szCs w:val="24"/>
          <w:lang w:val="sr-Cyrl-RS" w:eastAsia="hr-HR"/>
        </w:rPr>
      </w:pPr>
    </w:p>
    <w:p w14:paraId="3754E97C" w14:textId="32F5F1D3" w:rsidR="00EA0FD7" w:rsidRPr="00EA0FD7" w:rsidRDefault="00EA0FD7" w:rsidP="00EA0FD7">
      <w:pPr>
        <w:spacing w:after="0" w:line="240" w:lineRule="auto"/>
        <w:ind w:firstLine="720"/>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Кроз </w:t>
      </w:r>
      <w:r w:rsidR="00752F04">
        <w:rPr>
          <w:rFonts w:ascii="Times New Roman" w:eastAsia="Times New Roman" w:hAnsi="Times New Roman" w:cs="Times New Roman"/>
          <w:sz w:val="24"/>
          <w:lang w:eastAsia="hr-HR"/>
        </w:rPr>
        <w:t>„</w:t>
      </w:r>
      <w:r w:rsidRPr="00EA0FD7">
        <w:rPr>
          <w:rFonts w:ascii="Times New Roman" w:eastAsia="Times New Roman" w:hAnsi="Times New Roman" w:cs="Times New Roman"/>
          <w:sz w:val="24"/>
          <w:lang w:val="sr-Cyrl-RS" w:eastAsia="hr-HR"/>
        </w:rPr>
        <w:t xml:space="preserve">Инструкцију </w:t>
      </w:r>
      <w:r w:rsidR="00752F04">
        <w:rPr>
          <w:rFonts w:ascii="Times New Roman" w:eastAsia="Times New Roman" w:hAnsi="Times New Roman" w:cs="Times New Roman"/>
          <w:sz w:val="24"/>
          <w:lang w:eastAsia="hr-HR"/>
        </w:rPr>
        <w:t>I</w:t>
      </w:r>
      <w:r w:rsidRPr="00EA0FD7">
        <w:rPr>
          <w:rFonts w:ascii="Times New Roman" w:eastAsia="Times New Roman" w:hAnsi="Times New Roman" w:cs="Times New Roman"/>
          <w:sz w:val="24"/>
          <w:lang w:val="sr-Cyrl-RS" w:eastAsia="hr-HR"/>
        </w:rPr>
        <w:t xml:space="preserve"> за израду ДОБ-а”, достављену буџетским корисницима у јануару 2022. године, буџетски корисници су позвани да припреме </w:t>
      </w:r>
      <w:r w:rsidR="00752F04">
        <w:rPr>
          <w:rFonts w:ascii="Times New Roman" w:eastAsia="Times New Roman" w:hAnsi="Times New Roman" w:cs="Times New Roman"/>
          <w:sz w:val="24"/>
          <w:lang w:eastAsia="hr-HR"/>
        </w:rPr>
        <w:t>„</w:t>
      </w:r>
      <w:r w:rsidRPr="00EA0FD7">
        <w:rPr>
          <w:rFonts w:ascii="Times New Roman" w:eastAsia="Times New Roman" w:hAnsi="Times New Roman" w:cs="Times New Roman"/>
          <w:sz w:val="24"/>
          <w:lang w:val="sr-Cyrl-RS" w:eastAsia="hr-HR"/>
        </w:rPr>
        <w:t>Обрасце прегледа приоритета буџетских корисника” и доставе их Дирекцији за финансије до 15. априла 2022. године. Циљ ових образаца је да се буџетским корисницима пруже могућности да дају допринос при изради Документа оквирног буџета 2023–2025. године, тако што ће идентификовати своје кључне приоритете при расподјели средстава буџета за 2023. годину и двије наредне године, у складу са својим стратешким циљевима, те економским, социјалним и другим политикама Владе Брчко дистрикта БиХ.</w:t>
      </w:r>
    </w:p>
    <w:p w14:paraId="4F8E0BCB"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Од буџетских корисника се тражило да утврде приједлоге о високоприоритетној потрошњи (за постојеће и нове програме/активности), као и уштеде у оквиру постојећег буџета, тј. опције смањења за програме, услуге и активности нижег приоритета или оне који не дају добре резултате, како би се та средства преусмјерила на иницијативе вишег приоритета. </w:t>
      </w:r>
    </w:p>
    <w:p w14:paraId="17674B1B" w14:textId="77777777" w:rsidR="00EA0FD7" w:rsidRPr="00EA0FD7" w:rsidRDefault="00EA0FD7" w:rsidP="00EA0FD7">
      <w:pPr>
        <w:spacing w:after="0" w:line="240" w:lineRule="auto"/>
        <w:jc w:val="both"/>
        <w:rPr>
          <w:rFonts w:ascii="Times New Roman" w:eastAsia="Times New Roman" w:hAnsi="Times New Roman" w:cs="Times New Roman"/>
          <w:b/>
          <w:sz w:val="24"/>
          <w:lang w:val="sr-Cyrl-RS" w:eastAsia="hr-HR"/>
        </w:rPr>
      </w:pPr>
      <w:r w:rsidRPr="00EA0FD7">
        <w:rPr>
          <w:rFonts w:ascii="Times New Roman" w:eastAsia="Times New Roman" w:hAnsi="Times New Roman" w:cs="Times New Roman"/>
          <w:sz w:val="24"/>
          <w:lang w:val="sr-Cyrl-RS" w:eastAsia="hr-HR"/>
        </w:rPr>
        <w:lastRenderedPageBreak/>
        <w:t>Подаци садржани у овим табелама су требали да помогну у приоритизацији (и ре-приоритизацији) буџетских средстава на оне програме и активности које су усмјерене на испуњење Владиних најважнијих циљева економских, социјалних и других политика.</w:t>
      </w:r>
    </w:p>
    <w:p w14:paraId="70B914E9" w14:textId="77777777" w:rsidR="00EA0FD7" w:rsidRPr="00EA0FD7" w:rsidRDefault="00EA0FD7" w:rsidP="00EA0FD7">
      <w:pPr>
        <w:spacing w:after="0" w:line="240" w:lineRule="auto"/>
        <w:ind w:firstLine="720"/>
        <w:rPr>
          <w:rFonts w:ascii="Times New Roman" w:eastAsia="Times New Roman" w:hAnsi="Times New Roman" w:cs="Times New Roman"/>
          <w:b/>
          <w:sz w:val="24"/>
          <w:lang w:val="sr-Cyrl-RS" w:eastAsia="hr-HR"/>
        </w:rPr>
      </w:pPr>
      <w:r w:rsidRPr="00EA0FD7">
        <w:rPr>
          <w:rFonts w:ascii="Times New Roman" w:eastAsia="Times New Roman" w:hAnsi="Times New Roman" w:cs="Times New Roman"/>
          <w:b/>
          <w:sz w:val="24"/>
          <w:lang w:val="sr-Cyrl-RS" w:eastAsia="hr-HR"/>
        </w:rPr>
        <w:t xml:space="preserve"> </w:t>
      </w:r>
    </w:p>
    <w:p w14:paraId="07642124" w14:textId="77777777" w:rsidR="00EA0FD7" w:rsidRPr="00EA0FD7" w:rsidRDefault="00EA0FD7" w:rsidP="00EA0FD7">
      <w:pPr>
        <w:spacing w:after="0" w:line="240" w:lineRule="auto"/>
        <w:rPr>
          <w:rFonts w:ascii="Times New Roman" w:eastAsia="Times New Roman" w:hAnsi="Times New Roman" w:cs="Times New Roman"/>
          <w:b/>
          <w:sz w:val="24"/>
          <w:lang w:val="sr-Cyrl-RS" w:eastAsia="hr-HR"/>
        </w:rPr>
      </w:pPr>
    </w:p>
    <w:p w14:paraId="2758042C" w14:textId="77777777" w:rsidR="00EA0FD7" w:rsidRPr="00EA0FD7" w:rsidRDefault="00EA0FD7" w:rsidP="00EA0FD7">
      <w:pPr>
        <w:spacing w:after="0" w:line="240" w:lineRule="auto"/>
        <w:rPr>
          <w:rFonts w:ascii="Times New Roman" w:eastAsia="Times New Roman" w:hAnsi="Times New Roman" w:cs="Times New Roman"/>
          <w:b/>
          <w:sz w:val="24"/>
          <w:lang w:val="sr-Cyrl-RS" w:eastAsia="hr-HR"/>
        </w:rPr>
      </w:pPr>
      <w:r w:rsidRPr="00EA0FD7">
        <w:rPr>
          <w:rFonts w:ascii="Times New Roman" w:eastAsia="Times New Roman" w:hAnsi="Times New Roman" w:cs="Times New Roman"/>
          <w:b/>
          <w:sz w:val="24"/>
          <w:lang w:val="sr-Cyrl-RS" w:eastAsia="hr-HR"/>
        </w:rPr>
        <w:t>Анализа буџетских приоритета 2023–2025. године</w:t>
      </w:r>
    </w:p>
    <w:p w14:paraId="76A4D842" w14:textId="77777777" w:rsidR="00EA0FD7" w:rsidRPr="00EA0FD7" w:rsidRDefault="00EA0FD7" w:rsidP="00EA0FD7">
      <w:pPr>
        <w:spacing w:after="0" w:line="240" w:lineRule="auto"/>
        <w:rPr>
          <w:rFonts w:ascii="Times New Roman" w:eastAsia="Times New Roman" w:hAnsi="Times New Roman" w:cs="Times New Roman"/>
          <w:b/>
          <w:sz w:val="24"/>
          <w:szCs w:val="24"/>
          <w:lang w:val="sr-Cyrl-RS" w:eastAsia="hr-HR"/>
        </w:rPr>
      </w:pPr>
    </w:p>
    <w:p w14:paraId="2D0958BC" w14:textId="77777777" w:rsidR="00EA0FD7" w:rsidRPr="00EA0FD7" w:rsidRDefault="00EA0FD7" w:rsidP="00EA0FD7">
      <w:pPr>
        <w:spacing w:after="0" w:line="240" w:lineRule="auto"/>
        <w:ind w:firstLine="720"/>
        <w:jc w:val="both"/>
        <w:rPr>
          <w:rFonts w:ascii="Times New Roman" w:eastAsia="Times New Roman" w:hAnsi="Times New Roman" w:cs="Times New Roman"/>
          <w:spacing w:val="-6"/>
          <w:sz w:val="24"/>
          <w:lang w:val="sr-Cyrl-RS" w:eastAsia="hr-HR"/>
        </w:rPr>
      </w:pPr>
      <w:r w:rsidRPr="00EA0FD7">
        <w:rPr>
          <w:rFonts w:ascii="Times New Roman" w:eastAsia="Times New Roman" w:hAnsi="Times New Roman" w:cs="Times New Roman"/>
          <w:spacing w:val="-6"/>
          <w:sz w:val="24"/>
          <w:lang w:val="sr-Cyrl-RS" w:eastAsia="hr-HR"/>
        </w:rPr>
        <w:t xml:space="preserve">Дирекција за финансије је анализирала достављене Обрасце прегледа приоритета буџетских корисника и на основу квалитета информација, које су садржане у тим обрасцима, полазећи од укупног оквира расположивих прихода, утврђене су горње границе расхода за сваког буџетског корисника за наредне три године, узимајући у обзир при том идентификоване циљеве и предложене приоритете потрошње.  </w:t>
      </w:r>
    </w:p>
    <w:p w14:paraId="5A9DE868" w14:textId="77777777" w:rsidR="00EA0FD7" w:rsidRPr="00EA0FD7" w:rsidRDefault="00EA0FD7" w:rsidP="00EA0FD7">
      <w:pPr>
        <w:spacing w:after="0" w:line="240" w:lineRule="auto"/>
        <w:jc w:val="both"/>
        <w:rPr>
          <w:rFonts w:ascii="Times New Roman" w:eastAsia="Times New Roman" w:hAnsi="Times New Roman" w:cs="Times New Roman"/>
          <w:spacing w:val="-6"/>
          <w:sz w:val="24"/>
          <w:lang w:val="sr-Cyrl-RS" w:eastAsia="hr-HR"/>
        </w:rPr>
      </w:pPr>
      <w:r w:rsidRPr="00EA0FD7">
        <w:rPr>
          <w:rFonts w:ascii="Times New Roman" w:eastAsia="Times New Roman" w:hAnsi="Times New Roman" w:cs="Times New Roman"/>
          <w:spacing w:val="-6"/>
          <w:sz w:val="24"/>
          <w:lang w:val="sr-Cyrl-RS" w:eastAsia="hr-HR"/>
        </w:rPr>
        <w:t>Укупне горње границе расхода Буџета Брчко дистрикта БиХ за 2023. годину износе 278.083.660 КМ,  за 2024. годину 285.754.983 КМ и за 2025. годину 293.984.963 КМ.</w:t>
      </w:r>
    </w:p>
    <w:p w14:paraId="76E9BBE3" w14:textId="77777777" w:rsidR="00EA0FD7" w:rsidRPr="00EA0FD7" w:rsidRDefault="00EA0FD7" w:rsidP="00EA0FD7">
      <w:pPr>
        <w:spacing w:after="0" w:line="240" w:lineRule="auto"/>
        <w:jc w:val="both"/>
        <w:rPr>
          <w:rFonts w:ascii="Times New Roman" w:eastAsia="Times New Roman" w:hAnsi="Times New Roman" w:cs="Times New Roman"/>
          <w:b/>
          <w:sz w:val="24"/>
          <w:lang w:val="sr-Cyrl-RS" w:eastAsia="hr-HR"/>
        </w:rPr>
      </w:pPr>
    </w:p>
    <w:p w14:paraId="53FD56F7" w14:textId="77777777" w:rsidR="00EA0FD7" w:rsidRPr="00EA0FD7" w:rsidRDefault="00EA0FD7" w:rsidP="00EA0FD7">
      <w:pPr>
        <w:spacing w:after="0" w:line="240" w:lineRule="auto"/>
        <w:jc w:val="both"/>
        <w:rPr>
          <w:rFonts w:ascii="Times New Roman" w:eastAsia="Times New Roman" w:hAnsi="Times New Roman" w:cs="Times New Roman"/>
          <w:b/>
          <w:sz w:val="24"/>
          <w:lang w:val="sr-Cyrl-RS" w:eastAsia="hr-HR"/>
        </w:rPr>
      </w:pPr>
      <w:r w:rsidRPr="00EA0FD7">
        <w:rPr>
          <w:rFonts w:ascii="Times New Roman" w:eastAsia="Times New Roman" w:hAnsi="Times New Roman" w:cs="Times New Roman"/>
          <w:b/>
          <w:sz w:val="24"/>
          <w:lang w:val="sr-Cyrl-RS" w:eastAsia="hr-HR"/>
        </w:rPr>
        <w:t xml:space="preserve">Основни приоритети и политика Владе приликом средњорочног планирања </w:t>
      </w:r>
    </w:p>
    <w:p w14:paraId="38FE1726" w14:textId="77777777" w:rsidR="00EA0FD7" w:rsidRPr="00EA0FD7" w:rsidRDefault="00EA0FD7" w:rsidP="00EA0FD7">
      <w:pPr>
        <w:spacing w:after="0" w:line="240" w:lineRule="auto"/>
        <w:jc w:val="both"/>
        <w:rPr>
          <w:rFonts w:ascii="Times New Roman" w:eastAsia="Times New Roman" w:hAnsi="Times New Roman" w:cs="Times New Roman"/>
          <w:b/>
          <w:sz w:val="24"/>
          <w:highlight w:val="red"/>
          <w:lang w:val="sr-Cyrl-RS" w:eastAsia="hr-HR"/>
        </w:rPr>
      </w:pPr>
    </w:p>
    <w:p w14:paraId="06CAE958" w14:textId="5F12D007" w:rsidR="00EA0FD7" w:rsidRPr="00EA0FD7" w:rsidRDefault="00EA0FD7" w:rsidP="00EA0FD7">
      <w:pPr>
        <w:spacing w:after="0" w:line="240" w:lineRule="auto"/>
        <w:ind w:firstLine="720"/>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Влада Брчко дистрикта БиХ је у Документу оквирног буџета 2023–2025. године планирала о</w:t>
      </w:r>
      <w:r w:rsidR="00752F04">
        <w:rPr>
          <w:rFonts w:ascii="Times New Roman" w:eastAsia="Times New Roman" w:hAnsi="Times New Roman" w:cs="Times New Roman"/>
          <w:sz w:val="24"/>
          <w:lang w:val="bs-Cyrl-BA" w:eastAsia="hr-HR"/>
        </w:rPr>
        <w:t>безбиједити</w:t>
      </w:r>
      <w:r w:rsidRPr="00EA0FD7">
        <w:rPr>
          <w:rFonts w:ascii="Times New Roman" w:eastAsia="Times New Roman" w:hAnsi="Times New Roman" w:cs="Times New Roman"/>
          <w:sz w:val="24"/>
          <w:lang w:val="sr-Cyrl-RS" w:eastAsia="hr-HR"/>
        </w:rPr>
        <w:t xml:space="preserve"> буџетска средства за функционисање свих буџетских корисника, који се финансирају из буџета.</w:t>
      </w:r>
    </w:p>
    <w:p w14:paraId="316694F5"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476D597D"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Кључни параметри о којима се водило рачуна су:</w:t>
      </w:r>
    </w:p>
    <w:p w14:paraId="490EEC1F"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p>
    <w:p w14:paraId="5C8547B0" w14:textId="3CD7D5C4"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о</w:t>
      </w:r>
      <w:r w:rsidR="00752F04">
        <w:rPr>
          <w:rFonts w:ascii="Times New Roman" w:eastAsia="Times New Roman" w:hAnsi="Times New Roman" w:cs="Times New Roman"/>
          <w:sz w:val="24"/>
          <w:lang w:val="sr-Cyrl-RS" w:eastAsia="hr-HR"/>
        </w:rPr>
        <w:t>безбјеђење</w:t>
      </w:r>
      <w:r w:rsidRPr="00EA0FD7">
        <w:rPr>
          <w:rFonts w:ascii="Times New Roman" w:eastAsia="Times New Roman" w:hAnsi="Times New Roman" w:cs="Times New Roman"/>
          <w:sz w:val="24"/>
          <w:lang w:val="sr-Cyrl-RS" w:eastAsia="hr-HR"/>
        </w:rPr>
        <w:t xml:space="preserve"> буџетских средстава за имплементацију Закона о социјалној и дјечијој заштити (стална социјална давања, дјечији доплатак и друга социјална давања), као и Закона о правима борачких популација и цивилних жртава рата (демобилисани борци, инвалиди, породице погинулих и породице цивилних жртава рата), као и осигурање средстава за накнаде за породиљско боловање, помоћи пензионерима и друга давања за најугроженије популације</w:t>
      </w:r>
    </w:p>
    <w:p w14:paraId="001C1065" w14:textId="2217E2AF"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о</w:t>
      </w:r>
      <w:r w:rsidR="00752F04">
        <w:rPr>
          <w:rFonts w:ascii="Times New Roman" w:eastAsia="Times New Roman" w:hAnsi="Times New Roman" w:cs="Times New Roman"/>
          <w:sz w:val="24"/>
          <w:lang w:val="sr-Cyrl-RS" w:eastAsia="hr-HR"/>
        </w:rPr>
        <w:t>безбјеђење</w:t>
      </w:r>
      <w:r w:rsidRPr="00EA0FD7">
        <w:rPr>
          <w:rFonts w:ascii="Times New Roman" w:eastAsia="Times New Roman" w:hAnsi="Times New Roman" w:cs="Times New Roman"/>
          <w:sz w:val="24"/>
          <w:lang w:val="sr-Cyrl-RS" w:eastAsia="hr-HR"/>
        </w:rPr>
        <w:t xml:space="preserve"> средстава за наставак програма одрживог повратка и останка</w:t>
      </w:r>
    </w:p>
    <w:p w14:paraId="4FADA3EB" w14:textId="7A538DAD"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о</w:t>
      </w:r>
      <w:r w:rsidR="00752F04">
        <w:rPr>
          <w:rFonts w:ascii="Times New Roman" w:eastAsia="Times New Roman" w:hAnsi="Times New Roman" w:cs="Times New Roman"/>
          <w:sz w:val="24"/>
          <w:lang w:val="sr-Cyrl-RS" w:eastAsia="hr-HR"/>
        </w:rPr>
        <w:t>безбјеђење</w:t>
      </w:r>
      <w:r w:rsidRPr="00EA0FD7">
        <w:rPr>
          <w:rFonts w:ascii="Times New Roman" w:eastAsia="Times New Roman" w:hAnsi="Times New Roman" w:cs="Times New Roman"/>
          <w:sz w:val="24"/>
          <w:lang w:val="sr-Cyrl-RS" w:eastAsia="hr-HR"/>
        </w:rPr>
        <w:t xml:space="preserve"> средстава за имплементацију Закона о подстицају привредног развоја и подстицају  у пољопривреди </w:t>
      </w:r>
    </w:p>
    <w:p w14:paraId="5376552C" w14:textId="03E39612"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о</w:t>
      </w:r>
      <w:r w:rsidR="00752F04">
        <w:rPr>
          <w:rFonts w:ascii="Times New Roman" w:eastAsia="Times New Roman" w:hAnsi="Times New Roman" w:cs="Times New Roman"/>
          <w:sz w:val="24"/>
          <w:lang w:val="sr-Cyrl-RS" w:eastAsia="hr-HR"/>
        </w:rPr>
        <w:t xml:space="preserve">безбјеђење </w:t>
      </w:r>
      <w:r w:rsidRPr="00EA0FD7">
        <w:rPr>
          <w:rFonts w:ascii="Times New Roman" w:eastAsia="Times New Roman" w:hAnsi="Times New Roman" w:cs="Times New Roman"/>
          <w:sz w:val="24"/>
          <w:lang w:val="sr-Cyrl-RS" w:eastAsia="hr-HR"/>
        </w:rPr>
        <w:t>средстава за субвенциони</w:t>
      </w:r>
      <w:r w:rsidR="00752F04">
        <w:rPr>
          <w:rFonts w:ascii="Times New Roman" w:eastAsia="Times New Roman" w:hAnsi="Times New Roman" w:cs="Times New Roman"/>
          <w:sz w:val="24"/>
          <w:lang w:val="sr-Cyrl-RS" w:eastAsia="hr-HR"/>
        </w:rPr>
        <w:t>с</w:t>
      </w:r>
      <w:r w:rsidRPr="00EA0FD7">
        <w:rPr>
          <w:rFonts w:ascii="Times New Roman" w:eastAsia="Times New Roman" w:hAnsi="Times New Roman" w:cs="Times New Roman"/>
          <w:sz w:val="24"/>
          <w:lang w:val="sr-Cyrl-RS" w:eastAsia="hr-HR"/>
        </w:rPr>
        <w:t xml:space="preserve">ање камата  </w:t>
      </w:r>
    </w:p>
    <w:p w14:paraId="7DAE694C" w14:textId="1784765B"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о</w:t>
      </w:r>
      <w:r w:rsidR="00752F04">
        <w:rPr>
          <w:rFonts w:ascii="Times New Roman" w:eastAsia="Times New Roman" w:hAnsi="Times New Roman" w:cs="Times New Roman"/>
          <w:sz w:val="24"/>
          <w:lang w:val="sr-Cyrl-RS" w:eastAsia="hr-HR"/>
        </w:rPr>
        <w:t>безбјеђење</w:t>
      </w:r>
      <w:r w:rsidRPr="00EA0FD7">
        <w:rPr>
          <w:rFonts w:ascii="Times New Roman" w:eastAsia="Times New Roman" w:hAnsi="Times New Roman" w:cs="Times New Roman"/>
          <w:sz w:val="24"/>
          <w:lang w:val="sr-Cyrl-RS" w:eastAsia="hr-HR"/>
        </w:rPr>
        <w:t xml:space="preserve"> средстава за програме самозапошљавања</w:t>
      </w:r>
    </w:p>
    <w:p w14:paraId="270A9387" w14:textId="5A0FFB6C"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о</w:t>
      </w:r>
      <w:r w:rsidR="00752F04">
        <w:rPr>
          <w:rFonts w:ascii="Times New Roman" w:eastAsia="Times New Roman" w:hAnsi="Times New Roman" w:cs="Times New Roman"/>
          <w:sz w:val="24"/>
          <w:lang w:val="sr-Cyrl-RS" w:eastAsia="hr-HR"/>
        </w:rPr>
        <w:t>безбјеђење</w:t>
      </w:r>
      <w:r w:rsidRPr="00EA0FD7">
        <w:rPr>
          <w:rFonts w:ascii="Times New Roman" w:eastAsia="Times New Roman" w:hAnsi="Times New Roman" w:cs="Times New Roman"/>
          <w:sz w:val="24"/>
          <w:lang w:val="sr-Cyrl-RS" w:eastAsia="hr-HR"/>
        </w:rPr>
        <w:t xml:space="preserve"> буџетских средстава за функционисање правосудног система и полиције, који ће осигурати безбједност становника Брчко дистрикта БиХ, као и борбу против криминала и корупције </w:t>
      </w:r>
    </w:p>
    <w:p w14:paraId="5BCA72E4"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xml:space="preserve">- обезбјеђење средстава за наставак пројеката деминирања, </w:t>
      </w:r>
    </w:p>
    <w:p w14:paraId="00A66E4C" w14:textId="651F7C19"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даље о</w:t>
      </w:r>
      <w:r w:rsidR="00752F04">
        <w:rPr>
          <w:rFonts w:ascii="Times New Roman" w:eastAsia="Times New Roman" w:hAnsi="Times New Roman" w:cs="Times New Roman"/>
          <w:sz w:val="24"/>
          <w:lang w:val="sr-Cyrl-RS" w:eastAsia="hr-HR"/>
        </w:rPr>
        <w:t>безбјеђење</w:t>
      </w:r>
      <w:r w:rsidRPr="00EA0FD7">
        <w:rPr>
          <w:rFonts w:ascii="Times New Roman" w:eastAsia="Times New Roman" w:hAnsi="Times New Roman" w:cs="Times New Roman"/>
          <w:sz w:val="24"/>
          <w:lang w:val="sr-Cyrl-RS" w:eastAsia="hr-HR"/>
        </w:rPr>
        <w:t xml:space="preserve"> буџетских средстава која ће омогућити развој здравствене заштите становника Брчко дистрикта БиХ </w:t>
      </w:r>
    </w:p>
    <w:p w14:paraId="0BE20871" w14:textId="03E8B7CF"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приоритетно улагање у очување стандарда у области образовањам те даље унапређење основног и средњег образовања</w:t>
      </w:r>
    </w:p>
    <w:p w14:paraId="796A9EAE" w14:textId="78C1B45A"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о</w:t>
      </w:r>
      <w:r w:rsidR="00752F04">
        <w:rPr>
          <w:rFonts w:ascii="Times New Roman" w:eastAsia="Times New Roman" w:hAnsi="Times New Roman" w:cs="Times New Roman"/>
          <w:sz w:val="24"/>
          <w:lang w:val="sr-Cyrl-RS" w:eastAsia="hr-HR"/>
        </w:rPr>
        <w:t>безбјеђење</w:t>
      </w:r>
      <w:r w:rsidRPr="00EA0FD7">
        <w:rPr>
          <w:rFonts w:ascii="Times New Roman" w:eastAsia="Times New Roman" w:hAnsi="Times New Roman" w:cs="Times New Roman"/>
          <w:sz w:val="24"/>
          <w:lang w:val="sr-Cyrl-RS" w:eastAsia="hr-HR"/>
        </w:rPr>
        <w:t xml:space="preserve"> средства за  унапређење туристичко</w:t>
      </w:r>
      <w:r w:rsidR="00752F04">
        <w:rPr>
          <w:rFonts w:ascii="Times New Roman" w:eastAsia="Times New Roman" w:hAnsi="Times New Roman" w:cs="Times New Roman"/>
          <w:sz w:val="24"/>
          <w:lang w:val="sr-Cyrl-RS" w:eastAsia="hr-HR"/>
        </w:rPr>
        <w:t>-</w:t>
      </w:r>
      <w:r w:rsidRPr="00EA0FD7">
        <w:rPr>
          <w:rFonts w:ascii="Times New Roman" w:eastAsia="Times New Roman" w:hAnsi="Times New Roman" w:cs="Times New Roman"/>
          <w:sz w:val="24"/>
          <w:lang w:val="sr-Cyrl-RS" w:eastAsia="hr-HR"/>
        </w:rPr>
        <w:t>рекреативне инфраструктуре</w:t>
      </w:r>
    </w:p>
    <w:p w14:paraId="0A56776E" w14:textId="3A30EB3D"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даље подстицање развоја комуналне, путне и друге инфраструктуре и улагање у капиталне пројекте који су у складу са приоритетима Владе и</w:t>
      </w:r>
    </w:p>
    <w:p w14:paraId="32307CB8" w14:textId="77777777" w:rsidR="00EA0FD7" w:rsidRPr="00EA0FD7" w:rsidRDefault="00EA0FD7" w:rsidP="00EA0FD7">
      <w:pPr>
        <w:spacing w:after="0" w:line="240" w:lineRule="auto"/>
        <w:jc w:val="both"/>
        <w:rPr>
          <w:rFonts w:ascii="Times New Roman" w:eastAsia="Times New Roman" w:hAnsi="Times New Roman" w:cs="Times New Roman"/>
          <w:sz w:val="24"/>
          <w:lang w:val="sr-Cyrl-RS" w:eastAsia="hr-HR"/>
        </w:rPr>
      </w:pPr>
      <w:r w:rsidRPr="00EA0FD7">
        <w:rPr>
          <w:rFonts w:ascii="Times New Roman" w:eastAsia="Times New Roman" w:hAnsi="Times New Roman" w:cs="Times New Roman"/>
          <w:sz w:val="24"/>
          <w:lang w:val="sr-Cyrl-RS" w:eastAsia="hr-HR"/>
        </w:rPr>
        <w:t>- наставак унапређења у организовању ефикасне јавне админист</w:t>
      </w:r>
      <w:bookmarkEnd w:id="96"/>
      <w:bookmarkEnd w:id="97"/>
      <w:bookmarkEnd w:id="98"/>
      <w:r w:rsidRPr="00EA0FD7">
        <w:rPr>
          <w:rFonts w:ascii="Times New Roman" w:eastAsia="Times New Roman" w:hAnsi="Times New Roman" w:cs="Times New Roman"/>
          <w:sz w:val="24"/>
          <w:lang w:val="sr-Cyrl-RS" w:eastAsia="hr-HR"/>
        </w:rPr>
        <w:t>рације.</w:t>
      </w:r>
    </w:p>
    <w:p w14:paraId="092D7CCF" w14:textId="77777777" w:rsidR="00EA0FD7" w:rsidRPr="00EA0FD7" w:rsidRDefault="00EA0FD7" w:rsidP="00EA0FD7">
      <w:pPr>
        <w:tabs>
          <w:tab w:val="left" w:pos="937"/>
        </w:tabs>
        <w:spacing w:after="0" w:line="240" w:lineRule="auto"/>
        <w:jc w:val="both"/>
        <w:rPr>
          <w:rFonts w:ascii="Times New Roman" w:eastAsia="Times New Roman" w:hAnsi="Times New Roman" w:cs="Times New Roman"/>
          <w:sz w:val="24"/>
          <w:szCs w:val="24"/>
          <w:lang w:val="sr-Cyrl-RS" w:eastAsia="hr-HR"/>
        </w:rPr>
      </w:pPr>
    </w:p>
    <w:p w14:paraId="1BB80993" w14:textId="04FEC75E" w:rsidR="00EA0FD7" w:rsidRPr="00752F04" w:rsidRDefault="00EA0FD7" w:rsidP="00752F04">
      <w:pPr>
        <w:tabs>
          <w:tab w:val="left" w:pos="937"/>
        </w:tabs>
        <w:spacing w:after="0" w:line="240" w:lineRule="auto"/>
        <w:jc w:val="right"/>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b/>
          <w:sz w:val="24"/>
          <w:szCs w:val="24"/>
          <w:lang w:val="sr-Cyrl-RS" w:eastAsia="hr-HR"/>
        </w:rPr>
        <w:t>ГРАДОНАЧЕЛНИК</w:t>
      </w:r>
    </w:p>
    <w:p w14:paraId="7E540F4F" w14:textId="77777777" w:rsidR="00EA0FD7" w:rsidRPr="00EA0FD7" w:rsidRDefault="00EA0FD7" w:rsidP="00752F04">
      <w:pPr>
        <w:tabs>
          <w:tab w:val="left" w:pos="937"/>
        </w:tabs>
        <w:spacing w:after="0" w:line="240" w:lineRule="auto"/>
        <w:ind w:left="7080"/>
        <w:jc w:val="right"/>
        <w:rPr>
          <w:rFonts w:ascii="Times New Roman" w:eastAsia="Times New Roman" w:hAnsi="Times New Roman" w:cs="Times New Roman"/>
          <w:sz w:val="24"/>
          <w:szCs w:val="24"/>
          <w:lang w:val="sr-Cyrl-RS" w:eastAsia="hr-HR"/>
        </w:rPr>
      </w:pPr>
      <w:r w:rsidRPr="00EA0FD7">
        <w:rPr>
          <w:rFonts w:ascii="Times New Roman" w:eastAsia="Times New Roman" w:hAnsi="Times New Roman" w:cs="Times New Roman"/>
          <w:sz w:val="24"/>
          <w:szCs w:val="24"/>
          <w:lang w:val="sr-Cyrl-RS" w:eastAsia="hr-HR"/>
        </w:rPr>
        <w:t>Есед Кадрић</w:t>
      </w:r>
    </w:p>
    <w:p w14:paraId="1F739702" w14:textId="77777777" w:rsidR="00725290" w:rsidRPr="00AE5455" w:rsidRDefault="00725290">
      <w:pPr>
        <w:rPr>
          <w:lang w:val="sr-Cyrl-RS"/>
        </w:rPr>
      </w:pPr>
    </w:p>
    <w:sectPr w:rsidR="00725290" w:rsidRPr="00AE54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D9DCD" w14:textId="77777777" w:rsidR="008E35C7" w:rsidRDefault="008E35C7" w:rsidP="00EA0FD7">
      <w:pPr>
        <w:spacing w:after="0" w:line="240" w:lineRule="auto"/>
      </w:pPr>
      <w:r>
        <w:separator/>
      </w:r>
    </w:p>
  </w:endnote>
  <w:endnote w:type="continuationSeparator" w:id="0">
    <w:p w14:paraId="2096E4B8" w14:textId="77777777" w:rsidR="008E35C7" w:rsidRDefault="008E35C7" w:rsidP="00EA0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enturySchoolbook">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FB740" w14:textId="77777777" w:rsidR="008E35C7" w:rsidRDefault="008E35C7" w:rsidP="00EA0FD7">
      <w:pPr>
        <w:spacing w:after="0" w:line="240" w:lineRule="auto"/>
      </w:pPr>
      <w:r>
        <w:separator/>
      </w:r>
    </w:p>
  </w:footnote>
  <w:footnote w:type="continuationSeparator" w:id="0">
    <w:p w14:paraId="07EC4BAC" w14:textId="77777777" w:rsidR="008E35C7" w:rsidRDefault="008E35C7" w:rsidP="00EA0FD7">
      <w:pPr>
        <w:spacing w:after="0" w:line="240" w:lineRule="auto"/>
      </w:pPr>
      <w:r>
        <w:continuationSeparator/>
      </w:r>
    </w:p>
  </w:footnote>
  <w:footnote w:id="1">
    <w:p w14:paraId="3D45C0B8" w14:textId="4C22BE73" w:rsidR="00EA0FD7" w:rsidRPr="009E1E82" w:rsidRDefault="00EA0FD7" w:rsidP="00EA0FD7">
      <w:pPr>
        <w:pStyle w:val="Funote1"/>
        <w:rPr>
          <w:sz w:val="16"/>
          <w:szCs w:val="16"/>
        </w:rPr>
      </w:pPr>
      <w:bookmarkStart w:id="2" w:name="_Hlk107385029"/>
      <w:r w:rsidRPr="009E1E82">
        <w:rPr>
          <w:rStyle w:val="Referencafusnote"/>
          <w:rFonts w:cs="Calibri"/>
          <w:sz w:val="16"/>
          <w:szCs w:val="16"/>
        </w:rPr>
        <w:footnoteRef/>
      </w:r>
      <w:bookmarkStart w:id="3" w:name="_Hlk40118536"/>
      <w:r w:rsidR="000C192B" w:rsidRPr="009E1E82">
        <w:rPr>
          <w:rFonts w:ascii="Times New Roman" w:hAnsi="Times New Roman"/>
          <w:sz w:val="16"/>
          <w:szCs w:val="16"/>
        </w:rPr>
        <w:t>Агенција за статистику Босне и Херцеговине, Саопштење, „Бруто домаћи производ, расходовни приступ за 2020. годину “, 28.</w:t>
      </w:r>
      <w:r w:rsidR="000C192B" w:rsidRPr="009E1E82">
        <w:rPr>
          <w:rFonts w:ascii="Times New Roman" w:hAnsi="Times New Roman"/>
          <w:sz w:val="16"/>
          <w:szCs w:val="16"/>
          <w:lang w:val="bs-Cyrl-BA"/>
        </w:rPr>
        <w:t xml:space="preserve"> </w:t>
      </w:r>
      <w:r w:rsidR="000C192B" w:rsidRPr="009E1E82">
        <w:rPr>
          <w:rFonts w:ascii="Times New Roman" w:hAnsi="Times New Roman"/>
          <w:sz w:val="16"/>
          <w:szCs w:val="16"/>
        </w:rPr>
        <w:t>2.</w:t>
      </w:r>
      <w:r w:rsidR="000C192B" w:rsidRPr="009E1E82">
        <w:rPr>
          <w:rFonts w:ascii="Times New Roman" w:hAnsi="Times New Roman"/>
          <w:sz w:val="16"/>
          <w:szCs w:val="16"/>
          <w:lang w:val="bs-Cyrl-BA"/>
        </w:rPr>
        <w:t xml:space="preserve"> </w:t>
      </w:r>
      <w:r w:rsidR="000C192B" w:rsidRPr="009E1E82">
        <w:rPr>
          <w:rFonts w:ascii="Times New Roman" w:hAnsi="Times New Roman"/>
          <w:sz w:val="16"/>
          <w:szCs w:val="16"/>
        </w:rPr>
        <w:t>2022. године.</w:t>
      </w:r>
      <w:bookmarkEnd w:id="3"/>
    </w:p>
  </w:footnote>
  <w:footnote w:id="2">
    <w:p w14:paraId="37FF2F15" w14:textId="4020E27A" w:rsidR="00EA0FD7" w:rsidRPr="009E1E82" w:rsidRDefault="00EA0FD7" w:rsidP="00EA0FD7">
      <w:pPr>
        <w:pStyle w:val="Funote1"/>
        <w:rPr>
          <w:sz w:val="16"/>
          <w:szCs w:val="16"/>
        </w:rPr>
      </w:pPr>
      <w:r w:rsidRPr="009E1E82">
        <w:rPr>
          <w:rStyle w:val="Referencafusnote"/>
          <w:rFonts w:cs="Calibri"/>
          <w:sz w:val="16"/>
          <w:szCs w:val="16"/>
        </w:rPr>
        <w:footnoteRef/>
      </w:r>
      <w:r w:rsidRPr="009E1E82">
        <w:rPr>
          <w:sz w:val="16"/>
          <w:szCs w:val="16"/>
        </w:rPr>
        <w:t xml:space="preserve"> </w:t>
      </w:r>
      <w:bookmarkStart w:id="4" w:name="_Hlk84513644"/>
      <w:r w:rsidR="000C192B" w:rsidRPr="009E1E82">
        <w:rPr>
          <w:rFonts w:ascii="Times New Roman" w:hAnsi="Times New Roman"/>
          <w:sz w:val="16"/>
          <w:szCs w:val="16"/>
        </w:rPr>
        <w:t>Агенција за статистику Босне и Херцеговине, Саопштење, „Бруто домаћи производ, расходни приступ тромјесечни подаци за К3 2021. године “, 6.</w:t>
      </w:r>
      <w:r w:rsidR="000C192B" w:rsidRPr="009E1E82">
        <w:rPr>
          <w:rFonts w:ascii="Times New Roman" w:hAnsi="Times New Roman"/>
          <w:sz w:val="16"/>
          <w:szCs w:val="16"/>
          <w:lang w:val="bs-Cyrl-BA"/>
        </w:rPr>
        <w:t xml:space="preserve"> </w:t>
      </w:r>
      <w:r w:rsidR="000C192B" w:rsidRPr="009E1E82">
        <w:rPr>
          <w:rFonts w:ascii="Times New Roman" w:hAnsi="Times New Roman"/>
          <w:sz w:val="16"/>
          <w:szCs w:val="16"/>
        </w:rPr>
        <w:t>1.</w:t>
      </w:r>
      <w:r w:rsidR="000C192B" w:rsidRPr="009E1E82">
        <w:rPr>
          <w:rFonts w:ascii="Times New Roman" w:hAnsi="Times New Roman"/>
          <w:sz w:val="16"/>
          <w:szCs w:val="16"/>
          <w:lang w:val="bs-Cyrl-BA"/>
        </w:rPr>
        <w:t xml:space="preserve"> </w:t>
      </w:r>
      <w:r w:rsidR="000C192B" w:rsidRPr="009E1E82">
        <w:rPr>
          <w:rFonts w:ascii="Times New Roman" w:hAnsi="Times New Roman"/>
          <w:sz w:val="16"/>
          <w:szCs w:val="16"/>
        </w:rPr>
        <w:t>2022. године.</w:t>
      </w:r>
      <w:bookmarkEnd w:id="4"/>
      <w:r w:rsidR="000C192B" w:rsidRPr="009E1E82">
        <w:rPr>
          <w:rFonts w:ascii="Times New Roman" w:hAnsi="Times New Roman"/>
          <w:sz w:val="16"/>
          <w:szCs w:val="16"/>
        </w:rPr>
        <w:t xml:space="preserve"> </w:t>
      </w:r>
      <w:r w:rsidR="000C192B" w:rsidRPr="009E1E82">
        <w:rPr>
          <w:sz w:val="16"/>
          <w:szCs w:val="16"/>
        </w:rPr>
        <w:t xml:space="preserve"> </w:t>
      </w:r>
    </w:p>
  </w:footnote>
  <w:footnote w:id="3">
    <w:p w14:paraId="53BE031B" w14:textId="2F0F1F81" w:rsidR="00EA0FD7" w:rsidRDefault="00EA0FD7" w:rsidP="00EA0FD7">
      <w:pPr>
        <w:pStyle w:val="Funote1"/>
      </w:pPr>
      <w:r w:rsidRPr="009E1E82">
        <w:rPr>
          <w:rStyle w:val="Referencafusnote"/>
          <w:rFonts w:ascii="Times New Roman" w:hAnsi="Times New Roman"/>
          <w:sz w:val="16"/>
          <w:szCs w:val="16"/>
        </w:rPr>
        <w:footnoteRef/>
      </w:r>
      <w:r w:rsidRPr="009E1E82">
        <w:rPr>
          <w:rFonts w:ascii="Times New Roman" w:hAnsi="Times New Roman"/>
          <w:sz w:val="16"/>
          <w:szCs w:val="16"/>
        </w:rPr>
        <w:t xml:space="preserve"> </w:t>
      </w:r>
      <w:r w:rsidR="000C192B" w:rsidRPr="009E1E82">
        <w:rPr>
          <w:rFonts w:ascii="Times New Roman" w:hAnsi="Times New Roman"/>
          <w:sz w:val="16"/>
          <w:szCs w:val="16"/>
        </w:rPr>
        <w:t>Према тренутно расположивим подацима за првих 9 мјесеци 2021. године регистр</w:t>
      </w:r>
      <w:r w:rsidR="000C192B" w:rsidRPr="009E1E82">
        <w:rPr>
          <w:rFonts w:ascii="Times New Roman" w:hAnsi="Times New Roman"/>
          <w:sz w:val="16"/>
          <w:szCs w:val="16"/>
          <w:lang w:val="bs-Cyrl-BA"/>
        </w:rPr>
        <w:t>оване</w:t>
      </w:r>
      <w:r w:rsidR="000C192B" w:rsidRPr="009E1E82">
        <w:rPr>
          <w:rFonts w:ascii="Times New Roman" w:hAnsi="Times New Roman"/>
          <w:sz w:val="16"/>
          <w:szCs w:val="16"/>
        </w:rPr>
        <w:t xml:space="preserve"> стопе економског раста по земљама су износиле: Албанија 10,3%, Црна Гора 12,8%, Србија 7,7%, Сјеверна Македонија 7,7% у односу на исти период претходне године.</w:t>
      </w:r>
    </w:p>
  </w:footnote>
  <w:footnote w:id="4">
    <w:p w14:paraId="3B8A11C7" w14:textId="64CA8497" w:rsidR="00EA0FD7" w:rsidRPr="000C192B" w:rsidRDefault="00EA0FD7" w:rsidP="00EA0FD7">
      <w:pPr>
        <w:pStyle w:val="Funote1"/>
        <w:rPr>
          <w:sz w:val="20"/>
          <w:szCs w:val="20"/>
        </w:rPr>
      </w:pPr>
      <w:bookmarkStart w:id="5" w:name="_Hlk107385180"/>
      <w:r w:rsidRPr="000C192B">
        <w:rPr>
          <w:rStyle w:val="Referencafusnote"/>
          <w:rFonts w:cs="Calibri"/>
          <w:sz w:val="20"/>
          <w:szCs w:val="20"/>
        </w:rPr>
        <w:footnoteRef/>
      </w:r>
      <w:r w:rsidRPr="000C192B">
        <w:rPr>
          <w:sz w:val="20"/>
          <w:szCs w:val="20"/>
        </w:rPr>
        <w:t xml:space="preserve"> </w:t>
      </w:r>
      <w:r w:rsidR="000C192B" w:rsidRPr="000C192B">
        <w:rPr>
          <w:rFonts w:ascii="Times New Roman" w:hAnsi="Times New Roman"/>
          <w:sz w:val="20"/>
          <w:szCs w:val="20"/>
        </w:rPr>
        <w:t>Агенција за статистику Босне и Херцеговине, Саопштење, „</w:t>
      </w:r>
      <w:r w:rsidR="000C192B" w:rsidRPr="000C192B">
        <w:rPr>
          <w:rFonts w:ascii="Times New Roman" w:hAnsi="Times New Roman"/>
          <w:sz w:val="20"/>
          <w:szCs w:val="20"/>
          <w:lang w:val="bs-Cyrl-BA"/>
        </w:rPr>
        <w:t>Спољно</w:t>
      </w:r>
      <w:r w:rsidR="000C192B" w:rsidRPr="000C192B">
        <w:rPr>
          <w:rFonts w:ascii="Times New Roman" w:hAnsi="Times New Roman"/>
          <w:sz w:val="20"/>
          <w:szCs w:val="20"/>
        </w:rPr>
        <w:t>трговинска робна размјена  у Босни и Херцеговини за децембар  2021. године</w:t>
      </w:r>
      <w:r w:rsidR="000C192B" w:rsidRPr="000C192B">
        <w:rPr>
          <w:rFonts w:ascii="Times New Roman" w:hAnsi="Times New Roman"/>
          <w:sz w:val="20"/>
          <w:szCs w:val="20"/>
          <w:lang w:val="bs-Cyrl-BA"/>
        </w:rPr>
        <w:t xml:space="preserve"> </w:t>
      </w:r>
      <w:r w:rsidR="000C192B" w:rsidRPr="000C192B">
        <w:rPr>
          <w:rFonts w:ascii="Times New Roman" w:hAnsi="Times New Roman"/>
          <w:sz w:val="20"/>
          <w:szCs w:val="20"/>
        </w:rPr>
        <w:t>–</w:t>
      </w:r>
      <w:r w:rsidR="000C192B" w:rsidRPr="000C192B">
        <w:rPr>
          <w:rFonts w:ascii="Times New Roman" w:hAnsi="Times New Roman"/>
          <w:sz w:val="20"/>
          <w:szCs w:val="20"/>
          <w:lang w:val="bs-Cyrl-BA"/>
        </w:rPr>
        <w:t xml:space="preserve"> </w:t>
      </w:r>
      <w:r w:rsidR="000C192B" w:rsidRPr="000C192B">
        <w:rPr>
          <w:rFonts w:ascii="Times New Roman" w:hAnsi="Times New Roman"/>
          <w:sz w:val="20"/>
          <w:szCs w:val="20"/>
        </w:rPr>
        <w:t>претходни подаци“, 25.</w:t>
      </w:r>
      <w:r w:rsidR="000C192B" w:rsidRPr="000C192B">
        <w:rPr>
          <w:rFonts w:ascii="Times New Roman" w:hAnsi="Times New Roman"/>
          <w:sz w:val="20"/>
          <w:szCs w:val="20"/>
          <w:lang w:val="bs-Cyrl-BA"/>
        </w:rPr>
        <w:t xml:space="preserve"> </w:t>
      </w:r>
      <w:r w:rsidR="000C192B" w:rsidRPr="000C192B">
        <w:rPr>
          <w:rFonts w:ascii="Times New Roman" w:hAnsi="Times New Roman"/>
          <w:sz w:val="20"/>
          <w:szCs w:val="20"/>
        </w:rPr>
        <w:t>1.</w:t>
      </w:r>
      <w:r w:rsidR="000C192B" w:rsidRPr="000C192B">
        <w:rPr>
          <w:rFonts w:ascii="Times New Roman" w:hAnsi="Times New Roman"/>
          <w:sz w:val="20"/>
          <w:szCs w:val="20"/>
          <w:lang w:val="bs-Cyrl-BA"/>
        </w:rPr>
        <w:t xml:space="preserve"> </w:t>
      </w:r>
      <w:r w:rsidR="000C192B" w:rsidRPr="000C192B">
        <w:rPr>
          <w:rFonts w:ascii="Times New Roman" w:hAnsi="Times New Roman"/>
          <w:sz w:val="20"/>
          <w:szCs w:val="20"/>
        </w:rPr>
        <w:t>2022. године.</w:t>
      </w:r>
    </w:p>
  </w:footnote>
  <w:footnote w:id="5">
    <w:p w14:paraId="3AD8D982" w14:textId="7ED6BEDD" w:rsidR="00EA0FD7" w:rsidRPr="000C192B" w:rsidRDefault="00EA0FD7" w:rsidP="00EA0FD7">
      <w:pPr>
        <w:pStyle w:val="Funote1"/>
        <w:rPr>
          <w:sz w:val="20"/>
          <w:szCs w:val="20"/>
        </w:rPr>
      </w:pPr>
      <w:r w:rsidRPr="000C192B">
        <w:rPr>
          <w:rStyle w:val="Referencafusnote"/>
          <w:rFonts w:ascii="Times New Roman" w:hAnsi="Times New Roman"/>
          <w:sz w:val="20"/>
          <w:szCs w:val="20"/>
        </w:rPr>
        <w:footnoteRef/>
      </w:r>
      <w:r w:rsidRPr="000C192B">
        <w:rPr>
          <w:rFonts w:ascii="Times New Roman" w:hAnsi="Times New Roman"/>
          <w:sz w:val="20"/>
          <w:szCs w:val="20"/>
        </w:rPr>
        <w:t xml:space="preserve"> </w:t>
      </w:r>
      <w:r w:rsidR="000C192B" w:rsidRPr="000C192B">
        <w:rPr>
          <w:rFonts w:ascii="Times New Roman" w:hAnsi="Times New Roman"/>
          <w:sz w:val="20"/>
          <w:szCs w:val="20"/>
        </w:rPr>
        <w:t>Пројекције Дирекције за економско планирање Босне и Херцеговине – ДЕП БиХ, март 2022. године.</w:t>
      </w:r>
    </w:p>
  </w:footnote>
  <w:footnote w:id="6">
    <w:p w14:paraId="2C1D1E61" w14:textId="18E6B318" w:rsidR="00EA0FD7" w:rsidRPr="000C192B" w:rsidRDefault="00EA0FD7" w:rsidP="00EA0FD7">
      <w:pPr>
        <w:pStyle w:val="Funote1"/>
        <w:rPr>
          <w:sz w:val="20"/>
          <w:szCs w:val="20"/>
        </w:rPr>
      </w:pPr>
      <w:r w:rsidRPr="000C192B">
        <w:rPr>
          <w:rStyle w:val="Referencafusnote"/>
          <w:rFonts w:ascii="Times New Roman" w:hAnsi="Times New Roman"/>
          <w:sz w:val="20"/>
          <w:szCs w:val="20"/>
        </w:rPr>
        <w:footnoteRef/>
      </w:r>
      <w:r w:rsidRPr="000C192B">
        <w:rPr>
          <w:rFonts w:ascii="Times New Roman" w:hAnsi="Times New Roman"/>
          <w:sz w:val="20"/>
          <w:szCs w:val="20"/>
        </w:rPr>
        <w:t xml:space="preserve"> </w:t>
      </w:r>
      <w:hyperlink r:id="rId1" w:history="1">
        <w:r w:rsidR="000C192B" w:rsidRPr="000C192B">
          <w:rPr>
            <w:rFonts w:ascii="Times New Roman" w:hAnsi="Times New Roman"/>
            <w:color w:val="0563C1" w:themeColor="hyperlink"/>
            <w:sz w:val="20"/>
            <w:szCs w:val="20"/>
            <w:u w:val="single"/>
          </w:rPr>
          <w:t>https://www.imf.org/en/News/Articles/2022/03/05/pr2261-imf-staff-statement-on-the-economic-impact-of-war-in-ukraine</w:t>
        </w:r>
      </w:hyperlink>
    </w:p>
  </w:footnote>
  <w:footnote w:id="7">
    <w:p w14:paraId="74233405" w14:textId="4A7FB515" w:rsidR="00EA0FD7" w:rsidRPr="000C192B" w:rsidRDefault="00EA0FD7" w:rsidP="00EA0FD7">
      <w:pPr>
        <w:pStyle w:val="Funote1"/>
        <w:rPr>
          <w:lang w:val="bs-Cyrl-BA"/>
        </w:rPr>
      </w:pPr>
      <w:r w:rsidRPr="000C192B">
        <w:rPr>
          <w:rStyle w:val="Referencafusnote"/>
          <w:rFonts w:ascii="Times New Roman" w:hAnsi="Times New Roman"/>
          <w:sz w:val="20"/>
          <w:szCs w:val="20"/>
        </w:rPr>
        <w:footnoteRef/>
      </w:r>
      <w:r w:rsidRPr="000C192B">
        <w:rPr>
          <w:rFonts w:ascii="Times New Roman" w:hAnsi="Times New Roman"/>
          <w:sz w:val="20"/>
          <w:szCs w:val="20"/>
        </w:rPr>
        <w:t xml:space="preserve"> European Commission,“ DG ECFIN, „European Economic Forecast“ Winter 2022 (Interim). February 2022.</w:t>
      </w:r>
    </w:p>
  </w:footnote>
  <w:footnote w:id="8">
    <w:p w14:paraId="058F9A48" w14:textId="32BBB491" w:rsidR="00EA0FD7" w:rsidRPr="000C192B" w:rsidRDefault="00EA0FD7" w:rsidP="00EA0FD7">
      <w:pPr>
        <w:pStyle w:val="Funote1"/>
        <w:rPr>
          <w:sz w:val="18"/>
          <w:szCs w:val="18"/>
        </w:rPr>
      </w:pPr>
      <w:bookmarkStart w:id="6" w:name="_Hlk107385343"/>
      <w:r w:rsidRPr="000C192B">
        <w:rPr>
          <w:rStyle w:val="Referencafusnote"/>
          <w:rFonts w:ascii="Times New Roman" w:hAnsi="Times New Roman"/>
          <w:sz w:val="18"/>
          <w:szCs w:val="18"/>
        </w:rPr>
        <w:footnoteRef/>
      </w:r>
      <w:r w:rsidRPr="000C192B">
        <w:rPr>
          <w:rFonts w:ascii="Times New Roman" w:hAnsi="Times New Roman"/>
          <w:sz w:val="18"/>
          <w:szCs w:val="18"/>
        </w:rPr>
        <w:t xml:space="preserve"> </w:t>
      </w:r>
      <w:bookmarkEnd w:id="6"/>
      <w:r w:rsidR="000C192B" w:rsidRPr="000C192B">
        <w:rPr>
          <w:rFonts w:ascii="Times New Roman" w:hAnsi="Times New Roman"/>
          <w:sz w:val="18"/>
          <w:szCs w:val="18"/>
        </w:rPr>
        <w:t>Детаљније информације о пројекцијама цјеновних кретања у Босни и Херцеговини и свијету за период 2022–2025. године приказан је у посебном поглављу овог извјештаја о цијенама.</w:t>
      </w:r>
    </w:p>
  </w:footnote>
  <w:footnote w:id="9">
    <w:p w14:paraId="711E765F" w14:textId="45D2BF4C" w:rsidR="00EA0FD7" w:rsidRPr="00AE5455" w:rsidRDefault="00EA0FD7" w:rsidP="00EA0FD7">
      <w:pPr>
        <w:pStyle w:val="Funote1"/>
        <w:jc w:val="both"/>
        <w:rPr>
          <w:sz w:val="14"/>
          <w:szCs w:val="14"/>
        </w:rPr>
      </w:pPr>
      <w:bookmarkStart w:id="7" w:name="_Hlk107385519"/>
      <w:r w:rsidRPr="00AE5455">
        <w:rPr>
          <w:rStyle w:val="Referencafusnote"/>
          <w:rFonts w:ascii="Times New Roman" w:hAnsi="Times New Roman"/>
          <w:sz w:val="14"/>
          <w:szCs w:val="14"/>
        </w:rPr>
        <w:footnoteRef/>
      </w:r>
      <w:r w:rsidRPr="00AE5455">
        <w:rPr>
          <w:rFonts w:ascii="Times New Roman" w:hAnsi="Times New Roman"/>
          <w:sz w:val="14"/>
          <w:szCs w:val="14"/>
        </w:rPr>
        <w:t xml:space="preserve"> </w:t>
      </w:r>
      <w:r w:rsidR="000C192B">
        <w:rPr>
          <w:rFonts w:ascii="Times New Roman" w:hAnsi="Times New Roman"/>
          <w:noProof/>
          <w:sz w:val="14"/>
          <w:szCs w:val="14"/>
        </w:rPr>
        <w:t>Привремени</w:t>
      </w:r>
      <w:r w:rsidR="000C192B" w:rsidRPr="008F25D6">
        <w:rPr>
          <w:rFonts w:ascii="Times New Roman" w:hAnsi="Times New Roman"/>
          <w:noProof/>
          <w:sz w:val="14"/>
          <w:szCs w:val="14"/>
        </w:rPr>
        <w:t xml:space="preserve"> </w:t>
      </w:r>
      <w:r w:rsidR="000C192B">
        <w:rPr>
          <w:rFonts w:ascii="Times New Roman" w:hAnsi="Times New Roman"/>
          <w:noProof/>
          <w:sz w:val="14"/>
          <w:szCs w:val="14"/>
        </w:rPr>
        <w:t>податак</w:t>
      </w:r>
      <w:r w:rsidR="000C192B" w:rsidRPr="008F25D6">
        <w:rPr>
          <w:rFonts w:ascii="Times New Roman" w:hAnsi="Times New Roman"/>
          <w:noProof/>
          <w:sz w:val="14"/>
          <w:szCs w:val="14"/>
        </w:rPr>
        <w:t xml:space="preserve">. </w:t>
      </w:r>
      <w:r w:rsidR="000C192B">
        <w:rPr>
          <w:rFonts w:ascii="Times New Roman" w:hAnsi="Times New Roman"/>
          <w:noProof/>
          <w:sz w:val="14"/>
          <w:szCs w:val="14"/>
        </w:rPr>
        <w:t>Почетком</w:t>
      </w:r>
      <w:r w:rsidR="000C192B" w:rsidRPr="008F25D6">
        <w:rPr>
          <w:rFonts w:ascii="Times New Roman" w:hAnsi="Times New Roman"/>
          <w:noProof/>
          <w:sz w:val="14"/>
          <w:szCs w:val="14"/>
        </w:rPr>
        <w:t xml:space="preserve"> </w:t>
      </w:r>
      <w:r w:rsidR="000C192B">
        <w:rPr>
          <w:rFonts w:ascii="Times New Roman" w:hAnsi="Times New Roman"/>
          <w:noProof/>
          <w:sz w:val="14"/>
          <w:szCs w:val="14"/>
        </w:rPr>
        <w:t>јануара</w:t>
      </w:r>
      <w:r w:rsidR="000C192B" w:rsidRPr="008F25D6">
        <w:rPr>
          <w:rFonts w:ascii="Times New Roman" w:hAnsi="Times New Roman"/>
          <w:noProof/>
          <w:sz w:val="14"/>
          <w:szCs w:val="14"/>
        </w:rPr>
        <w:t xml:space="preserve"> 2022. </w:t>
      </w:r>
      <w:r w:rsidR="000C192B">
        <w:rPr>
          <w:rFonts w:ascii="Times New Roman" w:hAnsi="Times New Roman"/>
          <w:noProof/>
          <w:sz w:val="14"/>
          <w:szCs w:val="14"/>
        </w:rPr>
        <w:t>године</w:t>
      </w:r>
      <w:r w:rsidR="000C192B" w:rsidRPr="008F25D6">
        <w:rPr>
          <w:rFonts w:ascii="Times New Roman" w:hAnsi="Times New Roman"/>
          <w:noProof/>
          <w:sz w:val="14"/>
          <w:szCs w:val="14"/>
        </w:rPr>
        <w:t xml:space="preserve"> </w:t>
      </w:r>
      <w:r w:rsidR="000C192B">
        <w:rPr>
          <w:rFonts w:ascii="Times New Roman" w:hAnsi="Times New Roman"/>
          <w:noProof/>
          <w:sz w:val="14"/>
          <w:szCs w:val="14"/>
        </w:rPr>
        <w:t>направљена</w:t>
      </w:r>
      <w:r w:rsidR="000C192B" w:rsidRPr="008F25D6">
        <w:rPr>
          <w:rFonts w:ascii="Times New Roman" w:hAnsi="Times New Roman"/>
          <w:noProof/>
          <w:sz w:val="14"/>
          <w:szCs w:val="14"/>
        </w:rPr>
        <w:t xml:space="preserve"> </w:t>
      </w:r>
      <w:r w:rsidR="000C192B">
        <w:rPr>
          <w:rFonts w:ascii="Times New Roman" w:hAnsi="Times New Roman"/>
          <w:noProof/>
          <w:sz w:val="14"/>
          <w:szCs w:val="14"/>
        </w:rPr>
        <w:t>је</w:t>
      </w:r>
      <w:r w:rsidR="000C192B" w:rsidRPr="008F25D6">
        <w:rPr>
          <w:rFonts w:ascii="Times New Roman" w:hAnsi="Times New Roman"/>
          <w:noProof/>
          <w:sz w:val="14"/>
          <w:szCs w:val="14"/>
        </w:rPr>
        <w:t xml:space="preserve"> </w:t>
      </w:r>
      <w:r w:rsidR="000C192B">
        <w:rPr>
          <w:rFonts w:ascii="Times New Roman" w:hAnsi="Times New Roman"/>
          <w:noProof/>
          <w:sz w:val="14"/>
          <w:szCs w:val="14"/>
        </w:rPr>
        <w:t>корекција</w:t>
      </w:r>
      <w:r w:rsidR="000C192B" w:rsidRPr="008F25D6">
        <w:rPr>
          <w:rFonts w:ascii="Times New Roman" w:hAnsi="Times New Roman"/>
          <w:noProof/>
          <w:sz w:val="14"/>
          <w:szCs w:val="14"/>
        </w:rPr>
        <w:t xml:space="preserve"> </w:t>
      </w:r>
      <w:r w:rsidR="000C192B">
        <w:rPr>
          <w:rFonts w:ascii="Times New Roman" w:hAnsi="Times New Roman"/>
          <w:noProof/>
          <w:sz w:val="14"/>
          <w:szCs w:val="14"/>
        </w:rPr>
        <w:t>објављених</w:t>
      </w:r>
      <w:r w:rsidR="000C192B" w:rsidRPr="008F25D6">
        <w:rPr>
          <w:rFonts w:ascii="Times New Roman" w:hAnsi="Times New Roman"/>
          <w:noProof/>
          <w:sz w:val="14"/>
          <w:szCs w:val="14"/>
        </w:rPr>
        <w:t xml:space="preserve"> </w:t>
      </w:r>
      <w:r w:rsidR="000C192B">
        <w:rPr>
          <w:rFonts w:ascii="Times New Roman" w:hAnsi="Times New Roman"/>
          <w:noProof/>
          <w:sz w:val="14"/>
          <w:szCs w:val="14"/>
        </w:rPr>
        <w:t>података</w:t>
      </w:r>
      <w:r w:rsidR="000C192B" w:rsidRPr="008F25D6">
        <w:rPr>
          <w:rFonts w:ascii="Times New Roman" w:hAnsi="Times New Roman"/>
          <w:noProof/>
          <w:sz w:val="14"/>
          <w:szCs w:val="14"/>
        </w:rPr>
        <w:t xml:space="preserve"> </w:t>
      </w:r>
      <w:r w:rsidR="000C192B">
        <w:rPr>
          <w:rFonts w:ascii="Times New Roman" w:hAnsi="Times New Roman"/>
          <w:noProof/>
          <w:sz w:val="14"/>
          <w:szCs w:val="14"/>
        </w:rPr>
        <w:t>о</w:t>
      </w:r>
      <w:r w:rsidR="000C192B" w:rsidRPr="008F25D6">
        <w:rPr>
          <w:rFonts w:ascii="Times New Roman" w:hAnsi="Times New Roman"/>
          <w:noProof/>
          <w:sz w:val="14"/>
          <w:szCs w:val="14"/>
        </w:rPr>
        <w:t xml:space="preserve"> </w:t>
      </w:r>
      <w:r w:rsidR="000C192B">
        <w:rPr>
          <w:rFonts w:ascii="Times New Roman" w:hAnsi="Times New Roman"/>
          <w:noProof/>
          <w:sz w:val="14"/>
          <w:szCs w:val="14"/>
        </w:rPr>
        <w:t>запосленим</w:t>
      </w:r>
      <w:r w:rsidR="000C192B" w:rsidRPr="008F25D6">
        <w:rPr>
          <w:rFonts w:ascii="Times New Roman" w:hAnsi="Times New Roman"/>
          <w:noProof/>
          <w:sz w:val="14"/>
          <w:szCs w:val="14"/>
        </w:rPr>
        <w:t xml:space="preserve"> </w:t>
      </w:r>
      <w:r w:rsidR="000C192B">
        <w:rPr>
          <w:rFonts w:ascii="Times New Roman" w:hAnsi="Times New Roman"/>
          <w:noProof/>
          <w:sz w:val="14"/>
          <w:szCs w:val="14"/>
        </w:rPr>
        <w:t>особама</w:t>
      </w:r>
      <w:r w:rsidR="000C192B" w:rsidRPr="008F25D6">
        <w:rPr>
          <w:rFonts w:ascii="Times New Roman" w:hAnsi="Times New Roman"/>
          <w:noProof/>
          <w:sz w:val="14"/>
          <w:szCs w:val="14"/>
        </w:rPr>
        <w:t xml:space="preserve">. </w:t>
      </w:r>
      <w:r w:rsidR="000C192B">
        <w:rPr>
          <w:rFonts w:ascii="Times New Roman" w:hAnsi="Times New Roman"/>
          <w:noProof/>
          <w:sz w:val="14"/>
          <w:szCs w:val="14"/>
        </w:rPr>
        <w:t>Стога</w:t>
      </w:r>
      <w:r w:rsidR="000C192B" w:rsidRPr="008F25D6">
        <w:rPr>
          <w:rFonts w:ascii="Times New Roman" w:hAnsi="Times New Roman"/>
          <w:noProof/>
          <w:sz w:val="14"/>
          <w:szCs w:val="14"/>
        </w:rPr>
        <w:t xml:space="preserve"> </w:t>
      </w:r>
      <w:r w:rsidR="000C192B">
        <w:rPr>
          <w:rFonts w:ascii="Times New Roman" w:hAnsi="Times New Roman"/>
          <w:noProof/>
          <w:sz w:val="14"/>
          <w:szCs w:val="14"/>
        </w:rPr>
        <w:t>су</w:t>
      </w:r>
      <w:r w:rsidR="000C192B" w:rsidRPr="008F25D6">
        <w:rPr>
          <w:rFonts w:ascii="Times New Roman" w:hAnsi="Times New Roman"/>
          <w:noProof/>
          <w:sz w:val="14"/>
          <w:szCs w:val="14"/>
        </w:rPr>
        <w:t xml:space="preserve"> </w:t>
      </w:r>
      <w:r w:rsidR="000C192B">
        <w:rPr>
          <w:rFonts w:ascii="Times New Roman" w:hAnsi="Times New Roman"/>
          <w:noProof/>
          <w:sz w:val="14"/>
          <w:szCs w:val="14"/>
        </w:rPr>
        <w:t>подаци</w:t>
      </w:r>
      <w:r w:rsidR="000C192B" w:rsidRPr="008F25D6">
        <w:rPr>
          <w:rFonts w:ascii="Times New Roman" w:hAnsi="Times New Roman"/>
          <w:noProof/>
          <w:sz w:val="14"/>
          <w:szCs w:val="14"/>
        </w:rPr>
        <w:t xml:space="preserve"> </w:t>
      </w:r>
      <w:r w:rsidR="000C192B">
        <w:rPr>
          <w:rFonts w:ascii="Times New Roman" w:hAnsi="Times New Roman"/>
          <w:noProof/>
          <w:sz w:val="14"/>
          <w:szCs w:val="14"/>
        </w:rPr>
        <w:t>до</w:t>
      </w:r>
      <w:r w:rsidR="000C192B" w:rsidRPr="008F25D6">
        <w:rPr>
          <w:rFonts w:ascii="Times New Roman" w:hAnsi="Times New Roman"/>
          <w:noProof/>
          <w:sz w:val="14"/>
          <w:szCs w:val="14"/>
        </w:rPr>
        <w:t xml:space="preserve"> </w:t>
      </w:r>
      <w:r w:rsidR="000C192B">
        <w:rPr>
          <w:rFonts w:ascii="Times New Roman" w:hAnsi="Times New Roman"/>
          <w:noProof/>
          <w:sz w:val="14"/>
          <w:szCs w:val="14"/>
        </w:rPr>
        <w:t>септембра</w:t>
      </w:r>
      <w:r w:rsidR="000C192B" w:rsidRPr="008F25D6">
        <w:rPr>
          <w:rFonts w:ascii="Times New Roman" w:hAnsi="Times New Roman"/>
          <w:noProof/>
          <w:sz w:val="14"/>
          <w:szCs w:val="14"/>
        </w:rPr>
        <w:t xml:space="preserve"> 2021. </w:t>
      </w:r>
      <w:r w:rsidR="000C192B">
        <w:rPr>
          <w:rFonts w:ascii="Times New Roman" w:hAnsi="Times New Roman"/>
          <w:noProof/>
          <w:sz w:val="14"/>
          <w:szCs w:val="14"/>
        </w:rPr>
        <w:t>године</w:t>
      </w:r>
      <w:r w:rsidR="000C192B" w:rsidRPr="008F25D6">
        <w:rPr>
          <w:rFonts w:ascii="Times New Roman" w:hAnsi="Times New Roman"/>
          <w:noProof/>
          <w:sz w:val="14"/>
          <w:szCs w:val="14"/>
        </w:rPr>
        <w:t xml:space="preserve"> </w:t>
      </w:r>
      <w:r w:rsidR="000C192B">
        <w:rPr>
          <w:rFonts w:ascii="Times New Roman" w:hAnsi="Times New Roman"/>
          <w:noProof/>
          <w:sz w:val="14"/>
          <w:szCs w:val="14"/>
        </w:rPr>
        <w:t>коначни</w:t>
      </w:r>
      <w:r w:rsidR="000C192B" w:rsidRPr="008F25D6">
        <w:rPr>
          <w:rFonts w:ascii="Times New Roman" w:hAnsi="Times New Roman"/>
          <w:noProof/>
          <w:sz w:val="14"/>
          <w:szCs w:val="14"/>
        </w:rPr>
        <w:t xml:space="preserve">, </w:t>
      </w:r>
      <w:r w:rsidR="000C192B">
        <w:rPr>
          <w:rFonts w:ascii="Times New Roman" w:hAnsi="Times New Roman"/>
          <w:noProof/>
          <w:sz w:val="14"/>
          <w:szCs w:val="14"/>
        </w:rPr>
        <w:t>а</w:t>
      </w:r>
      <w:r w:rsidR="000C192B" w:rsidRPr="008F25D6">
        <w:rPr>
          <w:rFonts w:ascii="Times New Roman" w:hAnsi="Times New Roman"/>
          <w:noProof/>
          <w:sz w:val="14"/>
          <w:szCs w:val="14"/>
        </w:rPr>
        <w:t xml:space="preserve"> </w:t>
      </w:r>
      <w:r w:rsidR="000C192B">
        <w:rPr>
          <w:rFonts w:ascii="Times New Roman" w:hAnsi="Times New Roman"/>
          <w:noProof/>
          <w:sz w:val="14"/>
          <w:szCs w:val="14"/>
        </w:rPr>
        <w:t>за</w:t>
      </w:r>
      <w:r w:rsidR="000C192B" w:rsidRPr="008F25D6">
        <w:rPr>
          <w:rFonts w:ascii="Times New Roman" w:hAnsi="Times New Roman"/>
          <w:noProof/>
          <w:sz w:val="14"/>
          <w:szCs w:val="14"/>
        </w:rPr>
        <w:t xml:space="preserve"> </w:t>
      </w:r>
      <w:r w:rsidR="000C192B">
        <w:rPr>
          <w:rFonts w:ascii="Times New Roman" w:hAnsi="Times New Roman"/>
          <w:noProof/>
          <w:sz w:val="14"/>
          <w:szCs w:val="14"/>
        </w:rPr>
        <w:t>остале</w:t>
      </w:r>
      <w:r w:rsidR="000C192B" w:rsidRPr="008F25D6">
        <w:rPr>
          <w:rFonts w:ascii="Times New Roman" w:hAnsi="Times New Roman"/>
          <w:noProof/>
          <w:sz w:val="14"/>
          <w:szCs w:val="14"/>
        </w:rPr>
        <w:t xml:space="preserve"> </w:t>
      </w:r>
      <w:r w:rsidR="000C192B">
        <w:rPr>
          <w:rFonts w:ascii="Times New Roman" w:hAnsi="Times New Roman"/>
          <w:noProof/>
          <w:sz w:val="14"/>
          <w:szCs w:val="14"/>
        </w:rPr>
        <w:t>мјесеце</w:t>
      </w:r>
      <w:r w:rsidR="000C192B" w:rsidRPr="008F25D6">
        <w:rPr>
          <w:rFonts w:ascii="Times New Roman" w:hAnsi="Times New Roman"/>
          <w:noProof/>
          <w:sz w:val="14"/>
          <w:szCs w:val="14"/>
        </w:rPr>
        <w:t xml:space="preserve"> </w:t>
      </w:r>
      <w:r w:rsidR="000C192B">
        <w:rPr>
          <w:rFonts w:ascii="Times New Roman" w:hAnsi="Times New Roman"/>
          <w:noProof/>
          <w:sz w:val="14"/>
          <w:szCs w:val="14"/>
        </w:rPr>
        <w:t>привремени</w:t>
      </w:r>
      <w:r w:rsidR="000C192B" w:rsidRPr="008F25D6">
        <w:rPr>
          <w:rFonts w:ascii="Times New Roman" w:hAnsi="Times New Roman"/>
          <w:noProof/>
          <w:sz w:val="14"/>
          <w:szCs w:val="14"/>
        </w:rPr>
        <w:t>.</w:t>
      </w:r>
    </w:p>
  </w:footnote>
  <w:footnote w:id="10">
    <w:p w14:paraId="57C4073A" w14:textId="3EBC356C" w:rsidR="00EA0FD7" w:rsidRPr="000C192B" w:rsidRDefault="00EA0FD7" w:rsidP="000C192B">
      <w:pPr>
        <w:rPr>
          <w:rFonts w:ascii="Times New Roman" w:hAnsi="Times New Roman" w:cs="Times New Roman"/>
        </w:rPr>
      </w:pPr>
      <w:r w:rsidRPr="000C192B">
        <w:rPr>
          <w:rStyle w:val="Referencafusnote"/>
          <w:rFonts w:ascii="Times New Roman" w:hAnsi="Times New Roman" w:cs="Times New Roman"/>
          <w:sz w:val="14"/>
          <w:szCs w:val="14"/>
        </w:rPr>
        <w:footnoteRef/>
      </w:r>
      <w:r w:rsidRPr="000C192B">
        <w:rPr>
          <w:rFonts w:ascii="Times New Roman" w:hAnsi="Times New Roman" w:cs="Times New Roman"/>
          <w:sz w:val="14"/>
          <w:szCs w:val="14"/>
          <w:shd w:val="clear" w:color="auto" w:fill="FFFFFF"/>
          <w:lang w:eastAsia="bs-Latn-BA"/>
        </w:rPr>
        <w:t xml:space="preserve"> </w:t>
      </w:r>
      <w:r w:rsidR="000C192B" w:rsidRPr="000C192B">
        <w:rPr>
          <w:rFonts w:ascii="Times New Roman" w:hAnsi="Times New Roman" w:cs="Times New Roman"/>
          <w:sz w:val="14"/>
          <w:szCs w:val="14"/>
          <w:shd w:val="clear" w:color="auto" w:fill="FFFFFF"/>
          <w:lang w:eastAsia="bs-Latn-BA"/>
        </w:rPr>
        <w:t>У јануару 2022. године просјечна нето плата у Федерацији Босне и Херцеговине је увећана номинално за 7,3%, а у Републици Српској 8,3% г/г. У Републици Српској је половином и крајем 2021. године усвојен сет закона који доприносе расту просјечне нето плате. Детаљније на:</w:t>
      </w:r>
      <w:r w:rsidR="000C192B" w:rsidRPr="000C192B">
        <w:rPr>
          <w:rFonts w:ascii="Times New Roman" w:hAnsi="Times New Roman" w:cs="Times New Roman"/>
        </w:rPr>
        <w:t xml:space="preserve"> </w:t>
      </w:r>
      <w:hyperlink r:id="rId2" w:history="1">
        <w:r w:rsidR="000C192B" w:rsidRPr="000C192B">
          <w:rPr>
            <w:rStyle w:val="Hiperveza"/>
            <w:rFonts w:ascii="Times New Roman" w:hAnsi="Times New Roman" w:cs="Times New Roman"/>
            <w:sz w:val="14"/>
            <w:szCs w:val="14"/>
            <w:shd w:val="clear" w:color="auto" w:fill="FFFFFF"/>
            <w:lang w:eastAsia="bs-Latn-BA"/>
          </w:rPr>
          <w:t>https://www.narodnaskupstinars.net/?q=la/vijesti/narodna-skup%C5%A1tina-usvojila-set-zakona-o-pove%C4%87anju-plata-u-srpskoj</w:t>
        </w:r>
      </w:hyperlink>
      <w:r w:rsidRPr="000C192B">
        <w:rPr>
          <w:rFonts w:ascii="Times New Roman" w:hAnsi="Times New Roman" w:cs="Times New Roman"/>
          <w:sz w:val="14"/>
          <w:szCs w:val="14"/>
          <w:shd w:val="clear" w:color="auto" w:fill="FFFFFF"/>
          <w:lang w:eastAsia="bs-Latn-BA"/>
        </w:rPr>
        <w:t xml:space="preserve"> </w:t>
      </w:r>
      <w:hyperlink r:id="rId3" w:history="1">
        <w:r w:rsidR="000C192B" w:rsidRPr="00DA6442">
          <w:rPr>
            <w:rStyle w:val="Hiperveza"/>
            <w:sz w:val="14"/>
            <w:szCs w:val="14"/>
            <w:shd w:val="clear" w:color="auto" w:fill="FFFFFF"/>
            <w:lang w:eastAsia="bs-Latn-BA"/>
          </w:rPr>
          <w:t>https://www.narodnaskupstinars.net/?q=la/vijesti/okon%C4%8Dana-26-posebna-sjednica-usvojen-bud%C5%BEet-i-set-zakona-o-pove%C4%87anju-plata</w:t>
        </w:r>
      </w:hyperlink>
      <w:r w:rsidRPr="00AE5455">
        <w:rPr>
          <w:sz w:val="14"/>
          <w:szCs w:val="14"/>
          <w:shd w:val="clear" w:color="auto" w:fill="FFFFFF"/>
          <w:lang w:eastAsia="bs-Latn-BA"/>
        </w:rPr>
        <w:t xml:space="preserve"> </w:t>
      </w:r>
      <w:bookmarkStart w:id="8" w:name="_Hlk107385661"/>
      <w:r w:rsidR="000C192B" w:rsidRPr="000C192B">
        <w:rPr>
          <w:sz w:val="14"/>
          <w:szCs w:val="14"/>
          <w:shd w:val="clear" w:color="auto" w:fill="FFFFFF"/>
          <w:lang w:eastAsia="bs-Latn-BA"/>
        </w:rPr>
        <w:t>У Федерацији Босне и Херцеговине такође је усвојена Одлуку о повећању најниже плате од 2022. године. Извор:</w:t>
      </w:r>
      <w:bookmarkEnd w:id="8"/>
      <w:r w:rsidR="000C192B">
        <w:t xml:space="preserve"> </w:t>
      </w:r>
      <w:hyperlink r:id="rId4" w:history="1">
        <w:r w:rsidR="000C192B" w:rsidRPr="00DA6442">
          <w:rPr>
            <w:rStyle w:val="Hiperveza"/>
            <w:sz w:val="14"/>
            <w:szCs w:val="14"/>
            <w:shd w:val="clear" w:color="auto" w:fill="FFFFFF"/>
            <w:lang w:eastAsia="bs-Latn-BA"/>
          </w:rPr>
          <w:t>http://www.upfbih.ba/vlada-fbih-utvrdila-iznos-najnize-place-u-fbih</w:t>
        </w:r>
      </w:hyperlink>
      <w:r w:rsidRPr="00AE5455">
        <w:rPr>
          <w:sz w:val="14"/>
          <w:szCs w:val="14"/>
          <w:shd w:val="clear" w:color="auto" w:fill="FFFFFF"/>
          <w:lang w:eastAsia="bs-Latn-BA"/>
        </w:rPr>
        <w:t xml:space="preserve"> </w:t>
      </w:r>
    </w:p>
  </w:footnote>
  <w:footnote w:id="11">
    <w:p w14:paraId="16562C04" w14:textId="7040C9E9" w:rsidR="00EA0FD7" w:rsidRDefault="00EA0FD7" w:rsidP="000C192B">
      <w:pPr>
        <w:spacing w:after="0" w:line="240" w:lineRule="auto"/>
        <w:jc w:val="both"/>
      </w:pPr>
      <w:r w:rsidRPr="00AE5455">
        <w:rPr>
          <w:rStyle w:val="Referencafusnote"/>
          <w:rFonts w:ascii="Times New Roman" w:hAnsi="Times New Roman"/>
          <w:sz w:val="14"/>
          <w:szCs w:val="14"/>
          <w:lang w:val="sr-Latn-BA"/>
        </w:rPr>
        <w:footnoteRef/>
      </w:r>
      <w:r w:rsidRPr="00AE5455">
        <w:rPr>
          <w:rFonts w:ascii="Times New Roman" w:hAnsi="Times New Roman"/>
          <w:sz w:val="14"/>
          <w:szCs w:val="14"/>
          <w:lang w:val="sr-Latn-BA"/>
        </w:rPr>
        <w:t xml:space="preserve"> </w:t>
      </w:r>
      <w:bookmarkStart w:id="9" w:name="_Hlk107385723"/>
      <w:r w:rsidR="000C192B" w:rsidRPr="000C192B">
        <w:rPr>
          <w:rFonts w:ascii="Times New Roman" w:hAnsi="Times New Roman"/>
          <w:sz w:val="14"/>
          <w:szCs w:val="14"/>
          <w:lang w:val="sr-Latn-BA"/>
        </w:rPr>
        <w:t>Од</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наведених</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ризика</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ће</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завис</w:t>
      </w:r>
      <w:r w:rsidR="000C192B">
        <w:rPr>
          <w:rFonts w:ascii="Times New Roman" w:hAnsi="Times New Roman"/>
          <w:sz w:val="14"/>
          <w:szCs w:val="14"/>
          <w:lang w:val="bs-Cyrl-BA"/>
        </w:rPr>
        <w:t>и</w:t>
      </w:r>
      <w:r w:rsidR="000C192B" w:rsidRPr="000C192B">
        <w:rPr>
          <w:rFonts w:ascii="Times New Roman" w:hAnsi="Times New Roman"/>
          <w:sz w:val="14"/>
          <w:szCs w:val="14"/>
          <w:lang w:val="sr-Latn-BA"/>
        </w:rPr>
        <w:t>ти</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да</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ли</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ће</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стопе</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раста</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броја</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запослених</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лица</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и</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нето</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плата</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бити</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брже</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или</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спорије</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од</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претпостављених</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у</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основном</w:t>
      </w:r>
      <w:r w:rsidR="000C192B" w:rsidRPr="008F25D6">
        <w:rPr>
          <w:rFonts w:ascii="Times New Roman" w:hAnsi="Times New Roman"/>
          <w:sz w:val="14"/>
          <w:szCs w:val="14"/>
          <w:lang w:val="sr-Latn-BA"/>
        </w:rPr>
        <w:t xml:space="preserve"> </w:t>
      </w:r>
      <w:r w:rsidR="000C192B" w:rsidRPr="000C192B">
        <w:rPr>
          <w:rFonts w:ascii="Times New Roman" w:hAnsi="Times New Roman"/>
          <w:sz w:val="14"/>
          <w:szCs w:val="14"/>
          <w:lang w:val="sr-Latn-BA"/>
        </w:rPr>
        <w:t>сценарију</w:t>
      </w:r>
      <w:r w:rsidR="000C192B" w:rsidRPr="008F25D6">
        <w:rPr>
          <w:rFonts w:ascii="Times New Roman" w:hAnsi="Times New Roman"/>
          <w:sz w:val="14"/>
          <w:szCs w:val="14"/>
          <w:lang w:val="sr-Latn-BA"/>
        </w:rPr>
        <w:t>.</w:t>
      </w:r>
    </w:p>
  </w:footnote>
  <w:footnote w:id="12">
    <w:p w14:paraId="02E3572B" w14:textId="4F99DE29" w:rsidR="00EA0FD7" w:rsidRDefault="00EA0FD7" w:rsidP="00EA0FD7">
      <w:pPr>
        <w:pStyle w:val="Funote1"/>
        <w:jc w:val="both"/>
      </w:pPr>
      <w:r>
        <w:rPr>
          <w:rStyle w:val="Referencafusnote"/>
          <w:rFonts w:ascii="Times New Roman" w:hAnsi="Times New Roman"/>
          <w:sz w:val="18"/>
          <w:szCs w:val="18"/>
        </w:rPr>
        <w:footnoteRef/>
      </w:r>
      <w:r>
        <w:rPr>
          <w:rFonts w:ascii="Times New Roman" w:hAnsi="Times New Roman"/>
          <w:sz w:val="18"/>
          <w:szCs w:val="18"/>
        </w:rPr>
        <w:t xml:space="preserve"> </w:t>
      </w:r>
      <w:r w:rsidR="000C192B">
        <w:rPr>
          <w:rFonts w:ascii="Times New Roman" w:hAnsi="Times New Roman"/>
          <w:sz w:val="14"/>
          <w:szCs w:val="14"/>
        </w:rPr>
        <w:t>У</w:t>
      </w:r>
      <w:r w:rsidR="000C192B" w:rsidRPr="008F25D6">
        <w:rPr>
          <w:rFonts w:ascii="Times New Roman" w:hAnsi="Times New Roman"/>
          <w:sz w:val="14"/>
          <w:szCs w:val="14"/>
        </w:rPr>
        <w:t xml:space="preserve"> </w:t>
      </w:r>
      <w:r w:rsidR="000C192B">
        <w:rPr>
          <w:rFonts w:ascii="Times New Roman" w:hAnsi="Times New Roman"/>
          <w:sz w:val="14"/>
          <w:szCs w:val="14"/>
        </w:rPr>
        <w:t>анализи</w:t>
      </w:r>
      <w:r w:rsidR="000C192B" w:rsidRPr="008F25D6">
        <w:rPr>
          <w:rFonts w:ascii="Times New Roman" w:hAnsi="Times New Roman"/>
          <w:sz w:val="14"/>
          <w:szCs w:val="14"/>
        </w:rPr>
        <w:t xml:space="preserve"> </w:t>
      </w:r>
      <w:r w:rsidR="000C192B">
        <w:rPr>
          <w:rFonts w:ascii="Times New Roman" w:hAnsi="Times New Roman"/>
          <w:sz w:val="14"/>
          <w:szCs w:val="14"/>
        </w:rPr>
        <w:t>се</w:t>
      </w:r>
      <w:r w:rsidR="000C192B" w:rsidRPr="008F25D6">
        <w:rPr>
          <w:rFonts w:ascii="Times New Roman" w:hAnsi="Times New Roman"/>
          <w:sz w:val="14"/>
          <w:szCs w:val="14"/>
        </w:rPr>
        <w:t xml:space="preserve"> </w:t>
      </w:r>
      <w:r w:rsidR="000C192B">
        <w:rPr>
          <w:rFonts w:ascii="Times New Roman" w:hAnsi="Times New Roman"/>
          <w:sz w:val="14"/>
          <w:szCs w:val="14"/>
        </w:rPr>
        <w:t>мисли</w:t>
      </w:r>
      <w:r w:rsidR="000C192B" w:rsidRPr="008F25D6">
        <w:rPr>
          <w:rFonts w:ascii="Times New Roman" w:hAnsi="Times New Roman"/>
          <w:sz w:val="14"/>
          <w:szCs w:val="14"/>
        </w:rPr>
        <w:t xml:space="preserve"> </w:t>
      </w:r>
      <w:r w:rsidR="000C192B">
        <w:rPr>
          <w:rFonts w:ascii="Times New Roman" w:hAnsi="Times New Roman"/>
          <w:sz w:val="14"/>
          <w:szCs w:val="14"/>
        </w:rPr>
        <w:t>на</w:t>
      </w:r>
      <w:r w:rsidR="000C192B" w:rsidRPr="008F25D6">
        <w:rPr>
          <w:rFonts w:ascii="Times New Roman" w:hAnsi="Times New Roman"/>
          <w:sz w:val="14"/>
          <w:szCs w:val="14"/>
        </w:rPr>
        <w:t xml:space="preserve"> </w:t>
      </w:r>
      <w:r w:rsidR="000C192B">
        <w:rPr>
          <w:rFonts w:ascii="Times New Roman" w:hAnsi="Times New Roman"/>
          <w:sz w:val="14"/>
          <w:szCs w:val="14"/>
        </w:rPr>
        <w:t>дјелатности</w:t>
      </w:r>
      <w:r w:rsidR="000C192B" w:rsidRPr="008F25D6">
        <w:rPr>
          <w:rFonts w:ascii="Times New Roman" w:hAnsi="Times New Roman"/>
          <w:sz w:val="14"/>
          <w:szCs w:val="14"/>
        </w:rPr>
        <w:t xml:space="preserve"> </w:t>
      </w:r>
      <w:r w:rsidR="000C192B">
        <w:rPr>
          <w:rFonts w:ascii="Times New Roman" w:hAnsi="Times New Roman"/>
          <w:sz w:val="14"/>
          <w:szCs w:val="14"/>
        </w:rPr>
        <w:t>јавне</w:t>
      </w:r>
      <w:r w:rsidR="000C192B" w:rsidRPr="008F25D6">
        <w:rPr>
          <w:rFonts w:ascii="Times New Roman" w:hAnsi="Times New Roman"/>
          <w:sz w:val="14"/>
          <w:szCs w:val="14"/>
        </w:rPr>
        <w:t xml:space="preserve"> </w:t>
      </w:r>
      <w:r w:rsidR="000C192B">
        <w:rPr>
          <w:rFonts w:ascii="Times New Roman" w:hAnsi="Times New Roman"/>
          <w:sz w:val="14"/>
          <w:szCs w:val="14"/>
        </w:rPr>
        <w:t>управе</w:t>
      </w:r>
      <w:r w:rsidR="000C192B" w:rsidRPr="008F25D6">
        <w:rPr>
          <w:rFonts w:ascii="Times New Roman" w:hAnsi="Times New Roman"/>
          <w:sz w:val="14"/>
          <w:szCs w:val="14"/>
        </w:rPr>
        <w:t xml:space="preserve">, </w:t>
      </w:r>
      <w:r w:rsidR="000C192B">
        <w:rPr>
          <w:rFonts w:ascii="Times New Roman" w:hAnsi="Times New Roman"/>
          <w:sz w:val="14"/>
          <w:szCs w:val="14"/>
        </w:rPr>
        <w:t>здравста</w:t>
      </w:r>
      <w:r w:rsidR="000C192B" w:rsidRPr="008F25D6">
        <w:rPr>
          <w:rFonts w:ascii="Times New Roman" w:hAnsi="Times New Roman"/>
          <w:sz w:val="14"/>
          <w:szCs w:val="14"/>
        </w:rPr>
        <w:t xml:space="preserve"> </w:t>
      </w:r>
      <w:r w:rsidR="000C192B">
        <w:rPr>
          <w:rFonts w:ascii="Times New Roman" w:hAnsi="Times New Roman"/>
          <w:sz w:val="14"/>
          <w:szCs w:val="14"/>
        </w:rPr>
        <w:t>и</w:t>
      </w:r>
      <w:r w:rsidR="000C192B" w:rsidRPr="008F25D6">
        <w:rPr>
          <w:rFonts w:ascii="Times New Roman" w:hAnsi="Times New Roman"/>
          <w:sz w:val="14"/>
          <w:szCs w:val="14"/>
        </w:rPr>
        <w:t xml:space="preserve"> </w:t>
      </w:r>
      <w:r w:rsidR="000C192B">
        <w:rPr>
          <w:rFonts w:ascii="Times New Roman" w:hAnsi="Times New Roman"/>
          <w:sz w:val="14"/>
          <w:szCs w:val="14"/>
        </w:rPr>
        <w:t>образовања</w:t>
      </w:r>
      <w:r w:rsidR="000C192B" w:rsidRPr="008F25D6">
        <w:rPr>
          <w:rFonts w:ascii="Times New Roman" w:hAnsi="Times New Roman"/>
          <w:sz w:val="14"/>
          <w:szCs w:val="14"/>
        </w:rPr>
        <w:t>.</w:t>
      </w:r>
    </w:p>
  </w:footnote>
  <w:footnote w:id="13">
    <w:p w14:paraId="68346AF8" w14:textId="77777777" w:rsidR="0078010E" w:rsidRPr="0078010E" w:rsidRDefault="00EA0FD7" w:rsidP="0078010E">
      <w:r>
        <w:rPr>
          <w:rStyle w:val="Referencafusnote"/>
          <w:rFonts w:ascii="Times New Roman" w:hAnsi="Times New Roman"/>
          <w:sz w:val="18"/>
          <w:szCs w:val="18"/>
        </w:rPr>
        <w:footnoteRef/>
      </w:r>
      <w:r>
        <w:rPr>
          <w:rFonts w:ascii="Times New Roman" w:hAnsi="Times New Roman"/>
          <w:sz w:val="18"/>
          <w:szCs w:val="18"/>
        </w:rPr>
        <w:t xml:space="preserve"> </w:t>
      </w:r>
      <w:r w:rsidR="0078010E" w:rsidRPr="0078010E">
        <w:rPr>
          <w:rFonts w:ascii="Times New Roman" w:hAnsi="Times New Roman"/>
          <w:sz w:val="18"/>
          <w:szCs w:val="18"/>
        </w:rPr>
        <w:t>Поређе</w:t>
      </w:r>
      <w:r w:rsidR="0078010E" w:rsidRPr="0078010E">
        <w:rPr>
          <w:rFonts w:ascii="Times New Roman" w:hAnsi="Times New Roman"/>
          <w:sz w:val="18"/>
          <w:szCs w:val="18"/>
          <w:lang w:val="bs-Cyrl-BA"/>
        </w:rPr>
        <w:t>њ</w:t>
      </w:r>
      <w:r w:rsidR="0078010E" w:rsidRPr="0078010E">
        <w:rPr>
          <w:rFonts w:ascii="Times New Roman" w:hAnsi="Times New Roman"/>
          <w:sz w:val="18"/>
          <w:szCs w:val="18"/>
        </w:rPr>
        <w:t>а ради, у 2019. години стопа незапослености у е</w:t>
      </w:r>
      <w:r w:rsidR="0078010E" w:rsidRPr="0078010E">
        <w:rPr>
          <w:rFonts w:ascii="Times New Roman" w:hAnsi="Times New Roman"/>
          <w:sz w:val="18"/>
          <w:szCs w:val="18"/>
          <w:lang w:val="bs-Cyrl-BA"/>
        </w:rPr>
        <w:t>в</w:t>
      </w:r>
      <w:r w:rsidR="0078010E" w:rsidRPr="0078010E">
        <w:rPr>
          <w:rFonts w:ascii="Times New Roman" w:hAnsi="Times New Roman"/>
          <w:sz w:val="18"/>
          <w:szCs w:val="18"/>
        </w:rPr>
        <w:t>ро</w:t>
      </w:r>
      <w:r w:rsidR="0078010E" w:rsidRPr="0078010E">
        <w:rPr>
          <w:rFonts w:ascii="Times New Roman" w:hAnsi="Times New Roman"/>
          <w:sz w:val="18"/>
          <w:szCs w:val="18"/>
          <w:lang w:val="bs-Cyrl-BA"/>
        </w:rPr>
        <w:t xml:space="preserve"> </w:t>
      </w:r>
      <w:r w:rsidR="0078010E" w:rsidRPr="0078010E">
        <w:rPr>
          <w:rFonts w:ascii="Times New Roman" w:hAnsi="Times New Roman"/>
          <w:sz w:val="18"/>
          <w:szCs w:val="18"/>
        </w:rPr>
        <w:t xml:space="preserve">зони износила </w:t>
      </w:r>
      <w:r w:rsidR="0078010E" w:rsidRPr="0078010E">
        <w:rPr>
          <w:rFonts w:ascii="Times New Roman" w:hAnsi="Times New Roman"/>
          <w:sz w:val="18"/>
          <w:szCs w:val="18"/>
          <w:lang w:val="bs-Cyrl-BA"/>
        </w:rPr>
        <w:t xml:space="preserve">је </w:t>
      </w:r>
      <w:r w:rsidR="0078010E" w:rsidRPr="0078010E">
        <w:rPr>
          <w:rFonts w:ascii="Times New Roman" w:hAnsi="Times New Roman"/>
          <w:sz w:val="18"/>
          <w:szCs w:val="18"/>
        </w:rPr>
        <w:t>7,5%.</w:t>
      </w:r>
    </w:p>
    <w:p w14:paraId="6693CB8F" w14:textId="02C18C50" w:rsidR="00EA0FD7" w:rsidRDefault="00EA0FD7" w:rsidP="00EA0FD7">
      <w:pPr>
        <w:pStyle w:val="Funote1"/>
      </w:pPr>
    </w:p>
  </w:footnote>
  <w:footnote w:id="14">
    <w:p w14:paraId="4EF51CF8" w14:textId="0DB0BEBF" w:rsidR="00EA0FD7" w:rsidRPr="0078010E" w:rsidRDefault="00EA0FD7" w:rsidP="0078010E">
      <w:pPr>
        <w:spacing w:after="0" w:line="240" w:lineRule="auto"/>
        <w:rPr>
          <w:sz w:val="16"/>
          <w:szCs w:val="16"/>
        </w:rPr>
      </w:pPr>
      <w:bookmarkStart w:id="10" w:name="_Hlk107391374"/>
      <w:r w:rsidRPr="0078010E">
        <w:rPr>
          <w:rStyle w:val="Referencafusnote"/>
          <w:rFonts w:ascii="Times New Roman" w:hAnsi="Times New Roman"/>
          <w:sz w:val="16"/>
          <w:szCs w:val="16"/>
        </w:rPr>
        <w:footnoteRef/>
      </w:r>
      <w:r w:rsidRPr="0078010E">
        <w:rPr>
          <w:rFonts w:ascii="Times New Roman" w:hAnsi="Times New Roman"/>
          <w:sz w:val="16"/>
          <w:szCs w:val="16"/>
        </w:rPr>
        <w:t xml:space="preserve"> </w:t>
      </w:r>
      <w:r w:rsidR="0078010E" w:rsidRPr="0078010E">
        <w:rPr>
          <w:rFonts w:ascii="Times New Roman" w:hAnsi="Times New Roman"/>
          <w:sz w:val="16"/>
          <w:szCs w:val="16"/>
        </w:rPr>
        <w:t>Према</w:t>
      </w:r>
      <w:r w:rsidR="0078010E" w:rsidRPr="00A64B54">
        <w:rPr>
          <w:rFonts w:ascii="Times New Roman" w:hAnsi="Times New Roman"/>
          <w:sz w:val="16"/>
          <w:szCs w:val="16"/>
        </w:rPr>
        <w:t xml:space="preserve"> </w:t>
      </w:r>
      <w:r w:rsidR="0078010E" w:rsidRPr="0078010E">
        <w:rPr>
          <w:rFonts w:ascii="Times New Roman" w:hAnsi="Times New Roman"/>
          <w:sz w:val="16"/>
          <w:szCs w:val="16"/>
        </w:rPr>
        <w:t>пројекцијама</w:t>
      </w:r>
      <w:r w:rsidR="0078010E" w:rsidRPr="00A64B54">
        <w:rPr>
          <w:rFonts w:ascii="Times New Roman" w:hAnsi="Times New Roman"/>
          <w:sz w:val="16"/>
          <w:szCs w:val="16"/>
        </w:rPr>
        <w:t xml:space="preserve"> </w:t>
      </w:r>
      <w:r w:rsidR="0078010E" w:rsidRPr="0078010E">
        <w:rPr>
          <w:rFonts w:ascii="Times New Roman" w:hAnsi="Times New Roman"/>
          <w:sz w:val="16"/>
          <w:szCs w:val="16"/>
        </w:rPr>
        <w:t>ЕЦБ</w:t>
      </w:r>
    </w:p>
  </w:footnote>
  <w:footnote w:id="15">
    <w:p w14:paraId="2C6535C7" w14:textId="06DC9873" w:rsidR="00EA0FD7" w:rsidRPr="0078010E" w:rsidRDefault="00EA0FD7" w:rsidP="00EA0FD7">
      <w:pPr>
        <w:pStyle w:val="Funote1"/>
        <w:rPr>
          <w:sz w:val="16"/>
          <w:szCs w:val="16"/>
        </w:rPr>
      </w:pPr>
      <w:r w:rsidRPr="0078010E">
        <w:rPr>
          <w:rStyle w:val="Referencafusnote"/>
          <w:rFonts w:ascii="Times New Roman" w:hAnsi="Times New Roman"/>
          <w:sz w:val="16"/>
          <w:szCs w:val="16"/>
        </w:rPr>
        <w:footnoteRef/>
      </w:r>
      <w:r w:rsidRPr="0078010E">
        <w:rPr>
          <w:rFonts w:ascii="Times New Roman" w:hAnsi="Times New Roman"/>
          <w:sz w:val="16"/>
          <w:szCs w:val="16"/>
        </w:rPr>
        <w:t xml:space="preserve"> </w:t>
      </w:r>
      <w:r w:rsidR="0078010E" w:rsidRPr="0078010E">
        <w:rPr>
          <w:rFonts w:ascii="Times New Roman" w:hAnsi="Times New Roman"/>
          <w:sz w:val="16"/>
          <w:szCs w:val="16"/>
        </w:rPr>
        <w:t>Према</w:t>
      </w:r>
      <w:r w:rsidR="0078010E" w:rsidRPr="00A64B54">
        <w:rPr>
          <w:rFonts w:ascii="Times New Roman" w:hAnsi="Times New Roman"/>
          <w:sz w:val="16"/>
          <w:szCs w:val="16"/>
        </w:rPr>
        <w:t xml:space="preserve"> </w:t>
      </w:r>
      <w:r w:rsidR="0078010E" w:rsidRPr="0078010E">
        <w:rPr>
          <w:rFonts w:ascii="Times New Roman" w:hAnsi="Times New Roman"/>
          <w:sz w:val="16"/>
          <w:szCs w:val="16"/>
        </w:rPr>
        <w:t>пројекцијама</w:t>
      </w:r>
      <w:r w:rsidR="0078010E" w:rsidRPr="00A64B54">
        <w:rPr>
          <w:rFonts w:ascii="Times New Roman" w:hAnsi="Times New Roman"/>
          <w:sz w:val="16"/>
          <w:szCs w:val="16"/>
        </w:rPr>
        <w:t xml:space="preserve"> </w:t>
      </w:r>
      <w:r w:rsidR="0078010E" w:rsidRPr="0078010E">
        <w:rPr>
          <w:rFonts w:ascii="Times New Roman" w:hAnsi="Times New Roman"/>
          <w:sz w:val="16"/>
          <w:szCs w:val="16"/>
        </w:rPr>
        <w:t>ЕЦБ</w:t>
      </w:r>
      <w:r w:rsidR="0078010E" w:rsidRPr="00A64B54">
        <w:rPr>
          <w:rFonts w:ascii="Times New Roman" w:hAnsi="Times New Roman"/>
          <w:sz w:val="16"/>
          <w:szCs w:val="16"/>
        </w:rPr>
        <w:t xml:space="preserve"> </w:t>
      </w:r>
      <w:r w:rsidR="0078010E" w:rsidRPr="0078010E">
        <w:rPr>
          <w:rFonts w:ascii="Times New Roman" w:hAnsi="Times New Roman"/>
          <w:sz w:val="16"/>
          <w:szCs w:val="16"/>
        </w:rPr>
        <w:t>за</w:t>
      </w:r>
      <w:r w:rsidR="0078010E" w:rsidRPr="00A64B54">
        <w:rPr>
          <w:rFonts w:ascii="Times New Roman" w:hAnsi="Times New Roman"/>
          <w:sz w:val="16"/>
          <w:szCs w:val="16"/>
        </w:rPr>
        <w:t xml:space="preserve"> </w:t>
      </w:r>
      <w:r w:rsidR="0078010E" w:rsidRPr="0078010E">
        <w:rPr>
          <w:rFonts w:ascii="Times New Roman" w:hAnsi="Times New Roman"/>
          <w:sz w:val="16"/>
          <w:szCs w:val="16"/>
        </w:rPr>
        <w:t>е</w:t>
      </w:r>
      <w:r w:rsidR="0078010E">
        <w:rPr>
          <w:rFonts w:ascii="Times New Roman" w:hAnsi="Times New Roman"/>
          <w:sz w:val="16"/>
          <w:szCs w:val="16"/>
          <w:lang w:val="bs-Cyrl-BA"/>
        </w:rPr>
        <w:t>в</w:t>
      </w:r>
      <w:r w:rsidR="0078010E" w:rsidRPr="0078010E">
        <w:rPr>
          <w:rFonts w:ascii="Times New Roman" w:hAnsi="Times New Roman"/>
          <w:sz w:val="16"/>
          <w:szCs w:val="16"/>
        </w:rPr>
        <w:t>ро</w:t>
      </w:r>
      <w:r w:rsidR="0078010E">
        <w:rPr>
          <w:rFonts w:ascii="Times New Roman" w:hAnsi="Times New Roman"/>
          <w:sz w:val="16"/>
          <w:szCs w:val="16"/>
          <w:lang w:val="bs-Cyrl-BA"/>
        </w:rPr>
        <w:t xml:space="preserve"> </w:t>
      </w:r>
      <w:r w:rsidR="0078010E" w:rsidRPr="0078010E">
        <w:rPr>
          <w:rFonts w:ascii="Times New Roman" w:hAnsi="Times New Roman"/>
          <w:sz w:val="16"/>
          <w:szCs w:val="16"/>
        </w:rPr>
        <w:t>зону</w:t>
      </w:r>
      <w:r w:rsidR="0078010E" w:rsidRPr="00A64B54">
        <w:rPr>
          <w:rFonts w:ascii="Times New Roman" w:hAnsi="Times New Roman"/>
          <w:sz w:val="16"/>
          <w:szCs w:val="16"/>
        </w:rPr>
        <w:t>.</w:t>
      </w:r>
    </w:p>
  </w:footnote>
  <w:footnote w:id="16">
    <w:p w14:paraId="41CCEB69" w14:textId="26DC614A" w:rsidR="00EA0FD7" w:rsidRPr="0078010E" w:rsidRDefault="00EA0FD7" w:rsidP="00EA0FD7">
      <w:pPr>
        <w:pStyle w:val="Funote1"/>
        <w:rPr>
          <w:sz w:val="16"/>
          <w:szCs w:val="16"/>
        </w:rPr>
      </w:pPr>
      <w:r w:rsidRPr="0078010E">
        <w:rPr>
          <w:rStyle w:val="Referencafusnote"/>
          <w:rFonts w:ascii="Times New Roman" w:hAnsi="Times New Roman"/>
          <w:sz w:val="16"/>
          <w:szCs w:val="16"/>
        </w:rPr>
        <w:footnoteRef/>
      </w:r>
      <w:r w:rsidRPr="0078010E">
        <w:rPr>
          <w:rFonts w:ascii="Times New Roman" w:hAnsi="Times New Roman"/>
          <w:sz w:val="16"/>
          <w:szCs w:val="16"/>
        </w:rPr>
        <w:t xml:space="preserve"> </w:t>
      </w:r>
      <w:r w:rsidR="0078010E" w:rsidRPr="0078010E">
        <w:rPr>
          <w:rFonts w:ascii="Times New Roman" w:hAnsi="Times New Roman"/>
          <w:sz w:val="16"/>
          <w:szCs w:val="16"/>
        </w:rPr>
        <w:t>Ипак</w:t>
      </w:r>
      <w:r w:rsidR="0078010E" w:rsidRPr="00A64B54">
        <w:rPr>
          <w:rFonts w:ascii="Times New Roman" w:hAnsi="Times New Roman"/>
          <w:sz w:val="16"/>
          <w:szCs w:val="16"/>
        </w:rPr>
        <w:t xml:space="preserve"> </w:t>
      </w:r>
      <w:r w:rsidR="0078010E" w:rsidRPr="0078010E">
        <w:rPr>
          <w:rFonts w:ascii="Times New Roman" w:hAnsi="Times New Roman"/>
          <w:sz w:val="16"/>
          <w:szCs w:val="16"/>
        </w:rPr>
        <w:t>претпостављени</w:t>
      </w:r>
      <w:r w:rsidR="0078010E" w:rsidRPr="00A64B54">
        <w:rPr>
          <w:rFonts w:ascii="Times New Roman" w:hAnsi="Times New Roman"/>
          <w:sz w:val="16"/>
          <w:szCs w:val="16"/>
        </w:rPr>
        <w:t xml:space="preserve"> </w:t>
      </w:r>
      <w:r w:rsidR="0078010E" w:rsidRPr="0078010E">
        <w:rPr>
          <w:rFonts w:ascii="Times New Roman" w:hAnsi="Times New Roman"/>
          <w:sz w:val="16"/>
          <w:szCs w:val="16"/>
        </w:rPr>
        <w:t>раст</w:t>
      </w:r>
      <w:r w:rsidR="0078010E" w:rsidRPr="00A64B54">
        <w:rPr>
          <w:rFonts w:ascii="Times New Roman" w:hAnsi="Times New Roman"/>
          <w:sz w:val="16"/>
          <w:szCs w:val="16"/>
        </w:rPr>
        <w:t xml:space="preserve"> </w:t>
      </w:r>
      <w:r w:rsidR="0078010E" w:rsidRPr="0078010E">
        <w:rPr>
          <w:rFonts w:ascii="Times New Roman" w:hAnsi="Times New Roman"/>
          <w:sz w:val="16"/>
          <w:szCs w:val="16"/>
        </w:rPr>
        <w:t>цијена</w:t>
      </w:r>
      <w:r w:rsidR="0078010E" w:rsidRPr="00A64B54">
        <w:rPr>
          <w:rFonts w:ascii="Times New Roman" w:hAnsi="Times New Roman"/>
          <w:sz w:val="16"/>
          <w:szCs w:val="16"/>
        </w:rPr>
        <w:t xml:space="preserve"> </w:t>
      </w:r>
      <w:r w:rsidR="0078010E" w:rsidRPr="0078010E">
        <w:rPr>
          <w:rFonts w:ascii="Times New Roman" w:hAnsi="Times New Roman"/>
          <w:sz w:val="16"/>
          <w:szCs w:val="16"/>
        </w:rPr>
        <w:t>ће</w:t>
      </w:r>
      <w:r w:rsidR="0078010E" w:rsidRPr="00A64B54">
        <w:rPr>
          <w:rFonts w:ascii="Times New Roman" w:hAnsi="Times New Roman"/>
          <w:sz w:val="16"/>
          <w:szCs w:val="16"/>
        </w:rPr>
        <w:t xml:space="preserve"> </w:t>
      </w:r>
      <w:r w:rsidR="0078010E" w:rsidRPr="0078010E">
        <w:rPr>
          <w:rFonts w:ascii="Times New Roman" w:hAnsi="Times New Roman"/>
          <w:sz w:val="16"/>
          <w:szCs w:val="16"/>
        </w:rPr>
        <w:t>као</w:t>
      </w:r>
      <w:r w:rsidR="0078010E" w:rsidRPr="00A64B54">
        <w:rPr>
          <w:rFonts w:ascii="Times New Roman" w:hAnsi="Times New Roman"/>
          <w:sz w:val="16"/>
          <w:szCs w:val="16"/>
        </w:rPr>
        <w:t xml:space="preserve"> </w:t>
      </w:r>
      <w:r w:rsidR="0078010E" w:rsidRPr="0078010E">
        <w:rPr>
          <w:rFonts w:ascii="Times New Roman" w:hAnsi="Times New Roman"/>
          <w:sz w:val="16"/>
          <w:szCs w:val="16"/>
        </w:rPr>
        <w:t>и</w:t>
      </w:r>
      <w:r w:rsidR="0078010E" w:rsidRPr="00A64B54">
        <w:rPr>
          <w:rFonts w:ascii="Times New Roman" w:hAnsi="Times New Roman"/>
          <w:sz w:val="16"/>
          <w:szCs w:val="16"/>
        </w:rPr>
        <w:t xml:space="preserve"> </w:t>
      </w:r>
      <w:r w:rsidR="0078010E" w:rsidRPr="0078010E">
        <w:rPr>
          <w:rFonts w:ascii="Times New Roman" w:hAnsi="Times New Roman"/>
          <w:sz w:val="16"/>
          <w:szCs w:val="16"/>
        </w:rPr>
        <w:t>у</w:t>
      </w:r>
      <w:r w:rsidR="0078010E" w:rsidRPr="00A64B54">
        <w:rPr>
          <w:rFonts w:ascii="Times New Roman" w:hAnsi="Times New Roman"/>
          <w:sz w:val="16"/>
          <w:szCs w:val="16"/>
        </w:rPr>
        <w:t xml:space="preserve"> </w:t>
      </w:r>
      <w:r w:rsidR="0078010E" w:rsidRPr="0078010E">
        <w:rPr>
          <w:rFonts w:ascii="Times New Roman" w:hAnsi="Times New Roman"/>
          <w:sz w:val="16"/>
          <w:szCs w:val="16"/>
        </w:rPr>
        <w:t>претходној</w:t>
      </w:r>
      <w:r w:rsidR="0078010E" w:rsidRPr="00A64B54">
        <w:rPr>
          <w:rFonts w:ascii="Times New Roman" w:hAnsi="Times New Roman"/>
          <w:sz w:val="16"/>
          <w:szCs w:val="16"/>
        </w:rPr>
        <w:t xml:space="preserve"> </w:t>
      </w:r>
      <w:r w:rsidR="0078010E" w:rsidRPr="0078010E">
        <w:rPr>
          <w:rFonts w:ascii="Times New Roman" w:hAnsi="Times New Roman"/>
          <w:sz w:val="16"/>
          <w:szCs w:val="16"/>
        </w:rPr>
        <w:t>години</w:t>
      </w:r>
      <w:r w:rsidR="0078010E" w:rsidRPr="00A64B54">
        <w:rPr>
          <w:rFonts w:ascii="Times New Roman" w:hAnsi="Times New Roman"/>
          <w:sz w:val="16"/>
          <w:szCs w:val="16"/>
        </w:rPr>
        <w:t xml:space="preserve"> </w:t>
      </w:r>
      <w:r w:rsidR="0078010E" w:rsidRPr="0078010E">
        <w:rPr>
          <w:rFonts w:ascii="Times New Roman" w:hAnsi="Times New Roman"/>
          <w:sz w:val="16"/>
          <w:szCs w:val="16"/>
        </w:rPr>
        <w:t>зависити</w:t>
      </w:r>
      <w:r w:rsidR="0078010E" w:rsidRPr="00A64B54">
        <w:rPr>
          <w:rFonts w:ascii="Times New Roman" w:hAnsi="Times New Roman"/>
          <w:sz w:val="16"/>
          <w:szCs w:val="16"/>
        </w:rPr>
        <w:t xml:space="preserve"> </w:t>
      </w:r>
      <w:r w:rsidR="0078010E" w:rsidRPr="0078010E">
        <w:rPr>
          <w:rFonts w:ascii="Times New Roman" w:hAnsi="Times New Roman"/>
          <w:sz w:val="16"/>
          <w:szCs w:val="16"/>
        </w:rPr>
        <w:t>од</w:t>
      </w:r>
      <w:r w:rsidR="0078010E" w:rsidRPr="00A64B54">
        <w:rPr>
          <w:rFonts w:ascii="Times New Roman" w:hAnsi="Times New Roman"/>
          <w:sz w:val="16"/>
          <w:szCs w:val="16"/>
        </w:rPr>
        <w:t xml:space="preserve"> </w:t>
      </w:r>
      <w:r w:rsidR="0078010E" w:rsidRPr="0078010E">
        <w:rPr>
          <w:rFonts w:ascii="Times New Roman" w:hAnsi="Times New Roman"/>
          <w:sz w:val="16"/>
          <w:szCs w:val="16"/>
        </w:rPr>
        <w:t>ризика</w:t>
      </w:r>
      <w:r w:rsidR="0078010E" w:rsidRPr="00A64B54">
        <w:rPr>
          <w:rFonts w:ascii="Times New Roman" w:hAnsi="Times New Roman"/>
          <w:sz w:val="16"/>
          <w:szCs w:val="16"/>
        </w:rPr>
        <w:t xml:space="preserve"> </w:t>
      </w:r>
      <w:r w:rsidR="0078010E" w:rsidRPr="0078010E">
        <w:rPr>
          <w:rFonts w:ascii="Times New Roman" w:hAnsi="Times New Roman"/>
          <w:sz w:val="16"/>
          <w:szCs w:val="16"/>
        </w:rPr>
        <w:t>који</w:t>
      </w:r>
      <w:r w:rsidR="0078010E" w:rsidRPr="00A64B54">
        <w:rPr>
          <w:rFonts w:ascii="Times New Roman" w:hAnsi="Times New Roman"/>
          <w:sz w:val="16"/>
          <w:szCs w:val="16"/>
        </w:rPr>
        <w:t xml:space="preserve"> </w:t>
      </w:r>
      <w:r w:rsidR="0078010E" w:rsidRPr="0078010E">
        <w:rPr>
          <w:rFonts w:ascii="Times New Roman" w:hAnsi="Times New Roman"/>
          <w:sz w:val="16"/>
          <w:szCs w:val="16"/>
        </w:rPr>
        <w:t>би</w:t>
      </w:r>
      <w:r w:rsidR="0078010E" w:rsidRPr="00A64B54">
        <w:rPr>
          <w:rFonts w:ascii="Times New Roman" w:hAnsi="Times New Roman"/>
          <w:sz w:val="16"/>
          <w:szCs w:val="16"/>
        </w:rPr>
        <w:t xml:space="preserve"> </w:t>
      </w:r>
      <w:r w:rsidR="0078010E" w:rsidRPr="0078010E">
        <w:rPr>
          <w:rFonts w:ascii="Times New Roman" w:hAnsi="Times New Roman"/>
          <w:sz w:val="16"/>
          <w:szCs w:val="16"/>
        </w:rPr>
        <w:t>могли</w:t>
      </w:r>
      <w:r w:rsidR="0078010E" w:rsidRPr="00A64B54">
        <w:rPr>
          <w:rFonts w:ascii="Times New Roman" w:hAnsi="Times New Roman"/>
          <w:sz w:val="16"/>
          <w:szCs w:val="16"/>
        </w:rPr>
        <w:t xml:space="preserve"> </w:t>
      </w:r>
      <w:r w:rsidR="0078010E" w:rsidRPr="0078010E">
        <w:rPr>
          <w:rFonts w:ascii="Times New Roman" w:hAnsi="Times New Roman"/>
          <w:sz w:val="16"/>
          <w:szCs w:val="16"/>
        </w:rPr>
        <w:t>додатно</w:t>
      </w:r>
      <w:r w:rsidR="0078010E" w:rsidRPr="00A64B54">
        <w:rPr>
          <w:rFonts w:ascii="Times New Roman" w:hAnsi="Times New Roman"/>
          <w:sz w:val="16"/>
          <w:szCs w:val="16"/>
        </w:rPr>
        <w:t xml:space="preserve"> </w:t>
      </w:r>
      <w:r w:rsidR="0078010E" w:rsidRPr="0078010E">
        <w:rPr>
          <w:rFonts w:ascii="Times New Roman" w:hAnsi="Times New Roman"/>
          <w:sz w:val="16"/>
          <w:szCs w:val="16"/>
        </w:rPr>
        <w:t>увећати</w:t>
      </w:r>
      <w:r w:rsidR="0078010E" w:rsidRPr="00A64B54">
        <w:rPr>
          <w:rFonts w:ascii="Times New Roman" w:hAnsi="Times New Roman"/>
          <w:sz w:val="16"/>
          <w:szCs w:val="16"/>
        </w:rPr>
        <w:t xml:space="preserve"> </w:t>
      </w:r>
      <w:r w:rsidR="0078010E" w:rsidRPr="0078010E">
        <w:rPr>
          <w:rFonts w:ascii="Times New Roman" w:hAnsi="Times New Roman"/>
          <w:sz w:val="16"/>
          <w:szCs w:val="16"/>
        </w:rPr>
        <w:t>инфлацију</w:t>
      </w:r>
      <w:r w:rsidR="0078010E" w:rsidRPr="00A64B54">
        <w:rPr>
          <w:rFonts w:ascii="Times New Roman" w:hAnsi="Times New Roman"/>
          <w:sz w:val="16"/>
          <w:szCs w:val="16"/>
        </w:rPr>
        <w:t>.</w:t>
      </w:r>
    </w:p>
  </w:footnote>
  <w:footnote w:id="17">
    <w:p w14:paraId="5BB43CA3" w14:textId="77777777" w:rsidR="0078010E" w:rsidRPr="0078010E" w:rsidRDefault="00EA0FD7" w:rsidP="0078010E">
      <w:pPr>
        <w:rPr>
          <w:sz w:val="16"/>
          <w:szCs w:val="16"/>
        </w:rPr>
      </w:pPr>
      <w:r w:rsidRPr="0078010E">
        <w:rPr>
          <w:rStyle w:val="Referencafusnote"/>
          <w:rFonts w:cs="Calibri"/>
          <w:sz w:val="16"/>
          <w:szCs w:val="16"/>
        </w:rPr>
        <w:footnoteRef/>
      </w:r>
      <w:r w:rsidRPr="0078010E">
        <w:rPr>
          <w:sz w:val="16"/>
          <w:szCs w:val="16"/>
        </w:rPr>
        <w:t xml:space="preserve"> </w:t>
      </w:r>
      <w:r w:rsidR="0078010E" w:rsidRPr="0078010E">
        <w:rPr>
          <w:rFonts w:ascii="Times New Roman" w:hAnsi="Times New Roman"/>
          <w:sz w:val="16"/>
          <w:szCs w:val="16"/>
        </w:rPr>
        <w:t>Према пројекцијама Свјетске банке (октобар 2021), реални индекс хране.</w:t>
      </w:r>
    </w:p>
    <w:p w14:paraId="6D6FE5FF" w14:textId="6F8D0BED" w:rsidR="00EA0FD7" w:rsidRDefault="00EA0FD7" w:rsidP="00EA0FD7">
      <w:pPr>
        <w:pStyle w:val="Funote1"/>
      </w:pPr>
    </w:p>
  </w:footnote>
  <w:footnote w:id="18">
    <w:p w14:paraId="78D75315" w14:textId="26E6DB1B" w:rsidR="00EA0FD7" w:rsidRDefault="00EA0FD7" w:rsidP="00EA0FD7">
      <w:pPr>
        <w:pStyle w:val="Funote1"/>
      </w:pPr>
      <w:r>
        <w:rPr>
          <w:rStyle w:val="Referencafusnote"/>
          <w:rFonts w:ascii="Times New Roman" w:hAnsi="Times New Roman"/>
          <w:sz w:val="18"/>
          <w:szCs w:val="18"/>
        </w:rPr>
        <w:footnoteRef/>
      </w:r>
      <w:r>
        <w:rPr>
          <w:rFonts w:ascii="Times New Roman" w:hAnsi="Times New Roman"/>
          <w:sz w:val="18"/>
          <w:szCs w:val="18"/>
        </w:rPr>
        <w:t xml:space="preserve"> </w:t>
      </w:r>
      <w:r w:rsidR="0078010E">
        <w:rPr>
          <w:rFonts w:ascii="Times New Roman" w:hAnsi="Times New Roman"/>
          <w:sz w:val="18"/>
          <w:szCs w:val="18"/>
          <w:lang w:val="bs-Cyrl-BA"/>
        </w:rPr>
        <w:t>ЕЦБ</w:t>
      </w:r>
      <w:r>
        <w:rPr>
          <w:rFonts w:ascii="Times New Roman" w:hAnsi="Times New Roman"/>
          <w:sz w:val="18"/>
          <w:szCs w:val="18"/>
        </w:rPr>
        <w:t xml:space="preserve"> </w:t>
      </w:r>
      <w:r w:rsidR="0078010E">
        <w:rPr>
          <w:rFonts w:ascii="Times New Roman" w:hAnsi="Times New Roman"/>
          <w:sz w:val="18"/>
          <w:szCs w:val="18"/>
          <w:lang w:val="bs-Cyrl-BA"/>
        </w:rPr>
        <w:t>пројекције</w:t>
      </w:r>
      <w:r>
        <w:rPr>
          <w:rFonts w:ascii="Times New Roman" w:hAnsi="Times New Roman"/>
          <w:sz w:val="18"/>
          <w:szCs w:val="18"/>
        </w:rPr>
        <w:t xml:space="preserve">, </w:t>
      </w:r>
      <w:r w:rsidR="0078010E">
        <w:rPr>
          <w:rFonts w:ascii="Times New Roman" w:hAnsi="Times New Roman"/>
          <w:sz w:val="18"/>
          <w:szCs w:val="18"/>
          <w:lang w:val="bs-Cyrl-BA"/>
        </w:rPr>
        <w:t>март</w:t>
      </w:r>
      <w:r>
        <w:rPr>
          <w:rFonts w:ascii="Times New Roman" w:hAnsi="Times New Roman"/>
          <w:sz w:val="18"/>
          <w:szCs w:val="18"/>
        </w:rPr>
        <w:t xml:space="preserve"> 2022. </w:t>
      </w:r>
      <w:r w:rsidR="0078010E">
        <w:rPr>
          <w:rFonts w:ascii="Times New Roman" w:hAnsi="Times New Roman"/>
          <w:sz w:val="18"/>
          <w:szCs w:val="18"/>
          <w:lang w:val="bs-Cyrl-BA"/>
        </w:rPr>
        <w:t>године</w:t>
      </w:r>
    </w:p>
  </w:footnote>
  <w:footnote w:id="19">
    <w:p w14:paraId="779B38BF" w14:textId="4095EB51" w:rsidR="00EA0FD7" w:rsidRPr="0078010E" w:rsidRDefault="00EA0FD7" w:rsidP="00EA0FD7">
      <w:pPr>
        <w:pStyle w:val="Footnote"/>
        <w:rPr>
          <w:sz w:val="16"/>
          <w:szCs w:val="16"/>
        </w:rPr>
      </w:pPr>
      <w:bookmarkStart w:id="11" w:name="_Hlk107391508"/>
      <w:r w:rsidRPr="0078010E">
        <w:rPr>
          <w:rStyle w:val="Referencafusnote"/>
          <w:sz w:val="16"/>
          <w:szCs w:val="16"/>
        </w:rPr>
        <w:footnoteRef/>
      </w:r>
      <w:r w:rsidRPr="0078010E">
        <w:rPr>
          <w:sz w:val="16"/>
          <w:szCs w:val="16"/>
        </w:rPr>
        <w:t xml:space="preserve"> </w:t>
      </w:r>
      <w:r w:rsidR="0078010E" w:rsidRPr="0078010E">
        <w:rPr>
          <w:sz w:val="16"/>
          <w:szCs w:val="16"/>
        </w:rPr>
        <w:t>У тренутку израде пројекција били су доступни званични подаци за период К1-К3 2021.</w:t>
      </w:r>
      <w:r w:rsidR="0078010E" w:rsidRPr="0078010E">
        <w:rPr>
          <w:sz w:val="16"/>
          <w:szCs w:val="16"/>
          <w:lang w:val="bs-Cyrl-BA"/>
        </w:rPr>
        <w:t xml:space="preserve"> </w:t>
      </w:r>
      <w:r w:rsidR="0078010E" w:rsidRPr="0078010E">
        <w:rPr>
          <w:sz w:val="16"/>
          <w:szCs w:val="16"/>
        </w:rPr>
        <w:t>године</w:t>
      </w:r>
    </w:p>
  </w:footnote>
  <w:footnote w:id="20">
    <w:p w14:paraId="18DCFBCA" w14:textId="0E78FAA1" w:rsidR="00EA0FD7" w:rsidRPr="0078010E" w:rsidRDefault="00EA0FD7" w:rsidP="00EA0FD7">
      <w:pPr>
        <w:pStyle w:val="Footnote"/>
        <w:rPr>
          <w:lang w:val="bs-Cyrl-BA"/>
        </w:rPr>
      </w:pPr>
      <w:r w:rsidRPr="0078010E">
        <w:rPr>
          <w:rStyle w:val="Referencafusnote"/>
          <w:sz w:val="16"/>
          <w:szCs w:val="16"/>
        </w:rPr>
        <w:footnoteRef/>
      </w:r>
      <w:r w:rsidRPr="0078010E">
        <w:rPr>
          <w:sz w:val="16"/>
          <w:szCs w:val="16"/>
        </w:rPr>
        <w:t xml:space="preserve"> </w:t>
      </w:r>
      <w:r w:rsidR="0078010E" w:rsidRPr="0078010E">
        <w:rPr>
          <w:sz w:val="16"/>
          <w:szCs w:val="16"/>
          <w:lang w:val="bs-Cyrl-BA"/>
        </w:rPr>
        <w:t>Извор података</w:t>
      </w:r>
      <w:r w:rsidRPr="0078010E">
        <w:rPr>
          <w:sz w:val="16"/>
          <w:szCs w:val="16"/>
        </w:rPr>
        <w:t xml:space="preserve">: </w:t>
      </w:r>
      <w:r w:rsidR="0078010E" w:rsidRPr="0078010E">
        <w:rPr>
          <w:sz w:val="16"/>
          <w:szCs w:val="16"/>
          <w:lang w:val="bs-Cyrl-BA"/>
        </w:rPr>
        <w:t>ЦББиХ</w:t>
      </w:r>
    </w:p>
  </w:footnote>
  <w:footnote w:id="21">
    <w:p w14:paraId="70B4265B" w14:textId="3470D7A8" w:rsidR="00EA0FD7" w:rsidRPr="0078010E" w:rsidRDefault="00EA0FD7" w:rsidP="00EA0FD7">
      <w:pPr>
        <w:pStyle w:val="Footnote"/>
        <w:rPr>
          <w:lang w:val="bs-Cyrl-BA"/>
        </w:rPr>
      </w:pPr>
      <w:r>
        <w:rPr>
          <w:rStyle w:val="Referencafusnote"/>
        </w:rPr>
        <w:footnoteRef/>
      </w:r>
      <w:r>
        <w:t xml:space="preserve"> </w:t>
      </w:r>
      <w:r w:rsidR="0078010E">
        <w:rPr>
          <w:lang w:val="bs-Cyrl-BA"/>
        </w:rPr>
        <w:t>Званични подаци</w:t>
      </w:r>
      <w:r>
        <w:t xml:space="preserve"> </w:t>
      </w:r>
      <w:r w:rsidR="0078010E">
        <w:rPr>
          <w:lang w:val="bs-Cyrl-BA"/>
        </w:rPr>
        <w:t>ЦББиХ</w:t>
      </w:r>
      <w:r>
        <w:t xml:space="preserve"> </w:t>
      </w:r>
      <w:r w:rsidR="0078010E">
        <w:rPr>
          <w:lang w:val="bs-Cyrl-BA"/>
        </w:rPr>
        <w:t>з</w:t>
      </w:r>
      <w:r>
        <w:t xml:space="preserve">a 2019. </w:t>
      </w:r>
      <w:r w:rsidR="0078010E">
        <w:rPr>
          <w:lang w:val="bs-Cyrl-BA"/>
        </w:rPr>
        <w:t xml:space="preserve">и </w:t>
      </w:r>
      <w:r>
        <w:t>2020.</w:t>
      </w:r>
      <w:r w:rsidR="0078010E">
        <w:rPr>
          <w:lang w:val="bs-Cyrl-BA"/>
        </w:rPr>
        <w:t xml:space="preserve"> годину</w:t>
      </w:r>
      <w:r>
        <w:t xml:space="preserve">, </w:t>
      </w:r>
      <w:r w:rsidR="0078010E">
        <w:rPr>
          <w:lang w:val="bs-Cyrl-BA"/>
        </w:rPr>
        <w:t>пројекције</w:t>
      </w:r>
      <w:r>
        <w:t xml:space="preserve"> </w:t>
      </w:r>
      <w:r w:rsidR="0078010E">
        <w:rPr>
          <w:lang w:val="bs-Cyrl-BA"/>
        </w:rPr>
        <w:t>ДЕП</w:t>
      </w:r>
      <w:r>
        <w:t xml:space="preserve"> </w:t>
      </w:r>
      <w:r w:rsidR="0078010E">
        <w:rPr>
          <w:lang w:val="bs-Cyrl-BA"/>
        </w:rPr>
        <w:t>за период</w:t>
      </w:r>
      <w:r>
        <w:t xml:space="preserve"> 2021</w:t>
      </w:r>
      <w:r w:rsidR="0078010E">
        <w:t>–</w:t>
      </w:r>
      <w:r>
        <w:t>2025.</w:t>
      </w:r>
      <w:r w:rsidR="0078010E">
        <w:rPr>
          <w:lang w:val="bs-Cyrl-BA"/>
        </w:rPr>
        <w:t xml:space="preserve"> година </w:t>
      </w:r>
    </w:p>
  </w:footnote>
  <w:footnote w:id="22">
    <w:p w14:paraId="4A30772E" w14:textId="1F2FB4E4" w:rsidR="00EA0FD7" w:rsidRPr="0078010E" w:rsidRDefault="00EA0FD7" w:rsidP="00EA0FD7">
      <w:pPr>
        <w:pStyle w:val="Footnote"/>
        <w:rPr>
          <w:sz w:val="16"/>
          <w:szCs w:val="16"/>
        </w:rPr>
      </w:pPr>
      <w:bookmarkStart w:id="13" w:name="_Hlk107391994"/>
      <w:r w:rsidRPr="0078010E">
        <w:rPr>
          <w:rStyle w:val="Referencafusnote"/>
          <w:sz w:val="16"/>
          <w:szCs w:val="16"/>
        </w:rPr>
        <w:footnoteRef/>
      </w:r>
      <w:r w:rsidRPr="0078010E">
        <w:rPr>
          <w:sz w:val="16"/>
          <w:szCs w:val="16"/>
        </w:rPr>
        <w:t xml:space="preserve"> </w:t>
      </w:r>
      <w:bookmarkEnd w:id="13"/>
      <w:r w:rsidR="0078010E" w:rsidRPr="0078010E">
        <w:rPr>
          <w:sz w:val="16"/>
          <w:szCs w:val="16"/>
        </w:rPr>
        <w:t>Званични подаци ЦББ</w:t>
      </w:r>
      <w:r w:rsidR="0078010E" w:rsidRPr="0078010E">
        <w:rPr>
          <w:sz w:val="16"/>
          <w:szCs w:val="16"/>
          <w:lang w:val="bs-Cyrl-BA"/>
        </w:rPr>
        <w:t>и</w:t>
      </w:r>
      <w:r w:rsidR="0078010E" w:rsidRPr="0078010E">
        <w:rPr>
          <w:sz w:val="16"/>
          <w:szCs w:val="16"/>
        </w:rPr>
        <w:t>Х за 2019. и 2020.</w:t>
      </w:r>
      <w:r w:rsidR="0078010E" w:rsidRPr="0078010E">
        <w:rPr>
          <w:sz w:val="16"/>
          <w:szCs w:val="16"/>
          <w:lang w:val="bs-Cyrl-BA"/>
        </w:rPr>
        <w:t xml:space="preserve"> </w:t>
      </w:r>
      <w:r w:rsidR="0078010E" w:rsidRPr="0078010E">
        <w:rPr>
          <w:sz w:val="16"/>
          <w:szCs w:val="16"/>
        </w:rPr>
        <w:t>годину, пројекције ДЕП-а за период 2021–2025. година</w:t>
      </w:r>
    </w:p>
  </w:footnote>
  <w:footnote w:id="23">
    <w:p w14:paraId="4058FEF2" w14:textId="7E3D88D1" w:rsidR="00EA0FD7" w:rsidRPr="0078010E" w:rsidRDefault="00EA0FD7" w:rsidP="00EA0FD7">
      <w:pPr>
        <w:pStyle w:val="Funote1"/>
        <w:rPr>
          <w:sz w:val="16"/>
          <w:szCs w:val="16"/>
        </w:rPr>
      </w:pPr>
      <w:bookmarkStart w:id="15" w:name="_Hlk107392053"/>
      <w:r w:rsidRPr="0078010E">
        <w:rPr>
          <w:rStyle w:val="Referencafusnote"/>
          <w:rFonts w:cs="Calibri"/>
          <w:sz w:val="16"/>
          <w:szCs w:val="16"/>
        </w:rPr>
        <w:footnoteRef/>
      </w:r>
      <w:r w:rsidRPr="0078010E">
        <w:rPr>
          <w:sz w:val="16"/>
          <w:szCs w:val="16"/>
        </w:rPr>
        <w:t xml:space="preserve"> </w:t>
      </w:r>
      <w:r w:rsidR="0078010E" w:rsidRPr="0078010E">
        <w:rPr>
          <w:rFonts w:ascii="Times New Roman" w:hAnsi="Times New Roman"/>
          <w:sz w:val="16"/>
          <w:szCs w:val="16"/>
        </w:rPr>
        <w:t>Агенција</w:t>
      </w:r>
      <w:r w:rsidR="0078010E" w:rsidRPr="00A64B54">
        <w:rPr>
          <w:rFonts w:ascii="Times New Roman" w:hAnsi="Times New Roman"/>
          <w:sz w:val="16"/>
          <w:szCs w:val="16"/>
        </w:rPr>
        <w:t xml:space="preserve"> </w:t>
      </w:r>
      <w:r w:rsidR="0078010E" w:rsidRPr="0078010E">
        <w:rPr>
          <w:rFonts w:ascii="Times New Roman" w:hAnsi="Times New Roman"/>
          <w:sz w:val="16"/>
          <w:szCs w:val="16"/>
        </w:rPr>
        <w:t>за</w:t>
      </w:r>
      <w:r w:rsidR="0078010E" w:rsidRPr="00A64B54">
        <w:rPr>
          <w:rFonts w:ascii="Times New Roman" w:hAnsi="Times New Roman"/>
          <w:sz w:val="16"/>
          <w:szCs w:val="16"/>
        </w:rPr>
        <w:t xml:space="preserve"> </w:t>
      </w:r>
      <w:r w:rsidR="0078010E" w:rsidRPr="0078010E">
        <w:rPr>
          <w:rFonts w:ascii="Times New Roman" w:hAnsi="Times New Roman"/>
          <w:sz w:val="16"/>
          <w:szCs w:val="16"/>
        </w:rPr>
        <w:t>статистику</w:t>
      </w:r>
      <w:r w:rsidR="0078010E" w:rsidRPr="00A64B54">
        <w:rPr>
          <w:rFonts w:ascii="Times New Roman" w:hAnsi="Times New Roman"/>
          <w:sz w:val="16"/>
          <w:szCs w:val="16"/>
        </w:rPr>
        <w:t xml:space="preserve"> </w:t>
      </w:r>
      <w:r w:rsidR="0078010E" w:rsidRPr="0078010E">
        <w:rPr>
          <w:rFonts w:ascii="Times New Roman" w:hAnsi="Times New Roman"/>
          <w:sz w:val="16"/>
          <w:szCs w:val="16"/>
        </w:rPr>
        <w:t>Босне</w:t>
      </w:r>
      <w:r w:rsidR="0078010E" w:rsidRPr="00A64B54">
        <w:rPr>
          <w:rFonts w:ascii="Times New Roman" w:hAnsi="Times New Roman"/>
          <w:sz w:val="16"/>
          <w:szCs w:val="16"/>
        </w:rPr>
        <w:t xml:space="preserve"> </w:t>
      </w:r>
      <w:r w:rsidR="0078010E" w:rsidRPr="0078010E">
        <w:rPr>
          <w:rFonts w:ascii="Times New Roman" w:hAnsi="Times New Roman"/>
          <w:sz w:val="16"/>
          <w:szCs w:val="16"/>
        </w:rPr>
        <w:t>и</w:t>
      </w:r>
      <w:r w:rsidR="0078010E" w:rsidRPr="00A64B54">
        <w:rPr>
          <w:rFonts w:ascii="Times New Roman" w:hAnsi="Times New Roman"/>
          <w:sz w:val="16"/>
          <w:szCs w:val="16"/>
        </w:rPr>
        <w:t xml:space="preserve"> </w:t>
      </w:r>
      <w:r w:rsidR="0078010E" w:rsidRPr="0078010E">
        <w:rPr>
          <w:rFonts w:ascii="Times New Roman" w:hAnsi="Times New Roman"/>
          <w:sz w:val="16"/>
          <w:szCs w:val="16"/>
        </w:rPr>
        <w:t>Херцеговине</w:t>
      </w:r>
      <w:r w:rsidR="0078010E" w:rsidRPr="00A64B54">
        <w:rPr>
          <w:rFonts w:ascii="Times New Roman" w:hAnsi="Times New Roman"/>
          <w:sz w:val="16"/>
          <w:szCs w:val="16"/>
        </w:rPr>
        <w:t xml:space="preserve">, </w:t>
      </w:r>
      <w:r w:rsidR="0078010E" w:rsidRPr="0078010E">
        <w:rPr>
          <w:rFonts w:ascii="Times New Roman" w:hAnsi="Times New Roman"/>
          <w:sz w:val="16"/>
          <w:szCs w:val="16"/>
        </w:rPr>
        <w:t>Саопштење</w:t>
      </w:r>
      <w:r w:rsidR="0078010E" w:rsidRPr="00A64B54">
        <w:rPr>
          <w:rFonts w:ascii="Times New Roman" w:hAnsi="Times New Roman"/>
          <w:sz w:val="16"/>
          <w:szCs w:val="16"/>
        </w:rPr>
        <w:t>, „</w:t>
      </w:r>
      <w:r w:rsidR="0078010E" w:rsidRPr="0078010E">
        <w:rPr>
          <w:rFonts w:ascii="Times New Roman" w:hAnsi="Times New Roman"/>
          <w:sz w:val="16"/>
          <w:szCs w:val="16"/>
        </w:rPr>
        <w:t>Индекси</w:t>
      </w:r>
      <w:r w:rsidR="0078010E" w:rsidRPr="00A64B54">
        <w:rPr>
          <w:rFonts w:ascii="Times New Roman" w:hAnsi="Times New Roman"/>
          <w:sz w:val="16"/>
          <w:szCs w:val="16"/>
        </w:rPr>
        <w:t xml:space="preserve"> </w:t>
      </w:r>
      <w:r w:rsidR="0078010E" w:rsidRPr="0078010E">
        <w:rPr>
          <w:rFonts w:ascii="Times New Roman" w:hAnsi="Times New Roman"/>
          <w:sz w:val="16"/>
          <w:szCs w:val="16"/>
        </w:rPr>
        <w:t>јединичних</w:t>
      </w:r>
      <w:r w:rsidR="0078010E" w:rsidRPr="00A64B54">
        <w:rPr>
          <w:rFonts w:ascii="Times New Roman" w:hAnsi="Times New Roman"/>
          <w:sz w:val="16"/>
          <w:szCs w:val="16"/>
        </w:rPr>
        <w:t xml:space="preserve"> </w:t>
      </w:r>
      <w:r w:rsidR="0078010E" w:rsidRPr="0078010E">
        <w:rPr>
          <w:rFonts w:ascii="Times New Roman" w:hAnsi="Times New Roman"/>
          <w:sz w:val="16"/>
          <w:szCs w:val="16"/>
        </w:rPr>
        <w:t>вриједности</w:t>
      </w:r>
      <w:r w:rsidR="0078010E" w:rsidRPr="00A64B54">
        <w:rPr>
          <w:rFonts w:ascii="Times New Roman" w:hAnsi="Times New Roman"/>
          <w:sz w:val="16"/>
          <w:szCs w:val="16"/>
        </w:rPr>
        <w:t xml:space="preserve"> </w:t>
      </w:r>
      <w:r w:rsidR="0078010E" w:rsidRPr="0078010E">
        <w:rPr>
          <w:rFonts w:ascii="Times New Roman" w:hAnsi="Times New Roman"/>
          <w:sz w:val="16"/>
          <w:szCs w:val="16"/>
        </w:rPr>
        <w:t>извоза</w:t>
      </w:r>
      <w:r w:rsidR="0078010E" w:rsidRPr="00A64B54">
        <w:rPr>
          <w:rFonts w:ascii="Times New Roman" w:hAnsi="Times New Roman"/>
          <w:sz w:val="16"/>
          <w:szCs w:val="16"/>
        </w:rPr>
        <w:t xml:space="preserve"> </w:t>
      </w:r>
      <w:r w:rsidR="0078010E" w:rsidRPr="0078010E">
        <w:rPr>
          <w:rFonts w:ascii="Times New Roman" w:hAnsi="Times New Roman"/>
          <w:sz w:val="16"/>
          <w:szCs w:val="16"/>
        </w:rPr>
        <w:t>и</w:t>
      </w:r>
      <w:r w:rsidR="0078010E" w:rsidRPr="00A64B54">
        <w:rPr>
          <w:rFonts w:ascii="Times New Roman" w:hAnsi="Times New Roman"/>
          <w:sz w:val="16"/>
          <w:szCs w:val="16"/>
        </w:rPr>
        <w:t xml:space="preserve"> </w:t>
      </w:r>
      <w:r w:rsidR="0078010E" w:rsidRPr="0078010E">
        <w:rPr>
          <w:rFonts w:ascii="Times New Roman" w:hAnsi="Times New Roman"/>
          <w:sz w:val="16"/>
          <w:szCs w:val="16"/>
        </w:rPr>
        <w:t>увоза</w:t>
      </w:r>
      <w:r w:rsidR="0078010E" w:rsidRPr="00A64B54">
        <w:rPr>
          <w:rFonts w:ascii="Times New Roman" w:hAnsi="Times New Roman"/>
          <w:sz w:val="16"/>
          <w:szCs w:val="16"/>
        </w:rPr>
        <w:t xml:space="preserve"> </w:t>
      </w:r>
      <w:r w:rsidR="0078010E" w:rsidRPr="0078010E">
        <w:rPr>
          <w:rFonts w:ascii="Times New Roman" w:hAnsi="Times New Roman"/>
          <w:sz w:val="16"/>
          <w:szCs w:val="16"/>
        </w:rPr>
        <w:t>БиХ</w:t>
      </w:r>
      <w:r w:rsidR="0078010E" w:rsidRPr="00A64B54">
        <w:rPr>
          <w:rFonts w:ascii="Times New Roman" w:hAnsi="Times New Roman"/>
          <w:sz w:val="16"/>
          <w:szCs w:val="16"/>
        </w:rPr>
        <w:t xml:space="preserve">, </w:t>
      </w:r>
      <w:r w:rsidR="0078010E" w:rsidRPr="0078010E">
        <w:rPr>
          <w:rFonts w:ascii="Times New Roman" w:hAnsi="Times New Roman"/>
          <w:sz w:val="16"/>
          <w:szCs w:val="16"/>
        </w:rPr>
        <w:t>четврто</w:t>
      </w:r>
      <w:r w:rsidR="0078010E" w:rsidRPr="00A64B54">
        <w:rPr>
          <w:rFonts w:ascii="Times New Roman" w:hAnsi="Times New Roman"/>
          <w:sz w:val="16"/>
          <w:szCs w:val="16"/>
        </w:rPr>
        <w:t xml:space="preserve"> </w:t>
      </w:r>
      <w:r w:rsidR="0078010E" w:rsidRPr="0078010E">
        <w:rPr>
          <w:rFonts w:ascii="Times New Roman" w:hAnsi="Times New Roman"/>
          <w:sz w:val="16"/>
          <w:szCs w:val="16"/>
        </w:rPr>
        <w:t>тромјесечје</w:t>
      </w:r>
      <w:r w:rsidR="0078010E" w:rsidRPr="00A64B54">
        <w:rPr>
          <w:rFonts w:ascii="Times New Roman" w:hAnsi="Times New Roman"/>
          <w:sz w:val="16"/>
          <w:szCs w:val="16"/>
        </w:rPr>
        <w:t xml:space="preserve"> 2021“, 22.</w:t>
      </w:r>
      <w:r w:rsidR="0078010E" w:rsidRPr="0078010E">
        <w:rPr>
          <w:rFonts w:ascii="Times New Roman" w:hAnsi="Times New Roman"/>
          <w:sz w:val="16"/>
          <w:szCs w:val="16"/>
          <w:lang w:val="bs-Cyrl-BA"/>
        </w:rPr>
        <w:t xml:space="preserve"> </w:t>
      </w:r>
      <w:r w:rsidR="0078010E" w:rsidRPr="00A64B54">
        <w:rPr>
          <w:rFonts w:ascii="Times New Roman" w:hAnsi="Times New Roman"/>
          <w:sz w:val="16"/>
          <w:szCs w:val="16"/>
        </w:rPr>
        <w:t>2.</w:t>
      </w:r>
      <w:r w:rsidR="0078010E" w:rsidRPr="0078010E">
        <w:rPr>
          <w:rFonts w:ascii="Times New Roman" w:hAnsi="Times New Roman"/>
          <w:sz w:val="16"/>
          <w:szCs w:val="16"/>
          <w:lang w:val="bs-Cyrl-BA"/>
        </w:rPr>
        <w:t xml:space="preserve"> </w:t>
      </w:r>
      <w:r w:rsidR="0078010E" w:rsidRPr="00A64B54">
        <w:rPr>
          <w:rFonts w:ascii="Times New Roman" w:hAnsi="Times New Roman"/>
          <w:sz w:val="16"/>
          <w:szCs w:val="16"/>
        </w:rPr>
        <w:t xml:space="preserve">2022. </w:t>
      </w:r>
      <w:r w:rsidR="0078010E" w:rsidRPr="0078010E">
        <w:rPr>
          <w:rFonts w:ascii="Times New Roman" w:hAnsi="Times New Roman"/>
          <w:sz w:val="16"/>
          <w:szCs w:val="16"/>
        </w:rPr>
        <w:t>године</w:t>
      </w:r>
    </w:p>
  </w:footnote>
  <w:footnote w:id="24">
    <w:p w14:paraId="31395E96" w14:textId="1947CD3A" w:rsidR="00EA0FD7" w:rsidRPr="0078010E" w:rsidRDefault="00EA0FD7" w:rsidP="00EA0FD7">
      <w:pPr>
        <w:pStyle w:val="Funote1"/>
        <w:rPr>
          <w:sz w:val="16"/>
          <w:szCs w:val="16"/>
        </w:rPr>
      </w:pPr>
      <w:r w:rsidRPr="0078010E">
        <w:rPr>
          <w:rStyle w:val="Referencafusnote"/>
          <w:rFonts w:cs="Calibri"/>
          <w:sz w:val="16"/>
          <w:szCs w:val="16"/>
        </w:rPr>
        <w:footnoteRef/>
      </w:r>
      <w:r w:rsidRPr="0078010E">
        <w:rPr>
          <w:sz w:val="16"/>
          <w:szCs w:val="16"/>
        </w:rPr>
        <w:t xml:space="preserve"> </w:t>
      </w:r>
      <w:bookmarkStart w:id="16" w:name="_Hlk97795697"/>
      <w:bookmarkStart w:id="17" w:name="_Hlk97795696"/>
      <w:bookmarkStart w:id="18" w:name="OLE_LINK1"/>
      <w:r w:rsidR="0078010E" w:rsidRPr="0078010E">
        <w:rPr>
          <w:rFonts w:ascii="Times New Roman" w:hAnsi="Times New Roman"/>
          <w:sz w:val="16"/>
          <w:szCs w:val="16"/>
        </w:rPr>
        <w:t>Агенција</w:t>
      </w:r>
      <w:r w:rsidR="0078010E" w:rsidRPr="00A64B54">
        <w:rPr>
          <w:rFonts w:ascii="Times New Roman" w:hAnsi="Times New Roman"/>
          <w:sz w:val="16"/>
          <w:szCs w:val="16"/>
        </w:rPr>
        <w:t xml:space="preserve"> </w:t>
      </w:r>
      <w:r w:rsidR="0078010E" w:rsidRPr="0078010E">
        <w:rPr>
          <w:rFonts w:ascii="Times New Roman" w:hAnsi="Times New Roman"/>
          <w:sz w:val="16"/>
          <w:szCs w:val="16"/>
        </w:rPr>
        <w:t>за</w:t>
      </w:r>
      <w:r w:rsidR="0078010E" w:rsidRPr="00A64B54">
        <w:rPr>
          <w:rFonts w:ascii="Times New Roman" w:hAnsi="Times New Roman"/>
          <w:sz w:val="16"/>
          <w:szCs w:val="16"/>
        </w:rPr>
        <w:t xml:space="preserve"> </w:t>
      </w:r>
      <w:r w:rsidR="0078010E" w:rsidRPr="0078010E">
        <w:rPr>
          <w:rFonts w:ascii="Times New Roman" w:hAnsi="Times New Roman"/>
          <w:sz w:val="16"/>
          <w:szCs w:val="16"/>
        </w:rPr>
        <w:t>статистику</w:t>
      </w:r>
      <w:r w:rsidR="0078010E" w:rsidRPr="00A64B54">
        <w:rPr>
          <w:rFonts w:ascii="Times New Roman" w:hAnsi="Times New Roman"/>
          <w:sz w:val="16"/>
          <w:szCs w:val="16"/>
        </w:rPr>
        <w:t xml:space="preserve"> </w:t>
      </w:r>
      <w:r w:rsidR="0078010E" w:rsidRPr="0078010E">
        <w:rPr>
          <w:rFonts w:ascii="Times New Roman" w:hAnsi="Times New Roman"/>
          <w:sz w:val="16"/>
          <w:szCs w:val="16"/>
        </w:rPr>
        <w:t>Босне</w:t>
      </w:r>
      <w:r w:rsidR="0078010E" w:rsidRPr="00A64B54">
        <w:rPr>
          <w:rFonts w:ascii="Times New Roman" w:hAnsi="Times New Roman"/>
          <w:sz w:val="16"/>
          <w:szCs w:val="16"/>
        </w:rPr>
        <w:t xml:space="preserve"> </w:t>
      </w:r>
      <w:r w:rsidR="0078010E" w:rsidRPr="0078010E">
        <w:rPr>
          <w:rFonts w:ascii="Times New Roman" w:hAnsi="Times New Roman"/>
          <w:sz w:val="16"/>
          <w:szCs w:val="16"/>
        </w:rPr>
        <w:t>и</w:t>
      </w:r>
      <w:r w:rsidR="0078010E" w:rsidRPr="00A64B54">
        <w:rPr>
          <w:rFonts w:ascii="Times New Roman" w:hAnsi="Times New Roman"/>
          <w:sz w:val="16"/>
          <w:szCs w:val="16"/>
        </w:rPr>
        <w:t xml:space="preserve"> </w:t>
      </w:r>
      <w:r w:rsidR="0078010E" w:rsidRPr="0078010E">
        <w:rPr>
          <w:rFonts w:ascii="Times New Roman" w:hAnsi="Times New Roman"/>
          <w:sz w:val="16"/>
          <w:szCs w:val="16"/>
        </w:rPr>
        <w:t>Херцеговине</w:t>
      </w:r>
      <w:r w:rsidR="0078010E" w:rsidRPr="00A64B54">
        <w:rPr>
          <w:rFonts w:ascii="Times New Roman" w:hAnsi="Times New Roman"/>
          <w:sz w:val="16"/>
          <w:szCs w:val="16"/>
        </w:rPr>
        <w:t xml:space="preserve">, </w:t>
      </w:r>
      <w:r w:rsidR="0078010E" w:rsidRPr="0078010E">
        <w:rPr>
          <w:rFonts w:ascii="Times New Roman" w:hAnsi="Times New Roman"/>
          <w:sz w:val="16"/>
          <w:szCs w:val="16"/>
        </w:rPr>
        <w:t>Саопштење</w:t>
      </w:r>
      <w:r w:rsidR="0078010E" w:rsidRPr="00A64B54">
        <w:rPr>
          <w:rFonts w:ascii="Times New Roman" w:hAnsi="Times New Roman"/>
          <w:sz w:val="16"/>
          <w:szCs w:val="16"/>
        </w:rPr>
        <w:t>, „</w:t>
      </w:r>
      <w:r w:rsidR="0078010E" w:rsidRPr="0078010E">
        <w:rPr>
          <w:rFonts w:ascii="Times New Roman" w:hAnsi="Times New Roman"/>
          <w:sz w:val="16"/>
          <w:szCs w:val="16"/>
          <w:lang w:val="bs-Cyrl-BA"/>
        </w:rPr>
        <w:t>Спољно</w:t>
      </w:r>
      <w:r w:rsidR="0078010E" w:rsidRPr="0078010E">
        <w:rPr>
          <w:rFonts w:ascii="Times New Roman" w:hAnsi="Times New Roman"/>
          <w:sz w:val="16"/>
          <w:szCs w:val="16"/>
        </w:rPr>
        <w:t>трговинска</w:t>
      </w:r>
      <w:r w:rsidR="0078010E" w:rsidRPr="00A64B54">
        <w:rPr>
          <w:rFonts w:ascii="Times New Roman" w:hAnsi="Times New Roman"/>
          <w:sz w:val="16"/>
          <w:szCs w:val="16"/>
        </w:rPr>
        <w:t xml:space="preserve"> </w:t>
      </w:r>
      <w:r w:rsidR="0078010E" w:rsidRPr="0078010E">
        <w:rPr>
          <w:rFonts w:ascii="Times New Roman" w:hAnsi="Times New Roman"/>
          <w:sz w:val="16"/>
          <w:szCs w:val="16"/>
        </w:rPr>
        <w:t>робна</w:t>
      </w:r>
      <w:r w:rsidR="0078010E" w:rsidRPr="00A64B54">
        <w:rPr>
          <w:rFonts w:ascii="Times New Roman" w:hAnsi="Times New Roman"/>
          <w:sz w:val="16"/>
          <w:szCs w:val="16"/>
        </w:rPr>
        <w:t xml:space="preserve"> </w:t>
      </w:r>
      <w:r w:rsidR="0078010E" w:rsidRPr="0078010E">
        <w:rPr>
          <w:rFonts w:ascii="Times New Roman" w:hAnsi="Times New Roman"/>
          <w:sz w:val="16"/>
          <w:szCs w:val="16"/>
        </w:rPr>
        <w:t>размјена</w:t>
      </w:r>
      <w:r w:rsidR="0078010E" w:rsidRPr="00A64B54">
        <w:rPr>
          <w:rFonts w:ascii="Times New Roman" w:hAnsi="Times New Roman"/>
          <w:sz w:val="16"/>
          <w:szCs w:val="16"/>
        </w:rPr>
        <w:t xml:space="preserve">  </w:t>
      </w:r>
      <w:r w:rsidR="0078010E" w:rsidRPr="0078010E">
        <w:rPr>
          <w:rFonts w:ascii="Times New Roman" w:hAnsi="Times New Roman"/>
          <w:sz w:val="16"/>
          <w:szCs w:val="16"/>
        </w:rPr>
        <w:t>у</w:t>
      </w:r>
      <w:r w:rsidR="0078010E" w:rsidRPr="00A64B54">
        <w:rPr>
          <w:rFonts w:ascii="Times New Roman" w:hAnsi="Times New Roman"/>
          <w:sz w:val="16"/>
          <w:szCs w:val="16"/>
        </w:rPr>
        <w:t xml:space="preserve"> </w:t>
      </w:r>
      <w:r w:rsidR="0078010E" w:rsidRPr="0078010E">
        <w:rPr>
          <w:rFonts w:ascii="Times New Roman" w:hAnsi="Times New Roman"/>
          <w:sz w:val="16"/>
          <w:szCs w:val="16"/>
        </w:rPr>
        <w:t>Босни</w:t>
      </w:r>
      <w:r w:rsidR="0078010E" w:rsidRPr="00A64B54">
        <w:rPr>
          <w:rFonts w:ascii="Times New Roman" w:hAnsi="Times New Roman"/>
          <w:sz w:val="16"/>
          <w:szCs w:val="16"/>
        </w:rPr>
        <w:t xml:space="preserve"> </w:t>
      </w:r>
      <w:r w:rsidR="0078010E" w:rsidRPr="0078010E">
        <w:rPr>
          <w:rFonts w:ascii="Times New Roman" w:hAnsi="Times New Roman"/>
          <w:sz w:val="16"/>
          <w:szCs w:val="16"/>
        </w:rPr>
        <w:t>и</w:t>
      </w:r>
      <w:r w:rsidR="0078010E" w:rsidRPr="00A64B54">
        <w:rPr>
          <w:rFonts w:ascii="Times New Roman" w:hAnsi="Times New Roman"/>
          <w:sz w:val="16"/>
          <w:szCs w:val="16"/>
        </w:rPr>
        <w:t xml:space="preserve"> </w:t>
      </w:r>
      <w:r w:rsidR="0078010E" w:rsidRPr="0078010E">
        <w:rPr>
          <w:rFonts w:ascii="Times New Roman" w:hAnsi="Times New Roman"/>
          <w:sz w:val="16"/>
          <w:szCs w:val="16"/>
        </w:rPr>
        <w:t>Херцеговини</w:t>
      </w:r>
      <w:r w:rsidR="0078010E" w:rsidRPr="00A64B54">
        <w:rPr>
          <w:rFonts w:ascii="Times New Roman" w:hAnsi="Times New Roman"/>
          <w:sz w:val="16"/>
          <w:szCs w:val="16"/>
        </w:rPr>
        <w:t xml:space="preserve"> </w:t>
      </w:r>
      <w:r w:rsidR="0078010E" w:rsidRPr="0078010E">
        <w:rPr>
          <w:rFonts w:ascii="Times New Roman" w:hAnsi="Times New Roman"/>
          <w:sz w:val="16"/>
          <w:szCs w:val="16"/>
        </w:rPr>
        <w:t>за</w:t>
      </w:r>
      <w:r w:rsidR="0078010E" w:rsidRPr="00A64B54">
        <w:rPr>
          <w:rFonts w:ascii="Times New Roman" w:hAnsi="Times New Roman"/>
          <w:sz w:val="16"/>
          <w:szCs w:val="16"/>
        </w:rPr>
        <w:t xml:space="preserve"> </w:t>
      </w:r>
      <w:r w:rsidR="0078010E" w:rsidRPr="0078010E">
        <w:rPr>
          <w:rFonts w:ascii="Times New Roman" w:hAnsi="Times New Roman"/>
          <w:sz w:val="16"/>
          <w:szCs w:val="16"/>
        </w:rPr>
        <w:t>децембар</w:t>
      </w:r>
      <w:r w:rsidR="0078010E" w:rsidRPr="00A64B54">
        <w:rPr>
          <w:rFonts w:ascii="Times New Roman" w:hAnsi="Times New Roman"/>
          <w:sz w:val="16"/>
          <w:szCs w:val="16"/>
        </w:rPr>
        <w:t xml:space="preserve">  2021. </w:t>
      </w:r>
      <w:r w:rsidR="0078010E" w:rsidRPr="0078010E">
        <w:rPr>
          <w:rFonts w:ascii="Times New Roman" w:hAnsi="Times New Roman"/>
          <w:sz w:val="16"/>
          <w:szCs w:val="16"/>
        </w:rPr>
        <w:t>године</w:t>
      </w:r>
      <w:r w:rsidR="0078010E" w:rsidRPr="0078010E">
        <w:rPr>
          <w:rFonts w:ascii="Times New Roman" w:hAnsi="Times New Roman"/>
          <w:sz w:val="16"/>
          <w:szCs w:val="16"/>
          <w:lang w:val="bs-Cyrl-BA"/>
        </w:rPr>
        <w:t xml:space="preserve"> </w:t>
      </w:r>
      <w:r w:rsidR="0078010E" w:rsidRPr="0078010E">
        <w:rPr>
          <w:rFonts w:ascii="Times New Roman" w:hAnsi="Times New Roman"/>
          <w:sz w:val="16"/>
          <w:szCs w:val="16"/>
        </w:rPr>
        <w:t>–</w:t>
      </w:r>
      <w:r w:rsidR="0078010E" w:rsidRPr="0078010E">
        <w:rPr>
          <w:rFonts w:ascii="Times New Roman" w:hAnsi="Times New Roman"/>
          <w:sz w:val="16"/>
          <w:szCs w:val="16"/>
          <w:lang w:val="bs-Cyrl-BA"/>
        </w:rPr>
        <w:t xml:space="preserve"> п</w:t>
      </w:r>
      <w:r w:rsidR="0078010E" w:rsidRPr="0078010E">
        <w:rPr>
          <w:rFonts w:ascii="Times New Roman" w:hAnsi="Times New Roman"/>
          <w:sz w:val="16"/>
          <w:szCs w:val="16"/>
        </w:rPr>
        <w:t>ретходни</w:t>
      </w:r>
      <w:r w:rsidR="0078010E" w:rsidRPr="00A64B54">
        <w:rPr>
          <w:rFonts w:ascii="Times New Roman" w:hAnsi="Times New Roman"/>
          <w:sz w:val="16"/>
          <w:szCs w:val="16"/>
        </w:rPr>
        <w:t xml:space="preserve"> </w:t>
      </w:r>
      <w:r w:rsidR="0078010E" w:rsidRPr="0078010E">
        <w:rPr>
          <w:rFonts w:ascii="Times New Roman" w:hAnsi="Times New Roman"/>
          <w:sz w:val="16"/>
          <w:szCs w:val="16"/>
        </w:rPr>
        <w:t>подаци</w:t>
      </w:r>
      <w:r w:rsidR="0078010E" w:rsidRPr="00A64B54">
        <w:rPr>
          <w:rFonts w:ascii="Times New Roman" w:hAnsi="Times New Roman"/>
          <w:sz w:val="16"/>
          <w:szCs w:val="16"/>
        </w:rPr>
        <w:t>“, 25.</w:t>
      </w:r>
      <w:r w:rsidR="0078010E" w:rsidRPr="0078010E">
        <w:rPr>
          <w:rFonts w:ascii="Times New Roman" w:hAnsi="Times New Roman"/>
          <w:sz w:val="16"/>
          <w:szCs w:val="16"/>
          <w:lang w:val="bs-Cyrl-BA"/>
        </w:rPr>
        <w:t xml:space="preserve"> </w:t>
      </w:r>
      <w:r w:rsidR="0078010E" w:rsidRPr="00A64B54">
        <w:rPr>
          <w:rFonts w:ascii="Times New Roman" w:hAnsi="Times New Roman"/>
          <w:sz w:val="16"/>
          <w:szCs w:val="16"/>
        </w:rPr>
        <w:t>1.</w:t>
      </w:r>
      <w:r w:rsidR="0078010E" w:rsidRPr="0078010E">
        <w:rPr>
          <w:rFonts w:ascii="Times New Roman" w:hAnsi="Times New Roman"/>
          <w:sz w:val="16"/>
          <w:szCs w:val="16"/>
          <w:lang w:val="bs-Cyrl-BA"/>
        </w:rPr>
        <w:t xml:space="preserve"> </w:t>
      </w:r>
      <w:r w:rsidR="0078010E" w:rsidRPr="00A64B54">
        <w:rPr>
          <w:rFonts w:ascii="Times New Roman" w:hAnsi="Times New Roman"/>
          <w:sz w:val="16"/>
          <w:szCs w:val="16"/>
        </w:rPr>
        <w:t xml:space="preserve">2022. </w:t>
      </w:r>
      <w:r w:rsidR="0078010E" w:rsidRPr="0078010E">
        <w:rPr>
          <w:rFonts w:ascii="Times New Roman" w:hAnsi="Times New Roman"/>
          <w:sz w:val="16"/>
          <w:szCs w:val="16"/>
        </w:rPr>
        <w:t>године</w:t>
      </w:r>
      <w:r w:rsidR="0078010E" w:rsidRPr="00A64B54">
        <w:rPr>
          <w:rFonts w:ascii="Times New Roman" w:hAnsi="Times New Roman"/>
          <w:sz w:val="16"/>
          <w:szCs w:val="16"/>
        </w:rPr>
        <w:t>.</w:t>
      </w:r>
      <w:bookmarkEnd w:id="16"/>
      <w:bookmarkEnd w:id="17"/>
      <w:bookmarkEnd w:id="18"/>
    </w:p>
  </w:footnote>
  <w:footnote w:id="25">
    <w:p w14:paraId="00EE5DB6" w14:textId="7BD93488" w:rsidR="00EA0FD7" w:rsidRDefault="00EA0FD7" w:rsidP="00EA0FD7">
      <w:pPr>
        <w:pStyle w:val="Funote1"/>
      </w:pPr>
      <w:r w:rsidRPr="0078010E">
        <w:rPr>
          <w:rStyle w:val="Referencafusnote"/>
          <w:rFonts w:ascii="Times New Roman" w:hAnsi="Times New Roman"/>
          <w:sz w:val="16"/>
          <w:szCs w:val="16"/>
        </w:rPr>
        <w:footnoteRef/>
      </w:r>
      <w:r w:rsidRPr="0078010E">
        <w:rPr>
          <w:rFonts w:ascii="Times New Roman" w:hAnsi="Times New Roman"/>
          <w:sz w:val="16"/>
          <w:szCs w:val="16"/>
        </w:rPr>
        <w:t xml:space="preserve"> </w:t>
      </w:r>
      <w:r w:rsidR="0078010E" w:rsidRPr="0078010E">
        <w:rPr>
          <w:rFonts w:ascii="Times New Roman" w:hAnsi="Times New Roman"/>
          <w:sz w:val="16"/>
          <w:szCs w:val="16"/>
        </w:rPr>
        <w:t xml:space="preserve">У процесу пројицирања економских кретања у </w:t>
      </w:r>
      <w:r w:rsidR="0078010E" w:rsidRPr="0078010E">
        <w:rPr>
          <w:rFonts w:ascii="Times New Roman" w:hAnsi="Times New Roman"/>
          <w:sz w:val="16"/>
          <w:szCs w:val="16"/>
          <w:lang w:val="bs-Cyrl-BA"/>
        </w:rPr>
        <w:t>спољном</w:t>
      </w:r>
      <w:r w:rsidR="0078010E" w:rsidRPr="0078010E">
        <w:rPr>
          <w:rFonts w:ascii="Times New Roman" w:hAnsi="Times New Roman"/>
          <w:sz w:val="16"/>
          <w:szCs w:val="16"/>
        </w:rPr>
        <w:t xml:space="preserve"> окружења (извозне тражње) кориш</w:t>
      </w:r>
      <w:r w:rsidR="0078010E" w:rsidRPr="0078010E">
        <w:rPr>
          <w:rFonts w:ascii="Times New Roman" w:hAnsi="Times New Roman"/>
          <w:sz w:val="16"/>
          <w:szCs w:val="16"/>
          <w:lang w:val="bs-Cyrl-BA"/>
        </w:rPr>
        <w:t>ћ</w:t>
      </w:r>
      <w:r w:rsidR="0078010E" w:rsidRPr="0078010E">
        <w:rPr>
          <w:rFonts w:ascii="Times New Roman" w:hAnsi="Times New Roman"/>
          <w:sz w:val="16"/>
          <w:szCs w:val="16"/>
        </w:rPr>
        <w:t xml:space="preserve">ени су расположиви подаци </w:t>
      </w:r>
      <w:r w:rsidR="0078010E" w:rsidRPr="0078010E">
        <w:rPr>
          <w:rFonts w:ascii="Times New Roman" w:hAnsi="Times New Roman"/>
          <w:i/>
          <w:sz w:val="16"/>
          <w:szCs w:val="16"/>
        </w:rPr>
        <w:t>DG ECFIN</w:t>
      </w:r>
      <w:r w:rsidR="0078010E" w:rsidRPr="0078010E">
        <w:rPr>
          <w:rFonts w:ascii="Times New Roman" w:hAnsi="Times New Roman"/>
          <w:sz w:val="16"/>
          <w:szCs w:val="16"/>
        </w:rPr>
        <w:t xml:space="preserve"> „</w:t>
      </w:r>
      <w:r w:rsidR="0078010E" w:rsidRPr="0078010E">
        <w:rPr>
          <w:rFonts w:ascii="Times New Roman" w:hAnsi="Times New Roman"/>
          <w:i/>
          <w:sz w:val="16"/>
          <w:szCs w:val="16"/>
        </w:rPr>
        <w:t>European Economic Forecasts</w:t>
      </w:r>
      <w:r w:rsidR="0078010E" w:rsidRPr="0078010E">
        <w:rPr>
          <w:rFonts w:ascii="Times New Roman" w:hAnsi="Times New Roman"/>
          <w:sz w:val="16"/>
          <w:szCs w:val="16"/>
        </w:rPr>
        <w:t xml:space="preserve">“ </w:t>
      </w:r>
      <w:r w:rsidR="0078010E" w:rsidRPr="0078010E">
        <w:rPr>
          <w:rFonts w:ascii="Times New Roman" w:hAnsi="Times New Roman"/>
          <w:i/>
          <w:sz w:val="16"/>
          <w:szCs w:val="16"/>
        </w:rPr>
        <w:t>Winter 2022</w:t>
      </w:r>
      <w:r w:rsidR="0078010E" w:rsidRPr="0078010E">
        <w:rPr>
          <w:rFonts w:ascii="Times New Roman" w:hAnsi="Times New Roman"/>
          <w:i/>
          <w:sz w:val="16"/>
          <w:szCs w:val="16"/>
          <w:lang w:val="bs-Cyrl-BA"/>
        </w:rPr>
        <w:t>.</w:t>
      </w:r>
      <w:r w:rsidR="0078010E" w:rsidRPr="0078010E">
        <w:rPr>
          <w:rFonts w:ascii="Times New Roman" w:hAnsi="Times New Roman"/>
          <w:i/>
          <w:sz w:val="16"/>
          <w:szCs w:val="16"/>
        </w:rPr>
        <w:t xml:space="preserve"> (Interim</w:t>
      </w:r>
      <w:r w:rsidR="0078010E" w:rsidRPr="0078010E">
        <w:rPr>
          <w:rFonts w:ascii="Times New Roman" w:hAnsi="Times New Roman"/>
          <w:sz w:val="16"/>
          <w:szCs w:val="16"/>
        </w:rPr>
        <w:t>) из фебруара 2022. године.</w:t>
      </w:r>
    </w:p>
  </w:footnote>
  <w:footnote w:id="26">
    <w:p w14:paraId="538DD1F4" w14:textId="28CC029A" w:rsidR="00EA0FD7" w:rsidRPr="0078010E" w:rsidRDefault="00EA0FD7" w:rsidP="00EA0FD7">
      <w:pPr>
        <w:pStyle w:val="Funote1"/>
        <w:rPr>
          <w:sz w:val="16"/>
          <w:szCs w:val="16"/>
        </w:rPr>
      </w:pPr>
      <w:bookmarkStart w:id="19" w:name="_Hlk107392220"/>
      <w:r w:rsidRPr="0078010E">
        <w:rPr>
          <w:rStyle w:val="Referencafusnote"/>
          <w:rFonts w:ascii="Times New Roman" w:hAnsi="Times New Roman"/>
          <w:sz w:val="16"/>
          <w:szCs w:val="16"/>
        </w:rPr>
        <w:footnoteRef/>
      </w:r>
      <w:r w:rsidRPr="0078010E">
        <w:rPr>
          <w:rFonts w:ascii="Times New Roman" w:hAnsi="Times New Roman"/>
          <w:sz w:val="16"/>
          <w:szCs w:val="16"/>
        </w:rPr>
        <w:t xml:space="preserve"> </w:t>
      </w:r>
      <w:bookmarkStart w:id="20" w:name="_Hlk82644007"/>
      <w:r w:rsidR="0078010E" w:rsidRPr="0078010E">
        <w:rPr>
          <w:rFonts w:ascii="Times New Roman" w:hAnsi="Times New Roman"/>
          <w:sz w:val="16"/>
          <w:szCs w:val="16"/>
        </w:rPr>
        <w:t>Детаљнији</w:t>
      </w:r>
      <w:r w:rsidR="0078010E" w:rsidRPr="00A64B54">
        <w:rPr>
          <w:rFonts w:ascii="Times New Roman" w:hAnsi="Times New Roman"/>
          <w:sz w:val="16"/>
          <w:szCs w:val="16"/>
        </w:rPr>
        <w:t xml:space="preserve"> </w:t>
      </w:r>
      <w:r w:rsidR="0078010E" w:rsidRPr="0078010E">
        <w:rPr>
          <w:rFonts w:ascii="Times New Roman" w:hAnsi="Times New Roman"/>
          <w:sz w:val="16"/>
          <w:szCs w:val="16"/>
        </w:rPr>
        <w:t>приказ</w:t>
      </w:r>
      <w:r w:rsidR="0078010E" w:rsidRPr="00A64B54">
        <w:rPr>
          <w:rFonts w:ascii="Times New Roman" w:hAnsi="Times New Roman"/>
          <w:sz w:val="16"/>
          <w:szCs w:val="16"/>
        </w:rPr>
        <w:t xml:space="preserve"> </w:t>
      </w:r>
      <w:r w:rsidR="0078010E" w:rsidRPr="0078010E">
        <w:rPr>
          <w:rFonts w:ascii="Times New Roman" w:hAnsi="Times New Roman"/>
          <w:sz w:val="16"/>
          <w:szCs w:val="16"/>
        </w:rPr>
        <w:t>кретања</w:t>
      </w:r>
      <w:r w:rsidR="0078010E" w:rsidRPr="00A64B54">
        <w:rPr>
          <w:rFonts w:ascii="Times New Roman" w:hAnsi="Times New Roman"/>
          <w:sz w:val="16"/>
          <w:szCs w:val="16"/>
        </w:rPr>
        <w:t xml:space="preserve"> </w:t>
      </w:r>
      <w:r w:rsidR="0078010E" w:rsidRPr="0078010E">
        <w:rPr>
          <w:rFonts w:ascii="Times New Roman" w:hAnsi="Times New Roman"/>
          <w:b/>
          <w:bCs/>
          <w:sz w:val="16"/>
          <w:szCs w:val="16"/>
        </w:rPr>
        <w:t>стопа</w:t>
      </w:r>
      <w:r w:rsidR="0078010E" w:rsidRPr="00A64B54">
        <w:rPr>
          <w:rFonts w:ascii="Times New Roman" w:hAnsi="Times New Roman"/>
          <w:b/>
          <w:bCs/>
          <w:sz w:val="16"/>
          <w:szCs w:val="16"/>
        </w:rPr>
        <w:t xml:space="preserve"> </w:t>
      </w:r>
      <w:r w:rsidR="0078010E" w:rsidRPr="0078010E">
        <w:rPr>
          <w:rFonts w:ascii="Times New Roman" w:hAnsi="Times New Roman"/>
          <w:b/>
          <w:bCs/>
          <w:sz w:val="16"/>
          <w:szCs w:val="16"/>
        </w:rPr>
        <w:t>раста</w:t>
      </w:r>
      <w:r w:rsidR="0078010E" w:rsidRPr="00A64B54">
        <w:rPr>
          <w:rFonts w:ascii="Times New Roman" w:hAnsi="Times New Roman"/>
          <w:b/>
          <w:bCs/>
          <w:sz w:val="16"/>
          <w:szCs w:val="16"/>
        </w:rPr>
        <w:t xml:space="preserve"> </w:t>
      </w:r>
      <w:r w:rsidR="0078010E" w:rsidRPr="0078010E">
        <w:rPr>
          <w:rFonts w:ascii="Times New Roman" w:hAnsi="Times New Roman"/>
          <w:b/>
          <w:bCs/>
          <w:sz w:val="16"/>
          <w:szCs w:val="16"/>
        </w:rPr>
        <w:t>извоза</w:t>
      </w:r>
      <w:r w:rsidR="0078010E" w:rsidRPr="00A64B54">
        <w:rPr>
          <w:rFonts w:ascii="Times New Roman" w:hAnsi="Times New Roman"/>
          <w:sz w:val="16"/>
          <w:szCs w:val="16"/>
        </w:rPr>
        <w:t xml:space="preserve">: 2023. </w:t>
      </w:r>
      <w:r w:rsidR="0078010E" w:rsidRPr="0078010E">
        <w:rPr>
          <w:rFonts w:ascii="Times New Roman" w:hAnsi="Times New Roman"/>
          <w:sz w:val="16"/>
          <w:szCs w:val="16"/>
        </w:rPr>
        <w:t>година</w:t>
      </w:r>
      <w:r w:rsidR="0078010E" w:rsidRPr="00A64B54">
        <w:rPr>
          <w:rFonts w:ascii="Times New Roman" w:hAnsi="Times New Roman"/>
          <w:sz w:val="16"/>
          <w:szCs w:val="16"/>
        </w:rPr>
        <w:t xml:space="preserve"> </w:t>
      </w:r>
      <w:r w:rsidR="0078010E" w:rsidRPr="0078010E">
        <w:rPr>
          <w:rFonts w:ascii="Times New Roman" w:hAnsi="Times New Roman"/>
          <w:sz w:val="16"/>
          <w:szCs w:val="16"/>
        </w:rPr>
        <w:t>укупни</w:t>
      </w:r>
      <w:r w:rsidR="0078010E" w:rsidRPr="00A64B54">
        <w:rPr>
          <w:rFonts w:ascii="Times New Roman" w:hAnsi="Times New Roman"/>
          <w:sz w:val="16"/>
          <w:szCs w:val="16"/>
        </w:rPr>
        <w:t xml:space="preserve"> </w:t>
      </w:r>
      <w:r w:rsidR="0078010E" w:rsidRPr="0078010E">
        <w:rPr>
          <w:rFonts w:ascii="Times New Roman" w:hAnsi="Times New Roman"/>
          <w:sz w:val="16"/>
          <w:szCs w:val="16"/>
        </w:rPr>
        <w:t>извоз</w:t>
      </w:r>
      <w:r w:rsidR="0078010E" w:rsidRPr="00A64B54">
        <w:rPr>
          <w:rFonts w:ascii="Times New Roman" w:hAnsi="Times New Roman"/>
          <w:sz w:val="16"/>
          <w:szCs w:val="16"/>
        </w:rPr>
        <w:t xml:space="preserve"> 6,9% (</w:t>
      </w:r>
      <w:r w:rsidR="0078010E" w:rsidRPr="0078010E">
        <w:rPr>
          <w:rFonts w:ascii="Times New Roman" w:hAnsi="Times New Roman"/>
          <w:sz w:val="16"/>
          <w:szCs w:val="16"/>
        </w:rPr>
        <w:t>робе</w:t>
      </w:r>
      <w:r w:rsidR="0078010E" w:rsidRPr="00A64B54">
        <w:rPr>
          <w:rFonts w:ascii="Times New Roman" w:hAnsi="Times New Roman"/>
          <w:sz w:val="16"/>
          <w:szCs w:val="16"/>
        </w:rPr>
        <w:t xml:space="preserve"> 7,4%, </w:t>
      </w:r>
      <w:r w:rsidR="0078010E" w:rsidRPr="0078010E">
        <w:rPr>
          <w:rFonts w:ascii="Times New Roman" w:hAnsi="Times New Roman"/>
          <w:sz w:val="16"/>
          <w:szCs w:val="16"/>
        </w:rPr>
        <w:t>услуге</w:t>
      </w:r>
      <w:r w:rsidR="0078010E" w:rsidRPr="00A64B54">
        <w:rPr>
          <w:rFonts w:ascii="Times New Roman" w:hAnsi="Times New Roman"/>
          <w:sz w:val="16"/>
          <w:szCs w:val="16"/>
        </w:rPr>
        <w:t xml:space="preserve"> 4,5%), 2024. </w:t>
      </w:r>
      <w:r w:rsidR="0078010E" w:rsidRPr="0078010E">
        <w:rPr>
          <w:rFonts w:ascii="Times New Roman" w:hAnsi="Times New Roman"/>
          <w:sz w:val="16"/>
          <w:szCs w:val="16"/>
        </w:rPr>
        <w:t>година</w:t>
      </w:r>
      <w:r w:rsidR="0078010E" w:rsidRPr="00A64B54">
        <w:rPr>
          <w:rFonts w:ascii="Times New Roman" w:hAnsi="Times New Roman"/>
          <w:sz w:val="16"/>
          <w:szCs w:val="16"/>
        </w:rPr>
        <w:t xml:space="preserve"> </w:t>
      </w:r>
      <w:r w:rsidR="0078010E" w:rsidRPr="0078010E">
        <w:rPr>
          <w:rFonts w:ascii="Times New Roman" w:hAnsi="Times New Roman"/>
          <w:sz w:val="16"/>
          <w:szCs w:val="16"/>
        </w:rPr>
        <w:t>укупни</w:t>
      </w:r>
      <w:r w:rsidR="0078010E" w:rsidRPr="00A64B54">
        <w:rPr>
          <w:rFonts w:ascii="Times New Roman" w:hAnsi="Times New Roman"/>
          <w:sz w:val="16"/>
          <w:szCs w:val="16"/>
        </w:rPr>
        <w:t xml:space="preserve"> </w:t>
      </w:r>
      <w:r w:rsidR="0078010E" w:rsidRPr="0078010E">
        <w:rPr>
          <w:rFonts w:ascii="Times New Roman" w:hAnsi="Times New Roman"/>
          <w:sz w:val="16"/>
          <w:szCs w:val="16"/>
        </w:rPr>
        <w:t>извоз</w:t>
      </w:r>
      <w:r w:rsidR="0078010E" w:rsidRPr="00A64B54">
        <w:rPr>
          <w:rFonts w:ascii="Times New Roman" w:hAnsi="Times New Roman"/>
          <w:sz w:val="16"/>
          <w:szCs w:val="16"/>
        </w:rPr>
        <w:t xml:space="preserve"> 6,2% (</w:t>
      </w:r>
      <w:r w:rsidR="0078010E" w:rsidRPr="0078010E">
        <w:rPr>
          <w:rFonts w:ascii="Times New Roman" w:hAnsi="Times New Roman"/>
          <w:sz w:val="16"/>
          <w:szCs w:val="16"/>
        </w:rPr>
        <w:t>робе</w:t>
      </w:r>
      <w:r w:rsidR="0078010E" w:rsidRPr="00A64B54">
        <w:rPr>
          <w:rFonts w:ascii="Times New Roman" w:hAnsi="Times New Roman"/>
          <w:sz w:val="16"/>
          <w:szCs w:val="16"/>
        </w:rPr>
        <w:t xml:space="preserve"> 6,0%, </w:t>
      </w:r>
      <w:r w:rsidR="0078010E" w:rsidRPr="0078010E">
        <w:rPr>
          <w:rFonts w:ascii="Times New Roman" w:hAnsi="Times New Roman"/>
          <w:sz w:val="16"/>
          <w:szCs w:val="16"/>
        </w:rPr>
        <w:t>услуге</w:t>
      </w:r>
      <w:r w:rsidR="0078010E" w:rsidRPr="00A64B54">
        <w:rPr>
          <w:rFonts w:ascii="Times New Roman" w:hAnsi="Times New Roman"/>
          <w:sz w:val="16"/>
          <w:szCs w:val="16"/>
        </w:rPr>
        <w:t xml:space="preserve"> 6,9%), </w:t>
      </w:r>
      <w:r w:rsidR="0078010E" w:rsidRPr="0078010E">
        <w:rPr>
          <w:rFonts w:ascii="Times New Roman" w:hAnsi="Times New Roman"/>
          <w:sz w:val="16"/>
          <w:szCs w:val="16"/>
        </w:rPr>
        <w:t>и</w:t>
      </w:r>
      <w:r w:rsidR="0078010E" w:rsidRPr="00A64B54">
        <w:rPr>
          <w:rFonts w:ascii="Times New Roman" w:hAnsi="Times New Roman"/>
          <w:sz w:val="16"/>
          <w:szCs w:val="16"/>
        </w:rPr>
        <w:t xml:space="preserve"> 2025. </w:t>
      </w:r>
      <w:r w:rsidR="0078010E" w:rsidRPr="0078010E">
        <w:rPr>
          <w:rFonts w:ascii="Times New Roman" w:hAnsi="Times New Roman"/>
          <w:sz w:val="16"/>
          <w:szCs w:val="16"/>
        </w:rPr>
        <w:t>године</w:t>
      </w:r>
      <w:r w:rsidR="0078010E" w:rsidRPr="00A64B54">
        <w:rPr>
          <w:rFonts w:ascii="Times New Roman" w:hAnsi="Times New Roman"/>
          <w:sz w:val="16"/>
          <w:szCs w:val="16"/>
        </w:rPr>
        <w:t xml:space="preserve"> </w:t>
      </w:r>
      <w:r w:rsidR="0078010E" w:rsidRPr="0078010E">
        <w:rPr>
          <w:rFonts w:ascii="Times New Roman" w:hAnsi="Times New Roman"/>
          <w:sz w:val="16"/>
          <w:szCs w:val="16"/>
        </w:rPr>
        <w:t>укупни</w:t>
      </w:r>
      <w:r w:rsidR="0078010E" w:rsidRPr="00A64B54">
        <w:rPr>
          <w:rFonts w:ascii="Times New Roman" w:hAnsi="Times New Roman"/>
          <w:sz w:val="16"/>
          <w:szCs w:val="16"/>
        </w:rPr>
        <w:t xml:space="preserve"> </w:t>
      </w:r>
      <w:r w:rsidR="0078010E" w:rsidRPr="0078010E">
        <w:rPr>
          <w:rFonts w:ascii="Times New Roman" w:hAnsi="Times New Roman"/>
          <w:sz w:val="16"/>
          <w:szCs w:val="16"/>
        </w:rPr>
        <w:t>извоз</w:t>
      </w:r>
      <w:r w:rsidR="0078010E" w:rsidRPr="00A64B54">
        <w:rPr>
          <w:rFonts w:ascii="Times New Roman" w:hAnsi="Times New Roman"/>
          <w:sz w:val="16"/>
          <w:szCs w:val="16"/>
        </w:rPr>
        <w:t xml:space="preserve"> 6,1% (</w:t>
      </w:r>
      <w:r w:rsidR="0078010E" w:rsidRPr="0078010E">
        <w:rPr>
          <w:rFonts w:ascii="Times New Roman" w:hAnsi="Times New Roman"/>
          <w:sz w:val="16"/>
          <w:szCs w:val="16"/>
        </w:rPr>
        <w:t>робе</w:t>
      </w:r>
      <w:r w:rsidR="0078010E" w:rsidRPr="00A64B54">
        <w:rPr>
          <w:rFonts w:ascii="Times New Roman" w:hAnsi="Times New Roman"/>
          <w:sz w:val="16"/>
          <w:szCs w:val="16"/>
        </w:rPr>
        <w:t xml:space="preserve"> 5,9%, </w:t>
      </w:r>
      <w:r w:rsidR="0078010E" w:rsidRPr="0078010E">
        <w:rPr>
          <w:rFonts w:ascii="Times New Roman" w:hAnsi="Times New Roman"/>
          <w:sz w:val="16"/>
          <w:szCs w:val="16"/>
        </w:rPr>
        <w:t>услуге</w:t>
      </w:r>
      <w:r w:rsidR="0078010E" w:rsidRPr="00A64B54">
        <w:rPr>
          <w:rFonts w:ascii="Times New Roman" w:hAnsi="Times New Roman"/>
          <w:sz w:val="16"/>
          <w:szCs w:val="16"/>
        </w:rPr>
        <w:t xml:space="preserve"> </w:t>
      </w:r>
      <w:bookmarkEnd w:id="20"/>
      <w:r w:rsidR="0078010E" w:rsidRPr="00A64B54">
        <w:rPr>
          <w:rFonts w:ascii="Times New Roman" w:hAnsi="Times New Roman"/>
          <w:sz w:val="16"/>
          <w:szCs w:val="16"/>
        </w:rPr>
        <w:t>7,0%)</w:t>
      </w:r>
    </w:p>
  </w:footnote>
  <w:footnote w:id="27">
    <w:p w14:paraId="02BC5862" w14:textId="32086EFD" w:rsidR="00EA0FD7" w:rsidRDefault="00EA0FD7" w:rsidP="00EA0FD7">
      <w:pPr>
        <w:pStyle w:val="Funote1"/>
      </w:pPr>
      <w:r w:rsidRPr="0078010E">
        <w:rPr>
          <w:rStyle w:val="Referencafusnote"/>
          <w:rFonts w:cs="Calibri"/>
          <w:sz w:val="16"/>
          <w:szCs w:val="16"/>
        </w:rPr>
        <w:footnoteRef/>
      </w:r>
      <w:r w:rsidRPr="0078010E">
        <w:rPr>
          <w:sz w:val="16"/>
          <w:szCs w:val="16"/>
        </w:rPr>
        <w:t xml:space="preserve"> </w:t>
      </w:r>
      <w:r w:rsidR="0078010E" w:rsidRPr="0078010E">
        <w:rPr>
          <w:rFonts w:ascii="Times New Roman" w:hAnsi="Times New Roman"/>
          <w:sz w:val="16"/>
          <w:szCs w:val="16"/>
        </w:rPr>
        <w:t xml:space="preserve">Детаљнији приказ кретања </w:t>
      </w:r>
      <w:r w:rsidR="0078010E" w:rsidRPr="0078010E">
        <w:rPr>
          <w:rFonts w:ascii="Times New Roman" w:hAnsi="Times New Roman"/>
          <w:b/>
          <w:bCs/>
          <w:sz w:val="16"/>
          <w:szCs w:val="16"/>
        </w:rPr>
        <w:t>стопа раста увоза</w:t>
      </w:r>
      <w:r w:rsidR="0078010E" w:rsidRPr="0078010E">
        <w:rPr>
          <w:rFonts w:ascii="Times New Roman" w:hAnsi="Times New Roman"/>
          <w:sz w:val="16"/>
          <w:szCs w:val="16"/>
        </w:rPr>
        <w:t>: 2023. година укупни увоз 4,1% (робе 4,2%, услуге 2,7%), 2024. година укупни увоз 4,0% (робе 4,0%, услуге 2,7%), и 2025. године укупни увоз 4,6% (робе 4,7%, услуге 3,2%)</w:t>
      </w:r>
    </w:p>
  </w:footnote>
  <w:footnote w:id="28">
    <w:p w14:paraId="0E976545" w14:textId="15EE452B" w:rsidR="00EA0FD7" w:rsidRPr="0078010E" w:rsidRDefault="00EA0FD7" w:rsidP="00EA0FD7">
      <w:pPr>
        <w:pStyle w:val="Funote1"/>
        <w:rPr>
          <w:sz w:val="16"/>
          <w:szCs w:val="16"/>
          <w:lang w:val="bs-Cyrl-BA"/>
        </w:rPr>
      </w:pPr>
      <w:r w:rsidRPr="0078010E">
        <w:rPr>
          <w:rStyle w:val="Referencafusnote"/>
          <w:rFonts w:cs="Calibri"/>
          <w:sz w:val="16"/>
          <w:szCs w:val="16"/>
        </w:rPr>
        <w:footnoteRef/>
      </w:r>
      <w:r w:rsidRPr="0078010E">
        <w:rPr>
          <w:sz w:val="16"/>
          <w:szCs w:val="16"/>
        </w:rPr>
        <w:t xml:space="preserve"> </w:t>
      </w:r>
      <w:r w:rsidR="0078010E" w:rsidRPr="0078010E">
        <w:rPr>
          <w:sz w:val="16"/>
          <w:szCs w:val="16"/>
          <w:lang w:val="bs-Cyrl-BA"/>
        </w:rPr>
        <w:t>Извор: Централна банка Босне и Херцеговине</w:t>
      </w:r>
    </w:p>
  </w:footnote>
  <w:footnote w:id="29">
    <w:p w14:paraId="6114CE5A" w14:textId="326CDBA2" w:rsidR="00EA0FD7" w:rsidRDefault="00EA0FD7" w:rsidP="00EA0FD7">
      <w:pPr>
        <w:pStyle w:val="Funote1"/>
      </w:pPr>
      <w:r>
        <w:rPr>
          <w:rStyle w:val="Referencafusnote"/>
          <w:rFonts w:ascii="Times New Roman" w:hAnsi="Times New Roman"/>
          <w:sz w:val="18"/>
          <w:szCs w:val="18"/>
        </w:rPr>
        <w:footnoteRef/>
      </w:r>
      <w:r>
        <w:rPr>
          <w:rFonts w:ascii="Times New Roman" w:hAnsi="Times New Roman"/>
          <w:sz w:val="18"/>
          <w:szCs w:val="18"/>
        </w:rPr>
        <w:t xml:space="preserve"> </w:t>
      </w:r>
      <w:hyperlink r:id="rId5" w:history="1">
        <w:r w:rsidR="00AE5455" w:rsidRPr="00063F8F">
          <w:rPr>
            <w:rStyle w:val="Hiperveza"/>
            <w:rFonts w:ascii="Times New Roman" w:hAnsi="Times New Roman"/>
            <w:sz w:val="18"/>
            <w:szCs w:val="18"/>
          </w:rPr>
          <w:t>https://balkangreenenergynews.com/rs/firme-iz-kine-poljske-potpisale-ugovor-o-izgradnji-termoelektrane-ugljevik-3/</w:t>
        </w:r>
      </w:hyperlink>
      <w:r w:rsidR="00AE5455">
        <w:rPr>
          <w:rFonts w:ascii="Times New Roman" w:hAnsi="Times New Roman"/>
          <w:sz w:val="18"/>
          <w:szCs w:val="18"/>
        </w:rPr>
        <w:t xml:space="preserve"> </w:t>
      </w:r>
    </w:p>
  </w:footnote>
  <w:footnote w:id="30">
    <w:p w14:paraId="763D2BB5" w14:textId="53BC95FD" w:rsidR="00EA0FD7" w:rsidRDefault="00EA0FD7" w:rsidP="00EA0FD7">
      <w:pPr>
        <w:pStyle w:val="Funote1"/>
      </w:pPr>
      <w:r>
        <w:rPr>
          <w:rStyle w:val="Referencafusnote"/>
          <w:rFonts w:ascii="Times New Roman" w:hAnsi="Times New Roman"/>
          <w:sz w:val="18"/>
          <w:szCs w:val="18"/>
        </w:rPr>
        <w:footnoteRef/>
      </w:r>
      <w:r>
        <w:rPr>
          <w:rFonts w:ascii="Times New Roman" w:hAnsi="Times New Roman"/>
          <w:sz w:val="18"/>
          <w:szCs w:val="18"/>
        </w:rPr>
        <w:t xml:space="preserve"> </w:t>
      </w:r>
      <w:hyperlink r:id="rId6" w:history="1">
        <w:r w:rsidR="00AE5455" w:rsidRPr="00063F8F">
          <w:rPr>
            <w:rStyle w:val="Hiperveza"/>
            <w:rFonts w:ascii="Times New Roman" w:hAnsi="Times New Roman"/>
            <w:sz w:val="18"/>
            <w:szCs w:val="18"/>
          </w:rPr>
          <w:t>http://www.vladars.net/sr-SP-Cyrl/Vlada/Ministarstva/mper/media/vijesti/Pages/Potpisan-sporazum-o-izgradnji-TE-Gacko2</w:t>
        </w:r>
      </w:hyperlink>
      <w:r w:rsidR="00AE5455">
        <w:rPr>
          <w:rFonts w:ascii="Times New Roman" w:hAnsi="Times New Roman"/>
          <w:sz w:val="18"/>
          <w:szCs w:val="18"/>
        </w:rPr>
        <w:t xml:space="preserve"> </w:t>
      </w:r>
    </w:p>
  </w:footnote>
  <w:footnote w:id="31">
    <w:p w14:paraId="23C2B6DE" w14:textId="6C5F6E23" w:rsidR="00EA0FD7" w:rsidRPr="0078010E" w:rsidRDefault="00EA0FD7" w:rsidP="00EA0FD7">
      <w:pPr>
        <w:pStyle w:val="Funote1"/>
        <w:rPr>
          <w:lang w:val="bs-Cyrl-BA"/>
        </w:rPr>
      </w:pPr>
      <w:r>
        <w:rPr>
          <w:rStyle w:val="Referencafusnote"/>
          <w:rFonts w:ascii="Times New Roman" w:hAnsi="Times New Roman"/>
          <w:sz w:val="18"/>
          <w:szCs w:val="18"/>
        </w:rPr>
        <w:footnoteRef/>
      </w:r>
      <w:r>
        <w:rPr>
          <w:rFonts w:ascii="Times New Roman" w:hAnsi="Times New Roman"/>
          <w:sz w:val="18"/>
          <w:szCs w:val="18"/>
        </w:rPr>
        <w:t xml:space="preserve"> </w:t>
      </w:r>
      <w:hyperlink r:id="rId7" w:history="1">
        <w:r w:rsidR="0078010E" w:rsidRPr="00DA6442">
          <w:rPr>
            <w:rStyle w:val="Hiperveza"/>
            <w:rFonts w:ascii="Times New Roman" w:hAnsi="Times New Roman"/>
            <w:sz w:val="18"/>
            <w:szCs w:val="18"/>
          </w:rPr>
          <w:t>http://www.autoputevirs.com/aprs/Doc.aspx?cat=5&amp;subcat=24&amp;id=24&amp;lang=cir&amp;txt=295</w:t>
        </w:r>
      </w:hyperlink>
      <w:r>
        <w:rPr>
          <w:rFonts w:ascii="Times New Roman" w:hAnsi="Times New Roman"/>
          <w:sz w:val="18"/>
          <w:szCs w:val="18"/>
        </w:rPr>
        <w:t xml:space="preserve"> </w:t>
      </w:r>
      <w:r w:rsidR="0078010E">
        <w:rPr>
          <w:rFonts w:ascii="Times New Roman" w:hAnsi="Times New Roman"/>
          <w:sz w:val="18"/>
          <w:szCs w:val="18"/>
          <w:lang w:val="bs-Cyrl-BA"/>
        </w:rPr>
        <w:t>потписан</w:t>
      </w:r>
      <w:r>
        <w:rPr>
          <w:rFonts w:ascii="Times New Roman" w:hAnsi="Times New Roman"/>
          <w:sz w:val="18"/>
          <w:szCs w:val="18"/>
        </w:rPr>
        <w:t xml:space="preserve"> </w:t>
      </w:r>
      <w:r w:rsidR="0078010E">
        <w:rPr>
          <w:rFonts w:ascii="Times New Roman" w:hAnsi="Times New Roman"/>
          <w:sz w:val="18"/>
          <w:szCs w:val="18"/>
          <w:lang w:val="bs-Cyrl-BA"/>
        </w:rPr>
        <w:t>уговор</w:t>
      </w:r>
      <w:r>
        <w:rPr>
          <w:rFonts w:ascii="Times New Roman" w:hAnsi="Times New Roman"/>
          <w:sz w:val="18"/>
          <w:szCs w:val="18"/>
        </w:rPr>
        <w:t xml:space="preserve"> o </w:t>
      </w:r>
      <w:r w:rsidR="0078010E">
        <w:rPr>
          <w:rFonts w:ascii="Times New Roman" w:hAnsi="Times New Roman"/>
          <w:sz w:val="18"/>
          <w:szCs w:val="18"/>
          <w:lang w:val="bs-Cyrl-BA"/>
        </w:rPr>
        <w:t>концесији</w:t>
      </w:r>
      <w:r>
        <w:rPr>
          <w:rFonts w:ascii="Times New Roman" w:hAnsi="Times New Roman"/>
          <w:sz w:val="18"/>
          <w:szCs w:val="18"/>
        </w:rPr>
        <w:t xml:space="preserve"> </w:t>
      </w:r>
      <w:r w:rsidR="0078010E">
        <w:rPr>
          <w:rFonts w:ascii="Times New Roman" w:hAnsi="Times New Roman"/>
          <w:sz w:val="18"/>
          <w:szCs w:val="18"/>
          <w:lang w:val="bs-Cyrl-BA"/>
        </w:rPr>
        <w:t>с</w:t>
      </w:r>
      <w:r>
        <w:rPr>
          <w:rFonts w:ascii="Times New Roman" w:hAnsi="Times New Roman"/>
          <w:sz w:val="18"/>
          <w:szCs w:val="18"/>
        </w:rPr>
        <w:t xml:space="preserve">a </w:t>
      </w:r>
      <w:r w:rsidR="00AE5455">
        <w:rPr>
          <w:rFonts w:ascii="Times New Roman" w:hAnsi="Times New Roman"/>
          <w:sz w:val="18"/>
          <w:szCs w:val="18"/>
        </w:rPr>
        <w:t xml:space="preserve"> </w:t>
      </w:r>
      <w:r w:rsidR="0078010E">
        <w:rPr>
          <w:rFonts w:ascii="Times New Roman" w:hAnsi="Times New Roman"/>
          <w:sz w:val="18"/>
          <w:szCs w:val="18"/>
          <w:lang w:val="bs-Cyrl-BA"/>
        </w:rPr>
        <w:t>кинеском</w:t>
      </w:r>
      <w:r>
        <w:rPr>
          <w:rFonts w:ascii="Times New Roman" w:hAnsi="Times New Roman"/>
          <w:sz w:val="18"/>
          <w:szCs w:val="18"/>
        </w:rPr>
        <w:t xml:space="preserve"> </w:t>
      </w:r>
      <w:r w:rsidR="0078010E">
        <w:rPr>
          <w:rFonts w:ascii="Times New Roman" w:hAnsi="Times New Roman"/>
          <w:sz w:val="18"/>
          <w:szCs w:val="18"/>
          <w:lang w:val="bs-Cyrl-BA"/>
        </w:rPr>
        <w:t>компанијом</w:t>
      </w:r>
      <w:r>
        <w:rPr>
          <w:rFonts w:ascii="Times New Roman" w:hAnsi="Times New Roman"/>
          <w:sz w:val="18"/>
          <w:szCs w:val="18"/>
        </w:rPr>
        <w:t xml:space="preserve"> „China Shadong Int. Economic &amp; technical cooperation Group Ltd</w:t>
      </w:r>
      <w:r w:rsidR="0078010E">
        <w:rPr>
          <w:rFonts w:ascii="Times New Roman" w:hAnsi="Times New Roman"/>
          <w:sz w:val="18"/>
          <w:szCs w:val="18"/>
          <w:lang w:val="bs-Cyrl-BA"/>
        </w:rPr>
        <w:t xml:space="preserve">“ </w:t>
      </w:r>
    </w:p>
  </w:footnote>
  <w:footnote w:id="32">
    <w:p w14:paraId="7FEE1CB7" w14:textId="4FECC443" w:rsidR="00EA0FD7" w:rsidRDefault="00EA0FD7" w:rsidP="00EA0FD7">
      <w:pPr>
        <w:pStyle w:val="Funote1"/>
      </w:pPr>
      <w:r>
        <w:rPr>
          <w:rStyle w:val="Referencafusnote"/>
          <w:rFonts w:ascii="Times New Roman" w:hAnsi="Times New Roman"/>
          <w:sz w:val="18"/>
          <w:szCs w:val="18"/>
        </w:rPr>
        <w:footnoteRef/>
      </w:r>
      <w:r>
        <w:rPr>
          <w:rFonts w:ascii="Times New Roman" w:hAnsi="Times New Roman"/>
          <w:sz w:val="18"/>
          <w:szCs w:val="18"/>
        </w:rPr>
        <w:t xml:space="preserve"> </w:t>
      </w:r>
      <w:hyperlink r:id="rId8" w:history="1">
        <w:r w:rsidR="00AE5455" w:rsidRPr="00063F8F">
          <w:rPr>
            <w:rStyle w:val="Hiperveza"/>
            <w:rFonts w:ascii="Times New Roman" w:hAnsi="Times New Roman"/>
            <w:sz w:val="18"/>
            <w:szCs w:val="18"/>
          </w:rPr>
          <w:t>https://www.srbija.gov.rs/vest/497512/srbija-od-2014-godine-ulozila-u-rs-59-miliona-evra.php</w:t>
        </w:r>
      </w:hyperlink>
      <w:r w:rsidR="00AE5455">
        <w:rPr>
          <w:rFonts w:ascii="Times New Roman" w:hAnsi="Times New Roman"/>
          <w:sz w:val="18"/>
          <w:szCs w:val="18"/>
        </w:rPr>
        <w:t xml:space="preserve"> </w:t>
      </w:r>
    </w:p>
  </w:footnote>
  <w:footnote w:id="33">
    <w:p w14:paraId="6CD08FEA" w14:textId="2EA9FFA2" w:rsidR="00EA0FD7" w:rsidRDefault="00EA0FD7" w:rsidP="00EA0FD7">
      <w:pPr>
        <w:pStyle w:val="Funote1"/>
      </w:pPr>
      <w:r>
        <w:rPr>
          <w:rStyle w:val="Referencafusnote"/>
          <w:rFonts w:ascii="Times New Roman" w:hAnsi="Times New Roman"/>
          <w:sz w:val="18"/>
          <w:szCs w:val="18"/>
        </w:rPr>
        <w:footnoteRef/>
      </w:r>
      <w:r>
        <w:rPr>
          <w:rFonts w:ascii="Times New Roman" w:hAnsi="Times New Roman"/>
          <w:sz w:val="18"/>
          <w:szCs w:val="18"/>
        </w:rPr>
        <w:t xml:space="preserve"> </w:t>
      </w:r>
      <w:hyperlink r:id="rId9" w:history="1">
        <w:r w:rsidR="00AE5455" w:rsidRPr="00063F8F">
          <w:rPr>
            <w:rStyle w:val="Hiperveza"/>
            <w:rFonts w:ascii="Times New Roman" w:hAnsi="Times New Roman"/>
            <w:sz w:val="18"/>
            <w:szCs w:val="18"/>
          </w:rPr>
          <w:t>https://www.vladars.net/sr-SP-Cyrl/Vlada/media/aktuelnosti/Pages/11.zajednickasjednica.aspx</w:t>
        </w:r>
      </w:hyperlink>
      <w:r w:rsidR="00AE5455">
        <w:rPr>
          <w:rFonts w:ascii="Times New Roman" w:hAnsi="Times New Roman"/>
          <w:sz w:val="18"/>
          <w:szCs w:val="18"/>
        </w:rPr>
        <w:t xml:space="preserve"> </w:t>
      </w:r>
    </w:p>
  </w:footnote>
  <w:footnote w:id="34">
    <w:p w14:paraId="182DF288" w14:textId="6FD06FCA" w:rsidR="00EA0FD7" w:rsidRDefault="00EA0FD7" w:rsidP="00EA0FD7">
      <w:pPr>
        <w:pStyle w:val="Funote1"/>
      </w:pPr>
      <w:r>
        <w:rPr>
          <w:rStyle w:val="Referencafusnote"/>
          <w:rFonts w:ascii="Times New Roman" w:hAnsi="Times New Roman"/>
          <w:sz w:val="18"/>
          <w:szCs w:val="18"/>
        </w:rPr>
        <w:footnoteRef/>
      </w:r>
      <w:r>
        <w:rPr>
          <w:rFonts w:ascii="Times New Roman" w:hAnsi="Times New Roman"/>
          <w:sz w:val="18"/>
          <w:szCs w:val="18"/>
        </w:rPr>
        <w:t xml:space="preserve"> </w:t>
      </w:r>
      <w:hyperlink r:id="rId10" w:history="1">
        <w:r w:rsidR="00AE5455" w:rsidRPr="00063F8F">
          <w:rPr>
            <w:rStyle w:val="Hiperveza"/>
            <w:rFonts w:ascii="Times New Roman" w:hAnsi="Times New Roman"/>
            <w:sz w:val="18"/>
            <w:szCs w:val="18"/>
          </w:rPr>
          <w:t>https://www.vladars.net/eng/vlada/ministries/MIEM/news/Pages/Italian-company-interested-in-construction-of-solar-power-plants-in-the-Republic-of-Srpska.aspx</w:t>
        </w:r>
      </w:hyperlink>
      <w:r w:rsidR="00AE5455">
        <w:rPr>
          <w:rFonts w:ascii="Times New Roman" w:hAnsi="Times New Roman"/>
          <w:sz w:val="18"/>
          <w:szCs w:val="18"/>
        </w:rPr>
        <w:t xml:space="preserve"> </w:t>
      </w:r>
    </w:p>
  </w:footnote>
  <w:footnote w:id="35">
    <w:p w14:paraId="35BDFBE3" w14:textId="54F56D9F" w:rsidR="00EA0FD7" w:rsidRPr="00AE5455" w:rsidRDefault="00EA0FD7" w:rsidP="00EA0FD7">
      <w:pPr>
        <w:pStyle w:val="Funote1"/>
        <w:rPr>
          <w:lang w:val="bs-Cyrl-BA"/>
        </w:rPr>
      </w:pPr>
      <w:r>
        <w:rPr>
          <w:rStyle w:val="Referencafusnote"/>
          <w:rFonts w:ascii="Times New Roman" w:hAnsi="Times New Roman"/>
          <w:sz w:val="18"/>
          <w:szCs w:val="18"/>
        </w:rPr>
        <w:footnoteRef/>
      </w:r>
      <w:r>
        <w:rPr>
          <w:rFonts w:ascii="Times New Roman" w:hAnsi="Times New Roman"/>
          <w:sz w:val="18"/>
          <w:szCs w:val="18"/>
        </w:rPr>
        <w:t xml:space="preserve"> </w:t>
      </w:r>
      <w:hyperlink r:id="rId11" w:history="1">
        <w:r w:rsidR="00AE5455" w:rsidRPr="00063F8F">
          <w:rPr>
            <w:rStyle w:val="Hiperveza"/>
            <w:rFonts w:ascii="Times New Roman" w:hAnsi="Times New Roman"/>
            <w:sz w:val="18"/>
            <w:szCs w:val="18"/>
          </w:rPr>
          <w:t>https://europa.ba/wp-content/uploads/2020/11/Green-Agenda-Factsheet-2020.pdf</w:t>
        </w:r>
      </w:hyperlink>
      <w:r w:rsidR="00AE5455">
        <w:rPr>
          <w:rFonts w:ascii="Times New Roman" w:hAnsi="Times New Roman"/>
          <w:sz w:val="18"/>
          <w:szCs w:val="18"/>
          <w:lang w:val="bs-Cyrl-BA"/>
        </w:rPr>
        <w:t xml:space="preserve">  </w:t>
      </w:r>
    </w:p>
  </w:footnote>
  <w:footnote w:id="36">
    <w:p w14:paraId="5474FAF2" w14:textId="7EA836F3" w:rsidR="00EA0FD7" w:rsidRPr="00AE5455" w:rsidRDefault="00EA0FD7" w:rsidP="00EA0FD7">
      <w:pPr>
        <w:pStyle w:val="Funote1"/>
        <w:rPr>
          <w:lang w:val="bs-Cyrl-BA"/>
        </w:rPr>
      </w:pPr>
      <w:r>
        <w:rPr>
          <w:rStyle w:val="Referencafusnote"/>
          <w:rFonts w:ascii="Times New Roman" w:hAnsi="Times New Roman"/>
          <w:sz w:val="18"/>
          <w:szCs w:val="18"/>
        </w:rPr>
        <w:footnoteRef/>
      </w:r>
      <w:r>
        <w:rPr>
          <w:rFonts w:ascii="Times New Roman" w:hAnsi="Times New Roman"/>
          <w:sz w:val="18"/>
          <w:szCs w:val="18"/>
        </w:rPr>
        <w:t xml:space="preserve"> </w:t>
      </w:r>
      <w:hyperlink r:id="rId12" w:history="1">
        <w:r w:rsidR="00AE5455" w:rsidRPr="00063F8F">
          <w:rPr>
            <w:rStyle w:val="Hiperveza"/>
            <w:rFonts w:ascii="Times New Roman" w:hAnsi="Times New Roman"/>
            <w:sz w:val="18"/>
            <w:szCs w:val="18"/>
          </w:rPr>
          <w:t>https://www.energy-community.org/implementation/Bosnia_Herzegovina.html</w:t>
        </w:r>
      </w:hyperlink>
      <w:r w:rsidR="00AE5455">
        <w:rPr>
          <w:rFonts w:ascii="Times New Roman" w:hAnsi="Times New Roman"/>
          <w:sz w:val="18"/>
          <w:szCs w:val="18"/>
          <w:lang w:val="bs-Cyrl-BA"/>
        </w:rPr>
        <w:t xml:space="preserve"> </w:t>
      </w:r>
    </w:p>
  </w:footnote>
  <w:footnote w:id="37">
    <w:p w14:paraId="26CBFAB2" w14:textId="220EE8A2" w:rsidR="00EA0FD7" w:rsidRPr="0078010E" w:rsidRDefault="00EA0FD7" w:rsidP="00EA0FD7">
      <w:pPr>
        <w:pStyle w:val="Funote1"/>
        <w:rPr>
          <w:rFonts w:ascii="Times New Roman" w:hAnsi="Times New Roman"/>
          <w:lang w:val="bs-Cyrl-BA"/>
        </w:rPr>
      </w:pPr>
      <w:r w:rsidRPr="0078010E">
        <w:rPr>
          <w:rStyle w:val="Referencafusnote"/>
          <w:rFonts w:ascii="Times New Roman" w:hAnsi="Times New Roman"/>
          <w:sz w:val="16"/>
          <w:szCs w:val="16"/>
        </w:rPr>
        <w:footnoteRef/>
      </w:r>
      <w:r w:rsidRPr="0078010E">
        <w:rPr>
          <w:rFonts w:ascii="Times New Roman" w:hAnsi="Times New Roman"/>
          <w:sz w:val="16"/>
          <w:szCs w:val="16"/>
          <w:lang w:val="hr-BA"/>
        </w:rPr>
        <w:t xml:space="preserve"> </w:t>
      </w:r>
      <w:r w:rsidR="0078010E" w:rsidRPr="0078010E">
        <w:rPr>
          <w:rFonts w:ascii="Times New Roman" w:hAnsi="Times New Roman"/>
          <w:sz w:val="16"/>
          <w:szCs w:val="16"/>
          <w:lang w:val="bs-Cyrl-BA"/>
        </w:rPr>
        <w:t xml:space="preserve">Подаци преузети од Дирекције за финансије </w:t>
      </w:r>
      <w:r w:rsidR="0078010E">
        <w:rPr>
          <w:rFonts w:ascii="Times New Roman" w:hAnsi="Times New Roman"/>
          <w:sz w:val="16"/>
          <w:szCs w:val="16"/>
          <w:lang w:val="bs-Cyrl-BA"/>
        </w:rPr>
        <w:t>–</w:t>
      </w:r>
      <w:r w:rsidR="0078010E" w:rsidRPr="0078010E">
        <w:rPr>
          <w:rFonts w:ascii="Times New Roman" w:hAnsi="Times New Roman"/>
          <w:sz w:val="16"/>
          <w:szCs w:val="16"/>
          <w:lang w:val="bs-Cyrl-BA"/>
        </w:rPr>
        <w:t xml:space="preserve"> Трезор</w:t>
      </w:r>
      <w:r w:rsidRPr="0078010E">
        <w:rPr>
          <w:rFonts w:ascii="Times New Roman" w:hAnsi="Times New Roman"/>
          <w:sz w:val="16"/>
          <w:szCs w:val="16"/>
          <w:lang w:val="hr-BA"/>
        </w:rPr>
        <w:t xml:space="preserve"> </w:t>
      </w:r>
      <w:r w:rsidR="0078010E" w:rsidRPr="0078010E">
        <w:rPr>
          <w:rFonts w:ascii="Times New Roman" w:hAnsi="Times New Roman"/>
          <w:sz w:val="16"/>
          <w:szCs w:val="16"/>
          <w:lang w:val="hr-BA"/>
        </w:rPr>
        <w:t>–</w:t>
      </w:r>
      <w:r w:rsidRPr="0078010E">
        <w:rPr>
          <w:rFonts w:ascii="Times New Roman" w:hAnsi="Times New Roman"/>
          <w:sz w:val="16"/>
          <w:szCs w:val="16"/>
          <w:lang w:val="hr-BA"/>
        </w:rPr>
        <w:t xml:space="preserve"> </w:t>
      </w:r>
      <w:r w:rsidR="0078010E" w:rsidRPr="0078010E">
        <w:rPr>
          <w:rFonts w:ascii="Times New Roman" w:hAnsi="Times New Roman"/>
          <w:sz w:val="16"/>
          <w:szCs w:val="16"/>
          <w:lang w:val="bs-Cyrl-BA"/>
        </w:rPr>
        <w:t>Сектор за извршење буџета</w:t>
      </w:r>
    </w:p>
  </w:footnote>
  <w:footnote w:id="38">
    <w:p w14:paraId="7A5D3DE6" w14:textId="101B3B61" w:rsidR="00EA0FD7" w:rsidRPr="0078010E" w:rsidRDefault="00EA0FD7" w:rsidP="00EA0FD7">
      <w:pPr>
        <w:pStyle w:val="Funote1"/>
        <w:jc w:val="both"/>
        <w:rPr>
          <w:rFonts w:ascii="Calibri" w:hAnsi="Calibri"/>
          <w:sz w:val="14"/>
          <w:szCs w:val="16"/>
        </w:rPr>
      </w:pPr>
      <w:bookmarkStart w:id="38" w:name="_Hlk107392553"/>
      <w:r w:rsidRPr="0078010E">
        <w:rPr>
          <w:rStyle w:val="Referencafusnote"/>
          <w:sz w:val="14"/>
          <w:szCs w:val="16"/>
        </w:rPr>
        <w:footnoteRef/>
      </w:r>
      <w:r w:rsidR="0078010E" w:rsidRPr="0078010E">
        <w:rPr>
          <w:sz w:val="14"/>
          <w:szCs w:val="16"/>
        </w:rPr>
        <w:t>Одлука</w:t>
      </w:r>
      <w:r w:rsidR="0078010E" w:rsidRPr="00A64B54">
        <w:rPr>
          <w:sz w:val="14"/>
          <w:szCs w:val="16"/>
        </w:rPr>
        <w:t xml:space="preserve"> </w:t>
      </w:r>
      <w:r w:rsidR="0078010E" w:rsidRPr="0078010E">
        <w:rPr>
          <w:sz w:val="14"/>
          <w:szCs w:val="16"/>
        </w:rPr>
        <w:t>о</w:t>
      </w:r>
      <w:r w:rsidR="0078010E" w:rsidRPr="00A64B54">
        <w:rPr>
          <w:sz w:val="14"/>
          <w:szCs w:val="16"/>
        </w:rPr>
        <w:t xml:space="preserve"> </w:t>
      </w:r>
      <w:r w:rsidR="0078010E" w:rsidRPr="0078010E">
        <w:rPr>
          <w:sz w:val="14"/>
          <w:szCs w:val="16"/>
        </w:rPr>
        <w:t>утврђивању</w:t>
      </w:r>
      <w:r w:rsidR="0078010E" w:rsidRPr="00A64B54">
        <w:rPr>
          <w:sz w:val="14"/>
          <w:szCs w:val="16"/>
        </w:rPr>
        <w:t xml:space="preserve"> </w:t>
      </w:r>
      <w:r w:rsidR="0078010E" w:rsidRPr="0078010E">
        <w:rPr>
          <w:sz w:val="14"/>
          <w:szCs w:val="16"/>
        </w:rPr>
        <w:t>специфичне</w:t>
      </w:r>
      <w:r w:rsidR="0078010E" w:rsidRPr="00A64B54">
        <w:rPr>
          <w:sz w:val="14"/>
          <w:szCs w:val="16"/>
        </w:rPr>
        <w:t xml:space="preserve"> </w:t>
      </w:r>
      <w:r w:rsidR="0078010E" w:rsidRPr="0078010E">
        <w:rPr>
          <w:sz w:val="14"/>
          <w:szCs w:val="16"/>
        </w:rPr>
        <w:t>и</w:t>
      </w:r>
      <w:r w:rsidR="0078010E" w:rsidRPr="00A64B54">
        <w:rPr>
          <w:sz w:val="14"/>
          <w:szCs w:val="16"/>
        </w:rPr>
        <w:t xml:space="preserve"> </w:t>
      </w:r>
      <w:r w:rsidR="0078010E" w:rsidRPr="0078010E">
        <w:rPr>
          <w:sz w:val="14"/>
          <w:szCs w:val="16"/>
        </w:rPr>
        <w:t>минималне</w:t>
      </w:r>
      <w:r w:rsidR="0078010E" w:rsidRPr="00A64B54">
        <w:rPr>
          <w:sz w:val="14"/>
          <w:szCs w:val="16"/>
        </w:rPr>
        <w:t xml:space="preserve"> </w:t>
      </w:r>
      <w:r w:rsidR="0078010E" w:rsidRPr="0078010E">
        <w:rPr>
          <w:sz w:val="14"/>
          <w:szCs w:val="16"/>
        </w:rPr>
        <w:t>акцизе</w:t>
      </w:r>
      <w:r w:rsidR="0078010E" w:rsidRPr="00A64B54">
        <w:rPr>
          <w:sz w:val="14"/>
          <w:szCs w:val="16"/>
        </w:rPr>
        <w:t xml:space="preserve"> </w:t>
      </w:r>
      <w:r w:rsidR="0078010E" w:rsidRPr="0078010E">
        <w:rPr>
          <w:sz w:val="14"/>
          <w:szCs w:val="16"/>
        </w:rPr>
        <w:t>на</w:t>
      </w:r>
      <w:r w:rsidR="0078010E" w:rsidRPr="00A64B54">
        <w:rPr>
          <w:sz w:val="14"/>
          <w:szCs w:val="16"/>
        </w:rPr>
        <w:t xml:space="preserve"> </w:t>
      </w:r>
      <w:r w:rsidR="0078010E" w:rsidRPr="0078010E">
        <w:rPr>
          <w:sz w:val="14"/>
          <w:szCs w:val="16"/>
        </w:rPr>
        <w:t>цигарете</w:t>
      </w:r>
      <w:r w:rsidR="0078010E" w:rsidRPr="00A64B54">
        <w:rPr>
          <w:sz w:val="14"/>
          <w:szCs w:val="16"/>
        </w:rPr>
        <w:t xml:space="preserve"> </w:t>
      </w:r>
      <w:r w:rsidR="0078010E" w:rsidRPr="0078010E">
        <w:rPr>
          <w:sz w:val="14"/>
          <w:szCs w:val="16"/>
        </w:rPr>
        <w:t>и</w:t>
      </w:r>
      <w:r w:rsidR="0078010E" w:rsidRPr="00A64B54">
        <w:rPr>
          <w:sz w:val="14"/>
          <w:szCs w:val="16"/>
        </w:rPr>
        <w:t xml:space="preserve"> </w:t>
      </w:r>
      <w:r w:rsidR="0078010E" w:rsidRPr="0078010E">
        <w:rPr>
          <w:sz w:val="14"/>
          <w:szCs w:val="16"/>
        </w:rPr>
        <w:t>износ</w:t>
      </w:r>
      <w:r w:rsidR="0078010E" w:rsidRPr="00A64B54">
        <w:rPr>
          <w:sz w:val="14"/>
          <w:szCs w:val="16"/>
        </w:rPr>
        <w:t xml:space="preserve"> </w:t>
      </w:r>
      <w:r w:rsidR="0078010E" w:rsidRPr="0078010E">
        <w:rPr>
          <w:sz w:val="14"/>
          <w:szCs w:val="16"/>
        </w:rPr>
        <w:t>акцизе</w:t>
      </w:r>
      <w:r w:rsidR="0078010E" w:rsidRPr="00A64B54">
        <w:rPr>
          <w:sz w:val="14"/>
          <w:szCs w:val="16"/>
        </w:rPr>
        <w:t xml:space="preserve"> </w:t>
      </w:r>
      <w:r w:rsidR="0078010E" w:rsidRPr="0078010E">
        <w:rPr>
          <w:sz w:val="14"/>
          <w:szCs w:val="16"/>
        </w:rPr>
        <w:t>на</w:t>
      </w:r>
      <w:r w:rsidR="0078010E" w:rsidRPr="00A64B54">
        <w:rPr>
          <w:sz w:val="14"/>
          <w:szCs w:val="16"/>
        </w:rPr>
        <w:t xml:space="preserve"> </w:t>
      </w:r>
      <w:r w:rsidR="0078010E" w:rsidRPr="0078010E">
        <w:rPr>
          <w:sz w:val="14"/>
          <w:szCs w:val="16"/>
        </w:rPr>
        <w:t>ду</w:t>
      </w:r>
      <w:r w:rsidR="0078010E">
        <w:rPr>
          <w:sz w:val="14"/>
          <w:szCs w:val="16"/>
          <w:lang w:val="bs-Cyrl-BA"/>
        </w:rPr>
        <w:t>в</w:t>
      </w:r>
      <w:r w:rsidR="0078010E" w:rsidRPr="0078010E">
        <w:rPr>
          <w:sz w:val="14"/>
          <w:szCs w:val="16"/>
        </w:rPr>
        <w:t>ан</w:t>
      </w:r>
      <w:r w:rsidR="0078010E" w:rsidRPr="00A64B54">
        <w:rPr>
          <w:sz w:val="14"/>
          <w:szCs w:val="16"/>
        </w:rPr>
        <w:t xml:space="preserve"> </w:t>
      </w:r>
      <w:r w:rsidR="0078010E" w:rsidRPr="0078010E">
        <w:rPr>
          <w:sz w:val="14"/>
          <w:szCs w:val="16"/>
        </w:rPr>
        <w:t>за</w:t>
      </w:r>
      <w:r w:rsidR="0078010E" w:rsidRPr="00A64B54">
        <w:rPr>
          <w:sz w:val="14"/>
          <w:szCs w:val="16"/>
        </w:rPr>
        <w:t xml:space="preserve"> </w:t>
      </w:r>
      <w:r w:rsidR="0078010E" w:rsidRPr="0078010E">
        <w:rPr>
          <w:sz w:val="14"/>
          <w:szCs w:val="16"/>
        </w:rPr>
        <w:t>пушење</w:t>
      </w:r>
      <w:r w:rsidR="0078010E" w:rsidRPr="00A64B54">
        <w:rPr>
          <w:sz w:val="14"/>
          <w:szCs w:val="16"/>
        </w:rPr>
        <w:t xml:space="preserve"> </w:t>
      </w:r>
      <w:r w:rsidR="0078010E" w:rsidRPr="0078010E">
        <w:rPr>
          <w:sz w:val="14"/>
          <w:szCs w:val="16"/>
        </w:rPr>
        <w:t>за</w:t>
      </w:r>
      <w:r w:rsidR="0078010E" w:rsidRPr="00A64B54">
        <w:rPr>
          <w:sz w:val="14"/>
          <w:szCs w:val="16"/>
        </w:rPr>
        <w:t xml:space="preserve"> 2022. </w:t>
      </w:r>
      <w:r w:rsidR="0078010E" w:rsidRPr="0078010E">
        <w:rPr>
          <w:sz w:val="14"/>
          <w:szCs w:val="16"/>
        </w:rPr>
        <w:t>годину</w:t>
      </w:r>
      <w:r w:rsidR="0078010E" w:rsidRPr="00A64B54">
        <w:rPr>
          <w:sz w:val="14"/>
          <w:szCs w:val="16"/>
        </w:rPr>
        <w:t xml:space="preserve"> (</w:t>
      </w:r>
      <w:r w:rsidR="0078010E">
        <w:rPr>
          <w:sz w:val="14"/>
          <w:szCs w:val="16"/>
          <w:lang w:val="bs-Cyrl-BA"/>
        </w:rPr>
        <w:t>„</w:t>
      </w:r>
      <w:r w:rsidR="0078010E" w:rsidRPr="0078010E">
        <w:rPr>
          <w:sz w:val="14"/>
          <w:szCs w:val="16"/>
        </w:rPr>
        <w:t>Службени</w:t>
      </w:r>
      <w:r w:rsidR="0078010E" w:rsidRPr="00A64B54">
        <w:rPr>
          <w:sz w:val="14"/>
          <w:szCs w:val="16"/>
        </w:rPr>
        <w:t xml:space="preserve"> </w:t>
      </w:r>
      <w:r w:rsidR="0078010E" w:rsidRPr="0078010E">
        <w:rPr>
          <w:sz w:val="14"/>
          <w:szCs w:val="16"/>
        </w:rPr>
        <w:t>гласник</w:t>
      </w:r>
      <w:r w:rsidR="0078010E" w:rsidRPr="00A64B54">
        <w:rPr>
          <w:sz w:val="14"/>
          <w:szCs w:val="16"/>
        </w:rPr>
        <w:t xml:space="preserve"> </w:t>
      </w:r>
      <w:r w:rsidR="0078010E" w:rsidRPr="0078010E">
        <w:rPr>
          <w:sz w:val="14"/>
          <w:szCs w:val="16"/>
        </w:rPr>
        <w:t>БиХ</w:t>
      </w:r>
      <w:r w:rsidR="0078010E">
        <w:rPr>
          <w:sz w:val="14"/>
          <w:szCs w:val="16"/>
          <w:lang w:val="bs-Cyrl-BA"/>
        </w:rPr>
        <w:t>“</w:t>
      </w:r>
      <w:r w:rsidR="0078010E" w:rsidRPr="00A64B54">
        <w:rPr>
          <w:sz w:val="14"/>
          <w:szCs w:val="16"/>
        </w:rPr>
        <w:t xml:space="preserve"> </w:t>
      </w:r>
      <w:r w:rsidR="0078010E" w:rsidRPr="0078010E">
        <w:rPr>
          <w:sz w:val="14"/>
          <w:szCs w:val="16"/>
        </w:rPr>
        <w:t>бр</w:t>
      </w:r>
      <w:r w:rsidR="0078010E" w:rsidRPr="00A64B54">
        <w:rPr>
          <w:sz w:val="14"/>
          <w:szCs w:val="16"/>
        </w:rPr>
        <w:t>. 67/21)</w:t>
      </w:r>
    </w:p>
  </w:footnote>
  <w:footnote w:id="39">
    <w:p w14:paraId="661CAC72" w14:textId="5A368527" w:rsidR="00EA0FD7" w:rsidRPr="0078010E" w:rsidRDefault="00EA0FD7" w:rsidP="00EA0FD7">
      <w:pPr>
        <w:pStyle w:val="Funote1"/>
        <w:jc w:val="both"/>
        <w:rPr>
          <w:sz w:val="14"/>
          <w:szCs w:val="16"/>
        </w:rPr>
      </w:pPr>
      <w:r w:rsidRPr="0078010E">
        <w:rPr>
          <w:rStyle w:val="Referencafusnote"/>
          <w:sz w:val="14"/>
          <w:szCs w:val="16"/>
        </w:rPr>
        <w:footnoteRef/>
      </w:r>
      <w:r w:rsidRPr="0078010E">
        <w:rPr>
          <w:sz w:val="14"/>
          <w:szCs w:val="16"/>
        </w:rPr>
        <w:t xml:space="preserve"> </w:t>
      </w:r>
      <w:r w:rsidR="0078010E" w:rsidRPr="0078010E">
        <w:rPr>
          <w:sz w:val="14"/>
          <w:szCs w:val="16"/>
        </w:rPr>
        <w:t>Нова</w:t>
      </w:r>
      <w:r w:rsidR="0078010E" w:rsidRPr="00A64B54">
        <w:rPr>
          <w:sz w:val="14"/>
          <w:szCs w:val="16"/>
        </w:rPr>
        <w:t xml:space="preserve"> </w:t>
      </w:r>
      <w:r w:rsidR="0078010E" w:rsidRPr="0078010E">
        <w:rPr>
          <w:sz w:val="14"/>
          <w:szCs w:val="16"/>
        </w:rPr>
        <w:t>политика</w:t>
      </w:r>
      <w:r w:rsidR="0078010E" w:rsidRPr="00A64B54">
        <w:rPr>
          <w:sz w:val="14"/>
          <w:szCs w:val="16"/>
        </w:rPr>
        <w:t xml:space="preserve"> </w:t>
      </w:r>
      <w:r w:rsidR="0078010E" w:rsidRPr="0078010E">
        <w:rPr>
          <w:sz w:val="14"/>
          <w:szCs w:val="16"/>
        </w:rPr>
        <w:t>је</w:t>
      </w:r>
      <w:r w:rsidR="0078010E" w:rsidRPr="00A64B54">
        <w:rPr>
          <w:sz w:val="14"/>
          <w:szCs w:val="16"/>
        </w:rPr>
        <w:t xml:space="preserve"> </w:t>
      </w:r>
      <w:r w:rsidR="0078010E" w:rsidRPr="0078010E">
        <w:rPr>
          <w:sz w:val="14"/>
          <w:szCs w:val="16"/>
        </w:rPr>
        <w:t>у</w:t>
      </w:r>
      <w:r w:rsidR="0078010E" w:rsidRPr="00A64B54">
        <w:rPr>
          <w:sz w:val="14"/>
          <w:szCs w:val="16"/>
        </w:rPr>
        <w:t xml:space="preserve"> </w:t>
      </w:r>
      <w:r w:rsidR="0078010E" w:rsidRPr="0078010E">
        <w:rPr>
          <w:sz w:val="14"/>
          <w:szCs w:val="16"/>
        </w:rPr>
        <w:t>примјени</w:t>
      </w:r>
      <w:r w:rsidR="0078010E" w:rsidRPr="00A64B54">
        <w:rPr>
          <w:sz w:val="14"/>
          <w:szCs w:val="16"/>
        </w:rPr>
        <w:t xml:space="preserve"> </w:t>
      </w:r>
      <w:r w:rsidR="0078010E" w:rsidRPr="0078010E">
        <w:rPr>
          <w:sz w:val="14"/>
          <w:szCs w:val="16"/>
        </w:rPr>
        <w:t>од</w:t>
      </w:r>
      <w:r w:rsidR="0078010E" w:rsidRPr="00A64B54">
        <w:rPr>
          <w:sz w:val="14"/>
          <w:szCs w:val="16"/>
        </w:rPr>
        <w:t xml:space="preserve"> 1.</w:t>
      </w:r>
      <w:r w:rsidR="0078010E">
        <w:rPr>
          <w:sz w:val="14"/>
          <w:szCs w:val="16"/>
          <w:lang w:val="bs-Cyrl-BA"/>
        </w:rPr>
        <w:t xml:space="preserve"> </w:t>
      </w:r>
      <w:r w:rsidR="0078010E" w:rsidRPr="00A64B54">
        <w:rPr>
          <w:sz w:val="14"/>
          <w:szCs w:val="16"/>
        </w:rPr>
        <w:t>8.</w:t>
      </w:r>
      <w:r w:rsidR="0078010E">
        <w:rPr>
          <w:sz w:val="14"/>
          <w:szCs w:val="16"/>
          <w:lang w:val="bs-Cyrl-BA"/>
        </w:rPr>
        <w:t xml:space="preserve"> </w:t>
      </w:r>
      <w:r w:rsidR="0078010E" w:rsidRPr="00A64B54">
        <w:rPr>
          <w:sz w:val="14"/>
          <w:szCs w:val="16"/>
        </w:rPr>
        <w:t>2014. (</w:t>
      </w:r>
      <w:r w:rsidR="0078010E" w:rsidRPr="0078010E">
        <w:rPr>
          <w:sz w:val="14"/>
          <w:szCs w:val="16"/>
        </w:rPr>
        <w:t>Измјене</w:t>
      </w:r>
      <w:r w:rsidR="0078010E" w:rsidRPr="00A64B54">
        <w:rPr>
          <w:sz w:val="14"/>
          <w:szCs w:val="16"/>
        </w:rPr>
        <w:t xml:space="preserve"> </w:t>
      </w:r>
      <w:r w:rsidR="0078010E" w:rsidRPr="0078010E">
        <w:rPr>
          <w:sz w:val="14"/>
          <w:szCs w:val="16"/>
        </w:rPr>
        <w:t>Закона</w:t>
      </w:r>
      <w:r w:rsidR="0078010E" w:rsidRPr="00A64B54">
        <w:rPr>
          <w:sz w:val="14"/>
          <w:szCs w:val="16"/>
        </w:rPr>
        <w:t xml:space="preserve"> </w:t>
      </w:r>
      <w:r w:rsidR="0078010E" w:rsidRPr="0078010E">
        <w:rPr>
          <w:sz w:val="14"/>
          <w:szCs w:val="16"/>
        </w:rPr>
        <w:t>о</w:t>
      </w:r>
      <w:r w:rsidR="0078010E" w:rsidRPr="00A64B54">
        <w:rPr>
          <w:sz w:val="14"/>
          <w:szCs w:val="16"/>
        </w:rPr>
        <w:t xml:space="preserve"> </w:t>
      </w:r>
      <w:r w:rsidR="0078010E" w:rsidRPr="0078010E">
        <w:rPr>
          <w:sz w:val="14"/>
          <w:szCs w:val="16"/>
        </w:rPr>
        <w:t>акцизама</w:t>
      </w:r>
      <w:r w:rsidR="0078010E" w:rsidRPr="00A64B54">
        <w:rPr>
          <w:sz w:val="14"/>
          <w:szCs w:val="16"/>
        </w:rPr>
        <w:t xml:space="preserve"> </w:t>
      </w:r>
      <w:r w:rsidR="0078010E" w:rsidRPr="0078010E">
        <w:rPr>
          <w:sz w:val="14"/>
          <w:szCs w:val="16"/>
        </w:rPr>
        <w:t>у</w:t>
      </w:r>
      <w:r w:rsidR="0078010E" w:rsidRPr="00A64B54">
        <w:rPr>
          <w:sz w:val="14"/>
          <w:szCs w:val="16"/>
        </w:rPr>
        <w:t xml:space="preserve"> </w:t>
      </w:r>
      <w:r w:rsidR="0078010E" w:rsidRPr="0078010E">
        <w:rPr>
          <w:sz w:val="14"/>
          <w:szCs w:val="16"/>
        </w:rPr>
        <w:t>БиХ</w:t>
      </w:r>
      <w:r w:rsidR="0078010E" w:rsidRPr="00A64B54">
        <w:rPr>
          <w:sz w:val="14"/>
          <w:szCs w:val="16"/>
        </w:rPr>
        <w:t xml:space="preserve"> „</w:t>
      </w:r>
      <w:r w:rsidR="0078010E" w:rsidRPr="0078010E">
        <w:rPr>
          <w:sz w:val="14"/>
          <w:szCs w:val="16"/>
        </w:rPr>
        <w:t>Службени</w:t>
      </w:r>
      <w:r w:rsidR="0078010E" w:rsidRPr="00A64B54">
        <w:rPr>
          <w:sz w:val="14"/>
          <w:szCs w:val="16"/>
        </w:rPr>
        <w:t xml:space="preserve"> </w:t>
      </w:r>
      <w:r w:rsidR="0078010E" w:rsidRPr="0078010E">
        <w:rPr>
          <w:sz w:val="14"/>
          <w:szCs w:val="16"/>
        </w:rPr>
        <w:t>гласник</w:t>
      </w:r>
      <w:r w:rsidR="0078010E" w:rsidRPr="00A64B54">
        <w:rPr>
          <w:sz w:val="14"/>
          <w:szCs w:val="16"/>
        </w:rPr>
        <w:t xml:space="preserve"> </w:t>
      </w:r>
      <w:r w:rsidR="0078010E" w:rsidRPr="0078010E">
        <w:rPr>
          <w:sz w:val="14"/>
          <w:szCs w:val="16"/>
        </w:rPr>
        <w:t>БиХ</w:t>
      </w:r>
      <w:r w:rsidR="0078010E" w:rsidRPr="00A64B54">
        <w:rPr>
          <w:sz w:val="14"/>
          <w:szCs w:val="16"/>
        </w:rPr>
        <w:t xml:space="preserve">“ </w:t>
      </w:r>
      <w:r w:rsidR="0078010E" w:rsidRPr="0078010E">
        <w:rPr>
          <w:sz w:val="14"/>
          <w:szCs w:val="16"/>
        </w:rPr>
        <w:t>бр</w:t>
      </w:r>
      <w:r w:rsidR="0078010E" w:rsidRPr="00A64B54">
        <w:rPr>
          <w:sz w:val="14"/>
          <w:szCs w:val="16"/>
        </w:rPr>
        <w:t>. 49/14)</w:t>
      </w:r>
    </w:p>
  </w:footnote>
  <w:footnote w:id="40">
    <w:p w14:paraId="7510700C" w14:textId="67A5B0D9" w:rsidR="00EA0FD7" w:rsidRPr="0078010E" w:rsidRDefault="00EA0FD7" w:rsidP="00EA0FD7">
      <w:pPr>
        <w:pStyle w:val="Funote1"/>
        <w:jc w:val="both"/>
        <w:rPr>
          <w:sz w:val="14"/>
          <w:szCs w:val="16"/>
        </w:rPr>
      </w:pPr>
      <w:r w:rsidRPr="0078010E">
        <w:rPr>
          <w:rStyle w:val="Referencafusnote"/>
          <w:sz w:val="14"/>
          <w:szCs w:val="16"/>
        </w:rPr>
        <w:footnoteRef/>
      </w:r>
      <w:r w:rsidRPr="0078010E">
        <w:rPr>
          <w:sz w:val="14"/>
          <w:szCs w:val="16"/>
        </w:rPr>
        <w:t xml:space="preserve"> </w:t>
      </w:r>
      <w:r w:rsidR="0078010E" w:rsidRPr="0078010E">
        <w:rPr>
          <w:sz w:val="14"/>
          <w:szCs w:val="16"/>
        </w:rPr>
        <w:t>Нови</w:t>
      </w:r>
      <w:r w:rsidR="0078010E" w:rsidRPr="00A64B54">
        <w:rPr>
          <w:sz w:val="14"/>
          <w:szCs w:val="16"/>
        </w:rPr>
        <w:t xml:space="preserve"> </w:t>
      </w:r>
      <w:r w:rsidR="0078010E" w:rsidRPr="0078010E">
        <w:rPr>
          <w:sz w:val="14"/>
          <w:szCs w:val="16"/>
        </w:rPr>
        <w:t>Закон</w:t>
      </w:r>
      <w:r w:rsidR="0078010E" w:rsidRPr="00A64B54">
        <w:rPr>
          <w:sz w:val="14"/>
          <w:szCs w:val="16"/>
        </w:rPr>
        <w:t xml:space="preserve"> </w:t>
      </w:r>
      <w:r w:rsidR="0078010E" w:rsidRPr="0078010E">
        <w:rPr>
          <w:sz w:val="14"/>
          <w:szCs w:val="16"/>
        </w:rPr>
        <w:t>о</w:t>
      </w:r>
      <w:r w:rsidR="0078010E" w:rsidRPr="00A64B54">
        <w:rPr>
          <w:sz w:val="14"/>
          <w:szCs w:val="16"/>
        </w:rPr>
        <w:t xml:space="preserve"> </w:t>
      </w:r>
      <w:r w:rsidR="0078010E" w:rsidRPr="0078010E">
        <w:rPr>
          <w:sz w:val="14"/>
          <w:szCs w:val="16"/>
        </w:rPr>
        <w:t>царинској</w:t>
      </w:r>
      <w:r w:rsidR="0078010E" w:rsidRPr="00A64B54">
        <w:rPr>
          <w:sz w:val="14"/>
          <w:szCs w:val="16"/>
        </w:rPr>
        <w:t xml:space="preserve"> </w:t>
      </w:r>
      <w:r w:rsidR="0078010E" w:rsidRPr="0078010E">
        <w:rPr>
          <w:sz w:val="14"/>
          <w:szCs w:val="16"/>
        </w:rPr>
        <w:t>политици</w:t>
      </w:r>
      <w:r w:rsidR="0078010E" w:rsidRPr="00A64B54">
        <w:rPr>
          <w:sz w:val="14"/>
          <w:szCs w:val="16"/>
        </w:rPr>
        <w:t xml:space="preserve"> (</w:t>
      </w:r>
      <w:r w:rsidR="0078010E">
        <w:rPr>
          <w:sz w:val="14"/>
          <w:szCs w:val="16"/>
          <w:lang w:val="bs-Cyrl-BA"/>
        </w:rPr>
        <w:t>„</w:t>
      </w:r>
      <w:r w:rsidR="0078010E" w:rsidRPr="0078010E">
        <w:rPr>
          <w:sz w:val="14"/>
          <w:szCs w:val="16"/>
        </w:rPr>
        <w:t>Службени</w:t>
      </w:r>
      <w:r w:rsidR="0078010E" w:rsidRPr="00A64B54">
        <w:rPr>
          <w:sz w:val="14"/>
          <w:szCs w:val="16"/>
        </w:rPr>
        <w:t xml:space="preserve"> </w:t>
      </w:r>
      <w:r w:rsidR="0078010E" w:rsidRPr="0078010E">
        <w:rPr>
          <w:sz w:val="14"/>
          <w:szCs w:val="16"/>
        </w:rPr>
        <w:t>гласник</w:t>
      </w:r>
      <w:r w:rsidR="0078010E" w:rsidRPr="00A64B54">
        <w:rPr>
          <w:sz w:val="14"/>
          <w:szCs w:val="16"/>
        </w:rPr>
        <w:t xml:space="preserve"> </w:t>
      </w:r>
      <w:r w:rsidR="0078010E" w:rsidRPr="0078010E">
        <w:rPr>
          <w:sz w:val="14"/>
          <w:szCs w:val="16"/>
        </w:rPr>
        <w:t>БиХ</w:t>
      </w:r>
      <w:r w:rsidR="0078010E">
        <w:rPr>
          <w:sz w:val="14"/>
          <w:szCs w:val="16"/>
          <w:lang w:val="bs-Cyrl-BA"/>
        </w:rPr>
        <w:t>“</w:t>
      </w:r>
      <w:r w:rsidR="0078010E" w:rsidRPr="00A64B54">
        <w:rPr>
          <w:sz w:val="14"/>
          <w:szCs w:val="16"/>
        </w:rPr>
        <w:t xml:space="preserve"> </w:t>
      </w:r>
      <w:r w:rsidR="0078010E" w:rsidRPr="0078010E">
        <w:rPr>
          <w:sz w:val="14"/>
          <w:szCs w:val="16"/>
        </w:rPr>
        <w:t>бр</w:t>
      </w:r>
      <w:r w:rsidR="0078010E" w:rsidRPr="00A64B54">
        <w:rPr>
          <w:sz w:val="14"/>
          <w:szCs w:val="16"/>
        </w:rPr>
        <w:t xml:space="preserve">. 58/15) </w:t>
      </w:r>
      <w:r w:rsidR="0078010E" w:rsidRPr="0078010E">
        <w:rPr>
          <w:sz w:val="14"/>
          <w:szCs w:val="16"/>
        </w:rPr>
        <w:t>примјењиваће</w:t>
      </w:r>
      <w:r w:rsidR="0078010E" w:rsidRPr="00A64B54">
        <w:rPr>
          <w:sz w:val="14"/>
          <w:szCs w:val="16"/>
        </w:rPr>
        <w:t xml:space="preserve"> </w:t>
      </w:r>
      <w:r w:rsidR="0078010E" w:rsidRPr="0078010E">
        <w:rPr>
          <w:sz w:val="14"/>
          <w:szCs w:val="16"/>
        </w:rPr>
        <w:t>се</w:t>
      </w:r>
      <w:r w:rsidR="0078010E" w:rsidRPr="00A64B54">
        <w:rPr>
          <w:sz w:val="14"/>
          <w:szCs w:val="16"/>
        </w:rPr>
        <w:t xml:space="preserve"> </w:t>
      </w:r>
      <w:r w:rsidR="0078010E" w:rsidRPr="0078010E">
        <w:rPr>
          <w:sz w:val="14"/>
          <w:szCs w:val="16"/>
        </w:rPr>
        <w:t>од</w:t>
      </w:r>
      <w:r w:rsidR="0078010E" w:rsidRPr="00A64B54">
        <w:rPr>
          <w:sz w:val="14"/>
          <w:szCs w:val="16"/>
        </w:rPr>
        <w:t xml:space="preserve"> 1.</w:t>
      </w:r>
      <w:r w:rsidR="0078010E">
        <w:rPr>
          <w:sz w:val="14"/>
          <w:szCs w:val="16"/>
          <w:lang w:val="bs-Cyrl-BA"/>
        </w:rPr>
        <w:t xml:space="preserve"> </w:t>
      </w:r>
      <w:r w:rsidR="0078010E" w:rsidRPr="00A64B54">
        <w:rPr>
          <w:sz w:val="14"/>
          <w:szCs w:val="16"/>
        </w:rPr>
        <w:t>8.</w:t>
      </w:r>
      <w:r w:rsidR="0078010E">
        <w:rPr>
          <w:sz w:val="14"/>
          <w:szCs w:val="16"/>
          <w:lang w:val="bs-Cyrl-BA"/>
        </w:rPr>
        <w:t xml:space="preserve"> </w:t>
      </w:r>
      <w:r w:rsidR="0078010E" w:rsidRPr="00A64B54">
        <w:rPr>
          <w:sz w:val="14"/>
          <w:szCs w:val="16"/>
        </w:rPr>
        <w:t xml:space="preserve">2022. </w:t>
      </w:r>
      <w:r w:rsidR="0078010E" w:rsidRPr="0078010E">
        <w:rPr>
          <w:sz w:val="14"/>
          <w:szCs w:val="16"/>
        </w:rPr>
        <w:t>године</w:t>
      </w:r>
      <w:r w:rsidR="0078010E" w:rsidRPr="00A64B54">
        <w:rPr>
          <w:sz w:val="14"/>
          <w:szCs w:val="16"/>
        </w:rPr>
        <w:t xml:space="preserve"> (</w:t>
      </w:r>
      <w:r w:rsidR="0078010E">
        <w:rPr>
          <w:sz w:val="14"/>
          <w:szCs w:val="16"/>
          <w:lang w:val="bs-Cyrl-BA"/>
        </w:rPr>
        <w:t>Савјет</w:t>
      </w:r>
      <w:r w:rsidR="0078010E" w:rsidRPr="00A64B54">
        <w:rPr>
          <w:sz w:val="14"/>
          <w:szCs w:val="16"/>
        </w:rPr>
        <w:t xml:space="preserve"> </w:t>
      </w:r>
      <w:r w:rsidR="0078010E" w:rsidRPr="0078010E">
        <w:rPr>
          <w:sz w:val="14"/>
          <w:szCs w:val="16"/>
        </w:rPr>
        <w:t>министара</w:t>
      </w:r>
      <w:r w:rsidR="0078010E" w:rsidRPr="00A64B54">
        <w:rPr>
          <w:sz w:val="14"/>
          <w:szCs w:val="16"/>
        </w:rPr>
        <w:t xml:space="preserve"> </w:t>
      </w:r>
      <w:r w:rsidR="0078010E" w:rsidRPr="0078010E">
        <w:rPr>
          <w:sz w:val="14"/>
          <w:szCs w:val="16"/>
        </w:rPr>
        <w:t>БиХ</w:t>
      </w:r>
      <w:r w:rsidR="0078010E" w:rsidRPr="00A64B54">
        <w:rPr>
          <w:sz w:val="14"/>
          <w:szCs w:val="16"/>
        </w:rPr>
        <w:t xml:space="preserve"> </w:t>
      </w:r>
      <w:r w:rsidR="0078010E" w:rsidRPr="0078010E">
        <w:rPr>
          <w:sz w:val="14"/>
          <w:szCs w:val="16"/>
        </w:rPr>
        <w:t>је</w:t>
      </w:r>
      <w:r w:rsidR="0078010E" w:rsidRPr="00A64B54">
        <w:rPr>
          <w:sz w:val="14"/>
          <w:szCs w:val="16"/>
        </w:rPr>
        <w:t xml:space="preserve"> </w:t>
      </w:r>
      <w:r w:rsidR="0078010E" w:rsidRPr="0078010E">
        <w:rPr>
          <w:sz w:val="14"/>
          <w:szCs w:val="16"/>
        </w:rPr>
        <w:t>на</w:t>
      </w:r>
      <w:r w:rsidR="0078010E" w:rsidRPr="00A64B54">
        <w:rPr>
          <w:sz w:val="14"/>
          <w:szCs w:val="16"/>
        </w:rPr>
        <w:t xml:space="preserve"> 48. </w:t>
      </w:r>
      <w:r w:rsidR="0078010E">
        <w:rPr>
          <w:sz w:val="14"/>
          <w:szCs w:val="16"/>
          <w:lang w:val="bs-Cyrl-BA"/>
        </w:rPr>
        <w:t>с</w:t>
      </w:r>
      <w:r w:rsidR="0078010E" w:rsidRPr="0078010E">
        <w:rPr>
          <w:sz w:val="14"/>
          <w:szCs w:val="16"/>
        </w:rPr>
        <w:t>једници</w:t>
      </w:r>
      <w:r w:rsidR="0078010E" w:rsidRPr="00A64B54">
        <w:rPr>
          <w:sz w:val="14"/>
          <w:szCs w:val="16"/>
        </w:rPr>
        <w:t xml:space="preserve"> </w:t>
      </w:r>
      <w:r w:rsidR="0078010E" w:rsidRPr="0078010E">
        <w:rPr>
          <w:sz w:val="14"/>
          <w:szCs w:val="16"/>
        </w:rPr>
        <w:t>одржаној</w:t>
      </w:r>
      <w:r w:rsidR="0078010E" w:rsidRPr="00A64B54">
        <w:rPr>
          <w:sz w:val="14"/>
          <w:szCs w:val="16"/>
        </w:rPr>
        <w:t xml:space="preserve"> 30.</w:t>
      </w:r>
      <w:r w:rsidR="0078010E">
        <w:rPr>
          <w:sz w:val="14"/>
          <w:szCs w:val="16"/>
          <w:lang w:val="bs-Cyrl-BA"/>
        </w:rPr>
        <w:t xml:space="preserve"> </w:t>
      </w:r>
      <w:r w:rsidR="0078010E" w:rsidRPr="00A64B54">
        <w:rPr>
          <w:sz w:val="14"/>
          <w:szCs w:val="16"/>
        </w:rPr>
        <w:t>3.</w:t>
      </w:r>
      <w:r w:rsidR="0078010E">
        <w:rPr>
          <w:sz w:val="14"/>
          <w:szCs w:val="16"/>
          <w:lang w:val="bs-Cyrl-BA"/>
        </w:rPr>
        <w:t xml:space="preserve"> </w:t>
      </w:r>
      <w:r w:rsidR="0078010E" w:rsidRPr="00A64B54">
        <w:rPr>
          <w:sz w:val="14"/>
          <w:szCs w:val="16"/>
        </w:rPr>
        <w:t xml:space="preserve">2022. </w:t>
      </w:r>
      <w:r w:rsidR="0078010E" w:rsidRPr="0078010E">
        <w:rPr>
          <w:sz w:val="14"/>
          <w:szCs w:val="16"/>
        </w:rPr>
        <w:t>године</w:t>
      </w:r>
      <w:r w:rsidR="0078010E" w:rsidRPr="00A64B54">
        <w:rPr>
          <w:sz w:val="14"/>
          <w:szCs w:val="16"/>
        </w:rPr>
        <w:t xml:space="preserve">, </w:t>
      </w:r>
      <w:r w:rsidR="0078010E" w:rsidRPr="0078010E">
        <w:rPr>
          <w:sz w:val="14"/>
          <w:szCs w:val="16"/>
        </w:rPr>
        <w:t>на</w:t>
      </w:r>
      <w:r w:rsidR="0078010E" w:rsidRPr="00A64B54">
        <w:rPr>
          <w:sz w:val="14"/>
          <w:szCs w:val="16"/>
        </w:rPr>
        <w:t xml:space="preserve"> </w:t>
      </w:r>
      <w:r w:rsidR="0078010E" w:rsidRPr="0078010E">
        <w:rPr>
          <w:sz w:val="14"/>
          <w:szCs w:val="16"/>
        </w:rPr>
        <w:t>приједлог</w:t>
      </w:r>
      <w:r w:rsidR="0078010E" w:rsidRPr="00A64B54">
        <w:rPr>
          <w:sz w:val="14"/>
          <w:szCs w:val="16"/>
        </w:rPr>
        <w:t xml:space="preserve"> </w:t>
      </w:r>
      <w:r w:rsidR="0078010E" w:rsidRPr="0078010E">
        <w:rPr>
          <w:sz w:val="14"/>
          <w:szCs w:val="16"/>
        </w:rPr>
        <w:t>Управе</w:t>
      </w:r>
      <w:r w:rsidR="0078010E" w:rsidRPr="00A64B54">
        <w:rPr>
          <w:sz w:val="14"/>
          <w:szCs w:val="16"/>
        </w:rPr>
        <w:t xml:space="preserve"> </w:t>
      </w:r>
      <w:r w:rsidR="0078010E" w:rsidRPr="0078010E">
        <w:rPr>
          <w:sz w:val="14"/>
          <w:szCs w:val="16"/>
        </w:rPr>
        <w:t>за</w:t>
      </w:r>
      <w:r w:rsidR="0078010E" w:rsidRPr="00A64B54">
        <w:rPr>
          <w:sz w:val="14"/>
          <w:szCs w:val="16"/>
        </w:rPr>
        <w:t xml:space="preserve"> </w:t>
      </w:r>
      <w:r w:rsidR="0078010E" w:rsidRPr="0078010E">
        <w:rPr>
          <w:sz w:val="14"/>
          <w:szCs w:val="16"/>
        </w:rPr>
        <w:t>индиректно</w:t>
      </w:r>
      <w:r w:rsidR="0078010E" w:rsidRPr="00A64B54">
        <w:rPr>
          <w:sz w:val="14"/>
          <w:szCs w:val="16"/>
        </w:rPr>
        <w:t xml:space="preserve"> </w:t>
      </w:r>
      <w:r w:rsidR="0078010E" w:rsidRPr="0078010E">
        <w:rPr>
          <w:sz w:val="14"/>
          <w:szCs w:val="16"/>
        </w:rPr>
        <w:t>опорезивање</w:t>
      </w:r>
      <w:r w:rsidR="0078010E" w:rsidRPr="00A64B54">
        <w:rPr>
          <w:sz w:val="14"/>
          <w:szCs w:val="16"/>
        </w:rPr>
        <w:t xml:space="preserve">, </w:t>
      </w:r>
      <w:r w:rsidR="0078010E" w:rsidRPr="0078010E">
        <w:rPr>
          <w:sz w:val="14"/>
          <w:szCs w:val="16"/>
        </w:rPr>
        <w:t>дон</w:t>
      </w:r>
      <w:r w:rsidR="0078010E">
        <w:rPr>
          <w:sz w:val="14"/>
          <w:szCs w:val="16"/>
          <w:lang w:val="bs-Cyrl-BA"/>
        </w:rPr>
        <w:t>и</w:t>
      </w:r>
      <w:r w:rsidR="0078010E" w:rsidRPr="0078010E">
        <w:rPr>
          <w:sz w:val="14"/>
          <w:szCs w:val="16"/>
        </w:rPr>
        <w:t>о</w:t>
      </w:r>
      <w:r w:rsidR="0078010E" w:rsidRPr="00A64B54">
        <w:rPr>
          <w:sz w:val="14"/>
          <w:szCs w:val="16"/>
        </w:rPr>
        <w:t xml:space="preserve"> </w:t>
      </w:r>
      <w:r w:rsidR="0078010E" w:rsidRPr="0078010E">
        <w:rPr>
          <w:sz w:val="14"/>
          <w:szCs w:val="16"/>
        </w:rPr>
        <w:t>Одлуку</w:t>
      </w:r>
      <w:r w:rsidR="0078010E" w:rsidRPr="00A64B54">
        <w:rPr>
          <w:sz w:val="14"/>
          <w:szCs w:val="16"/>
        </w:rPr>
        <w:t xml:space="preserve"> </w:t>
      </w:r>
      <w:r w:rsidR="0078010E" w:rsidRPr="0078010E">
        <w:rPr>
          <w:sz w:val="14"/>
          <w:szCs w:val="16"/>
        </w:rPr>
        <w:t>о</w:t>
      </w:r>
      <w:r w:rsidR="0078010E" w:rsidRPr="00A64B54">
        <w:rPr>
          <w:sz w:val="14"/>
          <w:szCs w:val="16"/>
        </w:rPr>
        <w:t xml:space="preserve"> </w:t>
      </w:r>
      <w:r w:rsidR="0078010E" w:rsidRPr="0078010E">
        <w:rPr>
          <w:sz w:val="14"/>
          <w:szCs w:val="16"/>
        </w:rPr>
        <w:t>измјени</w:t>
      </w:r>
      <w:r w:rsidR="0078010E" w:rsidRPr="00A64B54">
        <w:rPr>
          <w:sz w:val="14"/>
          <w:szCs w:val="16"/>
        </w:rPr>
        <w:t xml:space="preserve"> </w:t>
      </w:r>
      <w:r w:rsidR="0078010E" w:rsidRPr="0078010E">
        <w:rPr>
          <w:sz w:val="14"/>
          <w:szCs w:val="16"/>
        </w:rPr>
        <w:t>Одлуке</w:t>
      </w:r>
      <w:r w:rsidR="0078010E" w:rsidRPr="00A64B54">
        <w:rPr>
          <w:sz w:val="14"/>
          <w:szCs w:val="16"/>
        </w:rPr>
        <w:t xml:space="preserve"> </w:t>
      </w:r>
      <w:r w:rsidR="0078010E" w:rsidRPr="0078010E">
        <w:rPr>
          <w:sz w:val="14"/>
          <w:szCs w:val="16"/>
        </w:rPr>
        <w:t>о</w:t>
      </w:r>
      <w:r w:rsidR="0078010E" w:rsidRPr="00A64B54">
        <w:rPr>
          <w:sz w:val="14"/>
          <w:szCs w:val="16"/>
        </w:rPr>
        <w:t xml:space="preserve"> </w:t>
      </w:r>
      <w:r w:rsidR="0078010E">
        <w:rPr>
          <w:sz w:val="14"/>
          <w:szCs w:val="16"/>
          <w:lang w:val="bs-Cyrl-BA"/>
        </w:rPr>
        <w:t>с</w:t>
      </w:r>
      <w:r w:rsidR="0078010E" w:rsidRPr="0078010E">
        <w:rPr>
          <w:sz w:val="14"/>
          <w:szCs w:val="16"/>
        </w:rPr>
        <w:t>провођењу</w:t>
      </w:r>
      <w:r w:rsidR="0078010E" w:rsidRPr="00A64B54">
        <w:rPr>
          <w:sz w:val="14"/>
          <w:szCs w:val="16"/>
        </w:rPr>
        <w:t xml:space="preserve"> </w:t>
      </w:r>
      <w:r w:rsidR="0078010E" w:rsidRPr="0078010E">
        <w:rPr>
          <w:sz w:val="14"/>
          <w:szCs w:val="16"/>
        </w:rPr>
        <w:t>Закона</w:t>
      </w:r>
      <w:r w:rsidR="0078010E" w:rsidRPr="00A64B54">
        <w:rPr>
          <w:sz w:val="14"/>
          <w:szCs w:val="16"/>
        </w:rPr>
        <w:t xml:space="preserve"> </w:t>
      </w:r>
      <w:r w:rsidR="0078010E" w:rsidRPr="0078010E">
        <w:rPr>
          <w:sz w:val="14"/>
          <w:szCs w:val="16"/>
        </w:rPr>
        <w:t>о</w:t>
      </w:r>
      <w:r w:rsidR="0078010E" w:rsidRPr="00A64B54">
        <w:rPr>
          <w:sz w:val="14"/>
          <w:szCs w:val="16"/>
        </w:rPr>
        <w:t xml:space="preserve"> </w:t>
      </w:r>
      <w:r w:rsidR="0078010E" w:rsidRPr="0078010E">
        <w:rPr>
          <w:sz w:val="14"/>
          <w:szCs w:val="16"/>
        </w:rPr>
        <w:t>царинској</w:t>
      </w:r>
      <w:r w:rsidR="0078010E" w:rsidRPr="00A64B54">
        <w:rPr>
          <w:sz w:val="14"/>
          <w:szCs w:val="16"/>
        </w:rPr>
        <w:t xml:space="preserve"> </w:t>
      </w:r>
      <w:r w:rsidR="0078010E" w:rsidRPr="0078010E">
        <w:rPr>
          <w:sz w:val="14"/>
          <w:szCs w:val="16"/>
        </w:rPr>
        <w:t>политици</w:t>
      </w:r>
      <w:r w:rsidR="0078010E" w:rsidRPr="00A64B54">
        <w:rPr>
          <w:sz w:val="14"/>
          <w:szCs w:val="16"/>
        </w:rPr>
        <w:t xml:space="preserve"> </w:t>
      </w:r>
      <w:r w:rsidR="0078010E" w:rsidRPr="0078010E">
        <w:rPr>
          <w:sz w:val="14"/>
          <w:szCs w:val="16"/>
        </w:rPr>
        <w:t>у</w:t>
      </w:r>
      <w:r w:rsidR="0078010E" w:rsidRPr="00A64B54">
        <w:rPr>
          <w:sz w:val="14"/>
          <w:szCs w:val="16"/>
        </w:rPr>
        <w:t xml:space="preserve"> </w:t>
      </w:r>
      <w:r w:rsidR="0078010E" w:rsidRPr="0078010E">
        <w:rPr>
          <w:sz w:val="14"/>
          <w:szCs w:val="16"/>
        </w:rPr>
        <w:t>Босни</w:t>
      </w:r>
      <w:r w:rsidR="0078010E" w:rsidRPr="00A64B54">
        <w:rPr>
          <w:sz w:val="14"/>
          <w:szCs w:val="16"/>
        </w:rPr>
        <w:t xml:space="preserve"> </w:t>
      </w:r>
      <w:r w:rsidR="0078010E" w:rsidRPr="0078010E">
        <w:rPr>
          <w:sz w:val="14"/>
          <w:szCs w:val="16"/>
        </w:rPr>
        <w:t>и</w:t>
      </w:r>
      <w:r w:rsidR="0078010E" w:rsidRPr="00A64B54">
        <w:rPr>
          <w:sz w:val="14"/>
          <w:szCs w:val="16"/>
        </w:rPr>
        <w:t xml:space="preserve"> </w:t>
      </w:r>
      <w:r w:rsidR="0078010E" w:rsidRPr="0078010E">
        <w:rPr>
          <w:sz w:val="14"/>
          <w:szCs w:val="16"/>
        </w:rPr>
        <w:t>Херцеговини</w:t>
      </w:r>
      <w:r w:rsidR="0078010E" w:rsidRPr="00A64B54">
        <w:rPr>
          <w:sz w:val="14"/>
          <w:szCs w:val="16"/>
        </w:rPr>
        <w:t xml:space="preserve">, </w:t>
      </w:r>
      <w:r w:rsidR="0078010E" w:rsidRPr="0078010E">
        <w:rPr>
          <w:sz w:val="14"/>
          <w:szCs w:val="16"/>
        </w:rPr>
        <w:t>којом</w:t>
      </w:r>
      <w:r w:rsidR="0078010E" w:rsidRPr="00A64B54">
        <w:rPr>
          <w:sz w:val="14"/>
          <w:szCs w:val="16"/>
        </w:rPr>
        <w:t xml:space="preserve"> </w:t>
      </w:r>
      <w:r w:rsidR="0078010E" w:rsidRPr="0078010E">
        <w:rPr>
          <w:sz w:val="14"/>
          <w:szCs w:val="16"/>
        </w:rPr>
        <w:t>се</w:t>
      </w:r>
      <w:r w:rsidR="0078010E" w:rsidRPr="00A64B54">
        <w:rPr>
          <w:sz w:val="14"/>
          <w:szCs w:val="16"/>
        </w:rPr>
        <w:t xml:space="preserve"> </w:t>
      </w:r>
      <w:r w:rsidR="0078010E" w:rsidRPr="0078010E">
        <w:rPr>
          <w:sz w:val="14"/>
          <w:szCs w:val="16"/>
        </w:rPr>
        <w:t>помјера</w:t>
      </w:r>
      <w:r w:rsidR="0078010E" w:rsidRPr="00A64B54">
        <w:rPr>
          <w:sz w:val="14"/>
          <w:szCs w:val="16"/>
        </w:rPr>
        <w:t xml:space="preserve"> </w:t>
      </w:r>
      <w:r w:rsidR="0078010E" w:rsidRPr="0078010E">
        <w:rPr>
          <w:sz w:val="14"/>
          <w:szCs w:val="16"/>
        </w:rPr>
        <w:t>рок</w:t>
      </w:r>
      <w:r w:rsidR="0078010E" w:rsidRPr="00A64B54">
        <w:rPr>
          <w:sz w:val="14"/>
          <w:szCs w:val="16"/>
        </w:rPr>
        <w:t xml:space="preserve"> </w:t>
      </w:r>
      <w:r w:rsidR="0078010E" w:rsidRPr="0078010E">
        <w:rPr>
          <w:sz w:val="14"/>
          <w:szCs w:val="16"/>
        </w:rPr>
        <w:t>почетка</w:t>
      </w:r>
      <w:r w:rsidR="0078010E" w:rsidRPr="00A64B54">
        <w:rPr>
          <w:sz w:val="14"/>
          <w:szCs w:val="16"/>
        </w:rPr>
        <w:t xml:space="preserve"> </w:t>
      </w:r>
      <w:r w:rsidR="0078010E" w:rsidRPr="0078010E">
        <w:rPr>
          <w:sz w:val="14"/>
          <w:szCs w:val="16"/>
        </w:rPr>
        <w:t>њене</w:t>
      </w:r>
      <w:r w:rsidR="0078010E" w:rsidRPr="00A64B54">
        <w:rPr>
          <w:sz w:val="14"/>
          <w:szCs w:val="16"/>
        </w:rPr>
        <w:t xml:space="preserve"> </w:t>
      </w:r>
      <w:r w:rsidR="0078010E" w:rsidRPr="0078010E">
        <w:rPr>
          <w:sz w:val="14"/>
          <w:szCs w:val="16"/>
        </w:rPr>
        <w:t>примјене</w:t>
      </w:r>
      <w:r w:rsidR="0078010E" w:rsidRPr="00A64B54">
        <w:rPr>
          <w:sz w:val="14"/>
          <w:szCs w:val="16"/>
        </w:rPr>
        <w:t xml:space="preserve"> </w:t>
      </w:r>
      <w:r w:rsidR="0078010E" w:rsidRPr="0078010E">
        <w:rPr>
          <w:sz w:val="14"/>
          <w:szCs w:val="16"/>
        </w:rPr>
        <w:t>с</w:t>
      </w:r>
      <w:r w:rsidR="0078010E" w:rsidRPr="00A64B54">
        <w:rPr>
          <w:sz w:val="14"/>
          <w:szCs w:val="16"/>
        </w:rPr>
        <w:t xml:space="preserve"> 1.</w:t>
      </w:r>
      <w:r w:rsidR="0078010E">
        <w:rPr>
          <w:sz w:val="14"/>
          <w:szCs w:val="16"/>
          <w:lang w:val="bs-Cyrl-BA"/>
        </w:rPr>
        <w:t xml:space="preserve"> </w:t>
      </w:r>
      <w:r w:rsidR="0078010E" w:rsidRPr="00A64B54">
        <w:rPr>
          <w:sz w:val="14"/>
          <w:szCs w:val="16"/>
        </w:rPr>
        <w:t>4.</w:t>
      </w:r>
      <w:r w:rsidR="0078010E">
        <w:rPr>
          <w:sz w:val="14"/>
          <w:szCs w:val="16"/>
          <w:lang w:val="bs-Cyrl-BA"/>
        </w:rPr>
        <w:t xml:space="preserve"> </w:t>
      </w:r>
      <w:r w:rsidR="0078010E" w:rsidRPr="00A64B54">
        <w:rPr>
          <w:sz w:val="14"/>
          <w:szCs w:val="16"/>
        </w:rPr>
        <w:t xml:space="preserve">2022.  </w:t>
      </w:r>
      <w:r w:rsidR="0078010E" w:rsidRPr="0078010E">
        <w:rPr>
          <w:sz w:val="14"/>
          <w:szCs w:val="16"/>
        </w:rPr>
        <w:t>на</w:t>
      </w:r>
      <w:r w:rsidR="0078010E" w:rsidRPr="00A64B54">
        <w:rPr>
          <w:sz w:val="14"/>
          <w:szCs w:val="16"/>
        </w:rPr>
        <w:t xml:space="preserve"> 1.</w:t>
      </w:r>
      <w:r w:rsidR="0078010E">
        <w:rPr>
          <w:sz w:val="14"/>
          <w:szCs w:val="16"/>
          <w:lang w:val="bs-Cyrl-BA"/>
        </w:rPr>
        <w:t xml:space="preserve"> </w:t>
      </w:r>
      <w:r w:rsidR="0078010E" w:rsidRPr="00A64B54">
        <w:rPr>
          <w:sz w:val="14"/>
          <w:szCs w:val="16"/>
        </w:rPr>
        <w:t>8.</w:t>
      </w:r>
      <w:r w:rsidR="0078010E">
        <w:rPr>
          <w:sz w:val="14"/>
          <w:szCs w:val="16"/>
          <w:lang w:val="bs-Cyrl-BA"/>
        </w:rPr>
        <w:t xml:space="preserve"> </w:t>
      </w:r>
      <w:r w:rsidR="0078010E" w:rsidRPr="00A64B54">
        <w:rPr>
          <w:sz w:val="14"/>
          <w:szCs w:val="16"/>
        </w:rPr>
        <w:t xml:space="preserve">2022) </w:t>
      </w:r>
      <w:r w:rsidR="0078010E" w:rsidRPr="0078010E">
        <w:rPr>
          <w:sz w:val="14"/>
          <w:szCs w:val="16"/>
        </w:rPr>
        <w:t>а</w:t>
      </w:r>
      <w:r w:rsidR="0078010E" w:rsidRPr="00A64B54">
        <w:rPr>
          <w:sz w:val="14"/>
          <w:szCs w:val="16"/>
        </w:rPr>
        <w:t xml:space="preserve"> </w:t>
      </w:r>
      <w:r w:rsidR="0078010E" w:rsidRPr="0078010E">
        <w:rPr>
          <w:sz w:val="14"/>
          <w:szCs w:val="16"/>
        </w:rPr>
        <w:t>до</w:t>
      </w:r>
      <w:r w:rsidR="0078010E" w:rsidRPr="00A64B54">
        <w:rPr>
          <w:sz w:val="14"/>
          <w:szCs w:val="16"/>
        </w:rPr>
        <w:t xml:space="preserve"> </w:t>
      </w:r>
      <w:r w:rsidR="0078010E" w:rsidRPr="0078010E">
        <w:rPr>
          <w:sz w:val="14"/>
          <w:szCs w:val="16"/>
        </w:rPr>
        <w:t>тог</w:t>
      </w:r>
      <w:r w:rsidR="0078010E" w:rsidRPr="00A64B54">
        <w:rPr>
          <w:sz w:val="14"/>
          <w:szCs w:val="16"/>
        </w:rPr>
        <w:t xml:space="preserve"> </w:t>
      </w:r>
      <w:r w:rsidR="0078010E" w:rsidRPr="0078010E">
        <w:rPr>
          <w:sz w:val="14"/>
          <w:szCs w:val="16"/>
        </w:rPr>
        <w:t>датума</w:t>
      </w:r>
      <w:r w:rsidR="0078010E" w:rsidRPr="00A64B54">
        <w:rPr>
          <w:sz w:val="14"/>
          <w:szCs w:val="16"/>
        </w:rPr>
        <w:t xml:space="preserve"> </w:t>
      </w:r>
      <w:r w:rsidR="0078010E" w:rsidRPr="0078010E">
        <w:rPr>
          <w:sz w:val="14"/>
          <w:szCs w:val="16"/>
        </w:rPr>
        <w:t>се</w:t>
      </w:r>
      <w:r w:rsidR="0078010E" w:rsidRPr="00A64B54">
        <w:rPr>
          <w:sz w:val="14"/>
          <w:szCs w:val="16"/>
        </w:rPr>
        <w:t xml:space="preserve"> </w:t>
      </w:r>
      <w:r w:rsidR="0078010E" w:rsidRPr="0078010E">
        <w:rPr>
          <w:sz w:val="14"/>
          <w:szCs w:val="16"/>
        </w:rPr>
        <w:t>примјењује</w:t>
      </w:r>
      <w:r w:rsidR="0078010E" w:rsidRPr="00A64B54">
        <w:rPr>
          <w:sz w:val="14"/>
          <w:szCs w:val="16"/>
        </w:rPr>
        <w:t xml:space="preserve"> </w:t>
      </w:r>
      <w:r w:rsidR="0078010E" w:rsidRPr="0078010E">
        <w:rPr>
          <w:sz w:val="14"/>
          <w:szCs w:val="16"/>
        </w:rPr>
        <w:t>стари</w:t>
      </w:r>
      <w:r w:rsidR="0078010E" w:rsidRPr="00A64B54">
        <w:rPr>
          <w:sz w:val="14"/>
          <w:szCs w:val="16"/>
        </w:rPr>
        <w:t xml:space="preserve"> </w:t>
      </w:r>
      <w:r w:rsidR="0078010E" w:rsidRPr="0078010E">
        <w:rPr>
          <w:sz w:val="14"/>
          <w:szCs w:val="16"/>
        </w:rPr>
        <w:t>Закон</w:t>
      </w:r>
      <w:r w:rsidR="0078010E" w:rsidRPr="00A64B54">
        <w:rPr>
          <w:sz w:val="14"/>
          <w:szCs w:val="16"/>
        </w:rPr>
        <w:t xml:space="preserve"> </w:t>
      </w:r>
      <w:r w:rsidR="0078010E" w:rsidRPr="0078010E">
        <w:rPr>
          <w:sz w:val="14"/>
          <w:szCs w:val="16"/>
        </w:rPr>
        <w:t>о</w:t>
      </w:r>
      <w:r w:rsidR="0078010E" w:rsidRPr="00A64B54">
        <w:rPr>
          <w:sz w:val="14"/>
          <w:szCs w:val="16"/>
        </w:rPr>
        <w:t xml:space="preserve"> </w:t>
      </w:r>
      <w:r w:rsidR="0078010E" w:rsidRPr="0078010E">
        <w:rPr>
          <w:sz w:val="14"/>
          <w:szCs w:val="16"/>
        </w:rPr>
        <w:t>царинској</w:t>
      </w:r>
      <w:r w:rsidR="0078010E" w:rsidRPr="00A64B54">
        <w:rPr>
          <w:sz w:val="14"/>
          <w:szCs w:val="16"/>
        </w:rPr>
        <w:t xml:space="preserve"> </w:t>
      </w:r>
      <w:r w:rsidR="0078010E" w:rsidRPr="0078010E">
        <w:rPr>
          <w:sz w:val="14"/>
          <w:szCs w:val="16"/>
        </w:rPr>
        <w:t>политици</w:t>
      </w:r>
      <w:r w:rsidR="0078010E" w:rsidRPr="00A64B54">
        <w:rPr>
          <w:sz w:val="14"/>
          <w:szCs w:val="16"/>
        </w:rPr>
        <w:t xml:space="preserve"> (</w:t>
      </w:r>
      <w:r w:rsidR="0078010E">
        <w:rPr>
          <w:sz w:val="14"/>
          <w:szCs w:val="16"/>
          <w:lang w:val="bs-Cyrl-BA"/>
        </w:rPr>
        <w:t>„</w:t>
      </w:r>
      <w:r w:rsidR="0078010E" w:rsidRPr="0078010E">
        <w:rPr>
          <w:sz w:val="14"/>
          <w:szCs w:val="16"/>
        </w:rPr>
        <w:t>Службени</w:t>
      </w:r>
      <w:r w:rsidR="0078010E" w:rsidRPr="00A64B54">
        <w:rPr>
          <w:sz w:val="14"/>
          <w:szCs w:val="16"/>
        </w:rPr>
        <w:t xml:space="preserve"> </w:t>
      </w:r>
      <w:r w:rsidR="0078010E" w:rsidRPr="0078010E">
        <w:rPr>
          <w:sz w:val="14"/>
          <w:szCs w:val="16"/>
        </w:rPr>
        <w:t>гласник</w:t>
      </w:r>
      <w:r w:rsidR="0078010E" w:rsidRPr="00A64B54">
        <w:rPr>
          <w:sz w:val="14"/>
          <w:szCs w:val="16"/>
        </w:rPr>
        <w:t xml:space="preserve"> </w:t>
      </w:r>
      <w:r w:rsidR="0078010E" w:rsidRPr="0078010E">
        <w:rPr>
          <w:sz w:val="14"/>
          <w:szCs w:val="16"/>
        </w:rPr>
        <w:t>БиХ</w:t>
      </w:r>
      <w:r w:rsidR="0078010E">
        <w:rPr>
          <w:sz w:val="14"/>
          <w:szCs w:val="16"/>
          <w:lang w:val="bs-Cyrl-BA"/>
        </w:rPr>
        <w:t>“</w:t>
      </w:r>
      <w:r w:rsidR="0078010E" w:rsidRPr="00A64B54">
        <w:rPr>
          <w:sz w:val="14"/>
          <w:szCs w:val="16"/>
        </w:rPr>
        <w:t xml:space="preserve"> </w:t>
      </w:r>
      <w:r w:rsidR="0078010E" w:rsidRPr="0078010E">
        <w:rPr>
          <w:sz w:val="14"/>
          <w:szCs w:val="16"/>
        </w:rPr>
        <w:t>бр</w:t>
      </w:r>
      <w:r w:rsidR="0078010E" w:rsidRPr="00A64B54">
        <w:rPr>
          <w:sz w:val="14"/>
          <w:szCs w:val="16"/>
        </w:rPr>
        <w:t xml:space="preserve">. 57/04, 51/06, 93/08, 54/10 </w:t>
      </w:r>
      <w:r w:rsidR="0078010E" w:rsidRPr="0078010E">
        <w:rPr>
          <w:sz w:val="14"/>
          <w:szCs w:val="16"/>
        </w:rPr>
        <w:t>и</w:t>
      </w:r>
      <w:r w:rsidR="0078010E" w:rsidRPr="00A64B54">
        <w:rPr>
          <w:sz w:val="14"/>
          <w:szCs w:val="16"/>
        </w:rPr>
        <w:t xml:space="preserve"> 76/11). </w:t>
      </w:r>
      <w:r w:rsidR="0078010E" w:rsidRPr="0078010E">
        <w:rPr>
          <w:sz w:val="14"/>
          <w:szCs w:val="16"/>
        </w:rPr>
        <w:t>Изузетак</w:t>
      </w:r>
      <w:r w:rsidR="0078010E" w:rsidRPr="00A64B54">
        <w:rPr>
          <w:sz w:val="14"/>
          <w:szCs w:val="16"/>
        </w:rPr>
        <w:t xml:space="preserve"> </w:t>
      </w:r>
      <w:r w:rsidR="0078010E" w:rsidRPr="0078010E">
        <w:rPr>
          <w:sz w:val="14"/>
          <w:szCs w:val="16"/>
        </w:rPr>
        <w:t>је</w:t>
      </w:r>
      <w:r w:rsidR="0078010E" w:rsidRPr="00A64B54">
        <w:rPr>
          <w:sz w:val="14"/>
          <w:szCs w:val="16"/>
        </w:rPr>
        <w:t xml:space="preserve"> </w:t>
      </w:r>
      <w:r w:rsidR="0078010E" w:rsidRPr="0078010E">
        <w:rPr>
          <w:sz w:val="14"/>
          <w:szCs w:val="16"/>
        </w:rPr>
        <w:t>члан</w:t>
      </w:r>
      <w:r w:rsidR="0078010E" w:rsidRPr="00A64B54">
        <w:rPr>
          <w:sz w:val="14"/>
          <w:szCs w:val="16"/>
        </w:rPr>
        <w:t xml:space="preserve"> 207</w:t>
      </w:r>
      <w:r w:rsidR="0078010E">
        <w:rPr>
          <w:sz w:val="14"/>
          <w:szCs w:val="16"/>
          <w:lang w:val="bs-Cyrl-BA"/>
        </w:rPr>
        <w:t xml:space="preserve"> </w:t>
      </w:r>
      <w:r w:rsidR="0078010E" w:rsidRPr="0078010E">
        <w:rPr>
          <w:sz w:val="14"/>
          <w:szCs w:val="16"/>
        </w:rPr>
        <w:t>новог</w:t>
      </w:r>
      <w:r w:rsidR="0078010E" w:rsidRPr="00A64B54">
        <w:rPr>
          <w:sz w:val="14"/>
          <w:szCs w:val="16"/>
        </w:rPr>
        <w:t xml:space="preserve">  </w:t>
      </w:r>
      <w:r w:rsidR="0078010E" w:rsidRPr="0078010E">
        <w:rPr>
          <w:sz w:val="14"/>
          <w:szCs w:val="16"/>
        </w:rPr>
        <w:t>Закона</w:t>
      </w:r>
      <w:r w:rsidR="0078010E" w:rsidRPr="00A64B54">
        <w:rPr>
          <w:sz w:val="14"/>
          <w:szCs w:val="16"/>
        </w:rPr>
        <w:t xml:space="preserve"> </w:t>
      </w:r>
      <w:r w:rsidR="0078010E" w:rsidRPr="0078010E">
        <w:rPr>
          <w:sz w:val="14"/>
          <w:szCs w:val="16"/>
        </w:rPr>
        <w:t>који</w:t>
      </w:r>
      <w:r w:rsidR="0078010E" w:rsidRPr="00A64B54">
        <w:rPr>
          <w:sz w:val="14"/>
          <w:szCs w:val="16"/>
        </w:rPr>
        <w:t xml:space="preserve"> </w:t>
      </w:r>
      <w:r w:rsidR="0078010E" w:rsidRPr="0078010E">
        <w:rPr>
          <w:sz w:val="14"/>
          <w:szCs w:val="16"/>
        </w:rPr>
        <w:t>се</w:t>
      </w:r>
      <w:r w:rsidR="0078010E" w:rsidRPr="00A64B54">
        <w:rPr>
          <w:sz w:val="14"/>
          <w:szCs w:val="16"/>
        </w:rPr>
        <w:t xml:space="preserve"> </w:t>
      </w:r>
      <w:r w:rsidR="0078010E" w:rsidRPr="0078010E">
        <w:rPr>
          <w:sz w:val="14"/>
          <w:szCs w:val="16"/>
        </w:rPr>
        <w:t>примјењује</w:t>
      </w:r>
      <w:r w:rsidR="0078010E" w:rsidRPr="00A64B54">
        <w:rPr>
          <w:sz w:val="14"/>
          <w:szCs w:val="16"/>
        </w:rPr>
        <w:t xml:space="preserve"> </w:t>
      </w:r>
      <w:r w:rsidR="0078010E" w:rsidRPr="0078010E">
        <w:rPr>
          <w:sz w:val="14"/>
          <w:szCs w:val="16"/>
        </w:rPr>
        <w:t>од</w:t>
      </w:r>
      <w:r w:rsidR="0078010E" w:rsidRPr="00A64B54">
        <w:rPr>
          <w:sz w:val="14"/>
          <w:szCs w:val="16"/>
        </w:rPr>
        <w:t xml:space="preserve"> 25.</w:t>
      </w:r>
      <w:r w:rsidR="0078010E">
        <w:rPr>
          <w:sz w:val="14"/>
          <w:szCs w:val="16"/>
          <w:lang w:val="bs-Cyrl-BA"/>
        </w:rPr>
        <w:t xml:space="preserve"> </w:t>
      </w:r>
      <w:r w:rsidR="0078010E" w:rsidRPr="00A64B54">
        <w:rPr>
          <w:sz w:val="14"/>
          <w:szCs w:val="16"/>
        </w:rPr>
        <w:t>4.</w:t>
      </w:r>
      <w:r w:rsidR="0078010E">
        <w:rPr>
          <w:sz w:val="14"/>
          <w:szCs w:val="16"/>
          <w:lang w:val="bs-Cyrl-BA"/>
        </w:rPr>
        <w:t xml:space="preserve"> </w:t>
      </w:r>
      <w:r w:rsidR="0078010E" w:rsidRPr="00A64B54">
        <w:rPr>
          <w:sz w:val="14"/>
          <w:szCs w:val="16"/>
        </w:rPr>
        <w:t>2018.</w:t>
      </w:r>
      <w:r w:rsidR="0078010E">
        <w:rPr>
          <w:sz w:val="14"/>
          <w:szCs w:val="16"/>
          <w:lang w:val="bs-Cyrl-BA"/>
        </w:rPr>
        <w:t xml:space="preserve"> </w:t>
      </w:r>
      <w:r w:rsidR="0078010E" w:rsidRPr="0078010E">
        <w:rPr>
          <w:sz w:val="14"/>
          <w:szCs w:val="16"/>
        </w:rPr>
        <w:t>г</w:t>
      </w:r>
      <w:r w:rsidR="0078010E" w:rsidRPr="00A64B54">
        <w:rPr>
          <w:sz w:val="14"/>
          <w:szCs w:val="16"/>
        </w:rPr>
        <w:t>.</w:t>
      </w:r>
    </w:p>
  </w:footnote>
  <w:footnote w:id="41">
    <w:p w14:paraId="12A76603" w14:textId="7D68C103" w:rsidR="00EA0FD7" w:rsidRPr="0078010E" w:rsidRDefault="00EA0FD7" w:rsidP="00EA0FD7">
      <w:pPr>
        <w:pStyle w:val="Funote1"/>
        <w:jc w:val="both"/>
        <w:rPr>
          <w:sz w:val="14"/>
          <w:szCs w:val="16"/>
          <w:lang w:val="sr-Latn-BA"/>
        </w:rPr>
      </w:pPr>
      <w:r w:rsidRPr="0078010E">
        <w:rPr>
          <w:rStyle w:val="Referencafusnote"/>
          <w:sz w:val="14"/>
          <w:szCs w:val="16"/>
        </w:rPr>
        <w:footnoteRef/>
      </w:r>
      <w:r w:rsidRPr="0078010E">
        <w:rPr>
          <w:sz w:val="14"/>
          <w:szCs w:val="16"/>
        </w:rPr>
        <w:t xml:space="preserve"> </w:t>
      </w:r>
      <w:r w:rsidR="0078010E" w:rsidRPr="0078010E">
        <w:rPr>
          <w:sz w:val="14"/>
          <w:szCs w:val="16"/>
        </w:rPr>
        <w:t>У</w:t>
      </w:r>
      <w:r w:rsidR="0078010E" w:rsidRPr="00A64B54">
        <w:rPr>
          <w:sz w:val="14"/>
          <w:szCs w:val="16"/>
        </w:rPr>
        <w:t xml:space="preserve"> </w:t>
      </w:r>
      <w:r w:rsidR="0078010E" w:rsidRPr="0078010E">
        <w:rPr>
          <w:sz w:val="14"/>
          <w:szCs w:val="16"/>
          <w:lang w:val="sr-Latn-BA"/>
        </w:rPr>
        <w:t>скоро</w:t>
      </w:r>
      <w:r w:rsidR="0078010E" w:rsidRPr="00A64B54">
        <w:rPr>
          <w:sz w:val="14"/>
          <w:szCs w:val="16"/>
          <w:lang w:val="sr-Latn-BA"/>
        </w:rPr>
        <w:t xml:space="preserve"> </w:t>
      </w:r>
      <w:r w:rsidR="0078010E" w:rsidRPr="0078010E">
        <w:rPr>
          <w:sz w:val="14"/>
          <w:szCs w:val="16"/>
        </w:rPr>
        <w:t>свим</w:t>
      </w:r>
      <w:r w:rsidR="0078010E" w:rsidRPr="00A64B54">
        <w:rPr>
          <w:sz w:val="14"/>
          <w:szCs w:val="16"/>
        </w:rPr>
        <w:t xml:space="preserve"> </w:t>
      </w:r>
      <w:r w:rsidR="0078010E" w:rsidRPr="0078010E">
        <w:rPr>
          <w:sz w:val="14"/>
          <w:szCs w:val="16"/>
        </w:rPr>
        <w:t>годинама</w:t>
      </w:r>
      <w:r w:rsidR="0078010E" w:rsidRPr="00A64B54">
        <w:rPr>
          <w:sz w:val="14"/>
          <w:szCs w:val="16"/>
        </w:rPr>
        <w:t xml:space="preserve"> </w:t>
      </w:r>
      <w:r w:rsidR="0078010E" w:rsidRPr="0078010E">
        <w:rPr>
          <w:sz w:val="14"/>
          <w:szCs w:val="16"/>
          <w:lang w:val="sr-Latn-BA"/>
        </w:rPr>
        <w:t>од</w:t>
      </w:r>
      <w:r w:rsidR="0078010E" w:rsidRPr="00A64B54">
        <w:rPr>
          <w:sz w:val="14"/>
          <w:szCs w:val="16"/>
          <w:lang w:val="sr-Latn-BA"/>
        </w:rPr>
        <w:t xml:space="preserve"> </w:t>
      </w:r>
      <w:r w:rsidR="0078010E" w:rsidRPr="0078010E">
        <w:rPr>
          <w:sz w:val="14"/>
          <w:szCs w:val="16"/>
          <w:lang w:val="sr-Latn-BA"/>
        </w:rPr>
        <w:t>оснивања</w:t>
      </w:r>
      <w:r w:rsidR="0078010E" w:rsidRPr="00A64B54">
        <w:rPr>
          <w:sz w:val="14"/>
          <w:szCs w:val="16"/>
          <w:lang w:val="sr-Latn-BA"/>
        </w:rPr>
        <w:t xml:space="preserve"> </w:t>
      </w:r>
      <w:r w:rsidR="0078010E" w:rsidRPr="0078010E">
        <w:rPr>
          <w:sz w:val="14"/>
          <w:szCs w:val="16"/>
          <w:lang w:val="sr-Latn-BA"/>
        </w:rPr>
        <w:t>УИО</w:t>
      </w:r>
      <w:r w:rsidR="0078010E" w:rsidRPr="00A64B54">
        <w:rPr>
          <w:sz w:val="14"/>
          <w:szCs w:val="16"/>
          <w:lang w:val="sr-Latn-BA"/>
        </w:rPr>
        <w:t xml:space="preserve">  </w:t>
      </w:r>
      <w:r w:rsidR="0078010E" w:rsidRPr="0078010E">
        <w:rPr>
          <w:sz w:val="14"/>
          <w:szCs w:val="16"/>
          <w:lang w:val="sr-Latn-BA"/>
        </w:rPr>
        <w:t>до</w:t>
      </w:r>
      <w:r w:rsidR="0078010E" w:rsidRPr="00A64B54">
        <w:rPr>
          <w:sz w:val="14"/>
          <w:szCs w:val="16"/>
          <w:lang w:val="sr-Latn-BA"/>
        </w:rPr>
        <w:t xml:space="preserve"> 2019. </w:t>
      </w:r>
      <w:r w:rsidR="0078010E" w:rsidRPr="0078010E">
        <w:rPr>
          <w:sz w:val="14"/>
          <w:szCs w:val="16"/>
          <w:lang w:val="sr-Latn-BA"/>
        </w:rPr>
        <w:t>године</w:t>
      </w:r>
      <w:r w:rsidR="0078010E" w:rsidRPr="00A64B54">
        <w:rPr>
          <w:sz w:val="14"/>
          <w:szCs w:val="16"/>
          <w:lang w:val="sr-Latn-BA"/>
        </w:rPr>
        <w:t xml:space="preserve"> </w:t>
      </w:r>
      <w:r w:rsidR="0078010E" w:rsidRPr="0078010E">
        <w:rPr>
          <w:sz w:val="14"/>
          <w:szCs w:val="16"/>
        </w:rPr>
        <w:t>забиљежен</w:t>
      </w:r>
      <w:r w:rsidR="0078010E" w:rsidRPr="00A64B54">
        <w:rPr>
          <w:sz w:val="14"/>
          <w:szCs w:val="16"/>
        </w:rPr>
        <w:t xml:space="preserve"> </w:t>
      </w:r>
      <w:r w:rsidR="0078010E" w:rsidRPr="0078010E">
        <w:rPr>
          <w:sz w:val="14"/>
          <w:szCs w:val="16"/>
        </w:rPr>
        <w:t>је</w:t>
      </w:r>
      <w:r w:rsidR="0078010E" w:rsidRPr="00A64B54">
        <w:rPr>
          <w:sz w:val="14"/>
          <w:szCs w:val="16"/>
        </w:rPr>
        <w:t xml:space="preserve"> </w:t>
      </w:r>
      <w:r w:rsidR="0078010E" w:rsidRPr="0078010E">
        <w:rPr>
          <w:sz w:val="14"/>
          <w:szCs w:val="16"/>
        </w:rPr>
        <w:t>раст</w:t>
      </w:r>
      <w:r w:rsidR="0078010E" w:rsidRPr="00A64B54">
        <w:rPr>
          <w:sz w:val="14"/>
          <w:szCs w:val="16"/>
        </w:rPr>
        <w:t xml:space="preserve"> </w:t>
      </w:r>
      <w:r w:rsidR="0078010E" w:rsidRPr="0078010E">
        <w:rPr>
          <w:sz w:val="14"/>
          <w:szCs w:val="16"/>
        </w:rPr>
        <w:t>прикупљених</w:t>
      </w:r>
      <w:r w:rsidR="0078010E" w:rsidRPr="00A64B54">
        <w:rPr>
          <w:sz w:val="14"/>
          <w:szCs w:val="16"/>
        </w:rPr>
        <w:t xml:space="preserve"> </w:t>
      </w:r>
      <w:r w:rsidR="0078010E" w:rsidRPr="0078010E">
        <w:rPr>
          <w:sz w:val="14"/>
          <w:szCs w:val="16"/>
        </w:rPr>
        <w:t>прихода</w:t>
      </w:r>
      <w:r w:rsidR="0078010E" w:rsidRPr="00A64B54">
        <w:rPr>
          <w:sz w:val="14"/>
          <w:szCs w:val="16"/>
        </w:rPr>
        <w:t xml:space="preserve"> </w:t>
      </w:r>
      <w:r w:rsidR="0078010E" w:rsidRPr="0078010E">
        <w:rPr>
          <w:sz w:val="14"/>
          <w:szCs w:val="16"/>
        </w:rPr>
        <w:t>на</w:t>
      </w:r>
      <w:r w:rsidR="0078010E" w:rsidRPr="00A64B54">
        <w:rPr>
          <w:sz w:val="14"/>
          <w:szCs w:val="16"/>
        </w:rPr>
        <w:t xml:space="preserve"> </w:t>
      </w:r>
      <w:r w:rsidR="0078010E" w:rsidRPr="0078010E">
        <w:rPr>
          <w:sz w:val="14"/>
          <w:szCs w:val="16"/>
        </w:rPr>
        <w:t>ЈР</w:t>
      </w:r>
      <w:r w:rsidR="0078010E" w:rsidRPr="00A64B54">
        <w:rPr>
          <w:sz w:val="14"/>
          <w:szCs w:val="16"/>
        </w:rPr>
        <w:t xml:space="preserve"> </w:t>
      </w:r>
      <w:r w:rsidR="0078010E" w:rsidRPr="0078010E">
        <w:rPr>
          <w:sz w:val="14"/>
          <w:szCs w:val="16"/>
        </w:rPr>
        <w:t>УИО</w:t>
      </w:r>
      <w:r w:rsidR="0078010E" w:rsidRPr="00A64B54">
        <w:rPr>
          <w:sz w:val="14"/>
          <w:szCs w:val="16"/>
          <w:lang w:val="sr-Latn-BA"/>
        </w:rPr>
        <w:t xml:space="preserve">. </w:t>
      </w:r>
      <w:r w:rsidR="0078010E" w:rsidRPr="0078010E">
        <w:rPr>
          <w:sz w:val="14"/>
          <w:szCs w:val="16"/>
          <w:lang w:val="sr-Latn-BA"/>
        </w:rPr>
        <w:t>Изузеци</w:t>
      </w:r>
      <w:r w:rsidR="0078010E" w:rsidRPr="00A64B54">
        <w:rPr>
          <w:sz w:val="14"/>
          <w:szCs w:val="16"/>
          <w:lang w:val="sr-Latn-BA"/>
        </w:rPr>
        <w:t xml:space="preserve"> </w:t>
      </w:r>
      <w:r w:rsidR="0078010E" w:rsidRPr="0078010E">
        <w:rPr>
          <w:sz w:val="14"/>
          <w:szCs w:val="16"/>
          <w:lang w:val="sr-Latn-BA"/>
        </w:rPr>
        <w:t>су</w:t>
      </w:r>
      <w:r w:rsidR="0078010E" w:rsidRPr="00A64B54">
        <w:rPr>
          <w:sz w:val="14"/>
          <w:szCs w:val="16"/>
          <w:lang w:val="sr-Latn-BA"/>
        </w:rPr>
        <w:t xml:space="preserve"> </w:t>
      </w:r>
      <w:r w:rsidR="0078010E" w:rsidRPr="0078010E">
        <w:rPr>
          <w:sz w:val="14"/>
          <w:szCs w:val="16"/>
          <w:lang w:val="sr-Latn-BA"/>
        </w:rPr>
        <w:t>били</w:t>
      </w:r>
      <w:r w:rsidR="0078010E" w:rsidRPr="00A64B54">
        <w:rPr>
          <w:sz w:val="14"/>
          <w:szCs w:val="16"/>
          <w:lang w:val="sr-Latn-BA"/>
        </w:rPr>
        <w:t xml:space="preserve"> „</w:t>
      </w:r>
      <w:r w:rsidR="0078010E" w:rsidRPr="0078010E">
        <w:rPr>
          <w:sz w:val="14"/>
          <w:szCs w:val="16"/>
          <w:lang w:val="sr-Latn-BA"/>
        </w:rPr>
        <w:t>кризна</w:t>
      </w:r>
      <w:r w:rsidR="0078010E" w:rsidRPr="00A64B54">
        <w:rPr>
          <w:sz w:val="14"/>
          <w:szCs w:val="16"/>
          <w:lang w:val="sr-Latn-BA"/>
        </w:rPr>
        <w:t xml:space="preserve">“ 2009. </w:t>
      </w:r>
      <w:r w:rsidR="0078010E" w:rsidRPr="0078010E">
        <w:rPr>
          <w:sz w:val="14"/>
          <w:szCs w:val="16"/>
          <w:lang w:val="sr-Latn-BA"/>
        </w:rPr>
        <w:t>година</w:t>
      </w:r>
      <w:r w:rsidR="0078010E" w:rsidRPr="00A64B54">
        <w:rPr>
          <w:sz w:val="14"/>
          <w:szCs w:val="16"/>
          <w:lang w:val="sr-Latn-BA"/>
        </w:rPr>
        <w:t xml:space="preserve"> </w:t>
      </w:r>
      <w:r w:rsidR="0078010E" w:rsidRPr="0078010E">
        <w:rPr>
          <w:sz w:val="14"/>
          <w:szCs w:val="16"/>
          <w:lang w:val="sr-Latn-BA"/>
        </w:rPr>
        <w:t>када</w:t>
      </w:r>
      <w:r w:rsidR="0078010E" w:rsidRPr="00A64B54">
        <w:rPr>
          <w:sz w:val="14"/>
          <w:szCs w:val="16"/>
          <w:lang w:val="sr-Latn-BA"/>
        </w:rPr>
        <w:t xml:space="preserve"> </w:t>
      </w:r>
      <w:r w:rsidR="0078010E" w:rsidRPr="0078010E">
        <w:rPr>
          <w:sz w:val="14"/>
          <w:szCs w:val="16"/>
          <w:lang w:val="sr-Latn-BA"/>
        </w:rPr>
        <w:t>је</w:t>
      </w:r>
      <w:r w:rsidR="0078010E" w:rsidRPr="00A64B54">
        <w:rPr>
          <w:sz w:val="14"/>
          <w:szCs w:val="16"/>
          <w:lang w:val="sr-Latn-BA"/>
        </w:rPr>
        <w:t xml:space="preserve"> </w:t>
      </w:r>
      <w:r w:rsidR="0078010E" w:rsidRPr="0078010E">
        <w:rPr>
          <w:sz w:val="14"/>
          <w:szCs w:val="16"/>
          <w:lang w:val="sr-Latn-BA"/>
        </w:rPr>
        <w:t>остварен</w:t>
      </w:r>
      <w:r w:rsidR="0078010E" w:rsidRPr="00A64B54">
        <w:rPr>
          <w:sz w:val="14"/>
          <w:szCs w:val="16"/>
          <w:lang w:val="sr-Latn-BA"/>
        </w:rPr>
        <w:t xml:space="preserve"> </w:t>
      </w:r>
      <w:r w:rsidR="0078010E" w:rsidRPr="0078010E">
        <w:rPr>
          <w:sz w:val="14"/>
          <w:szCs w:val="16"/>
          <w:lang w:val="sr-Latn-BA"/>
        </w:rPr>
        <w:t>снажан</w:t>
      </w:r>
      <w:r w:rsidR="0078010E" w:rsidRPr="00A64B54">
        <w:rPr>
          <w:sz w:val="14"/>
          <w:szCs w:val="16"/>
          <w:lang w:val="sr-Latn-BA"/>
        </w:rPr>
        <w:t xml:space="preserve"> </w:t>
      </w:r>
      <w:r w:rsidR="0078010E" w:rsidRPr="0078010E">
        <w:rPr>
          <w:sz w:val="14"/>
          <w:szCs w:val="16"/>
          <w:lang w:val="sr-Latn-BA"/>
        </w:rPr>
        <w:t>пад</w:t>
      </w:r>
      <w:r w:rsidR="0078010E" w:rsidRPr="00A64B54">
        <w:rPr>
          <w:sz w:val="14"/>
          <w:szCs w:val="16"/>
          <w:lang w:val="sr-Latn-BA"/>
        </w:rPr>
        <w:t xml:space="preserve"> </w:t>
      </w:r>
      <w:r w:rsidR="0078010E" w:rsidRPr="0078010E">
        <w:rPr>
          <w:sz w:val="14"/>
          <w:szCs w:val="16"/>
          <w:lang w:val="sr-Latn-BA"/>
        </w:rPr>
        <w:t>прихода</w:t>
      </w:r>
      <w:r w:rsidR="0078010E" w:rsidRPr="00A64B54">
        <w:rPr>
          <w:sz w:val="14"/>
          <w:szCs w:val="16"/>
          <w:lang w:val="sr-Latn-BA"/>
        </w:rPr>
        <w:t xml:space="preserve"> </w:t>
      </w:r>
      <w:r w:rsidR="0078010E" w:rsidRPr="0078010E">
        <w:rPr>
          <w:sz w:val="14"/>
          <w:szCs w:val="16"/>
          <w:lang w:val="sr-Latn-BA"/>
        </w:rPr>
        <w:t>од</w:t>
      </w:r>
      <w:r w:rsidR="0078010E" w:rsidRPr="00A64B54">
        <w:rPr>
          <w:sz w:val="14"/>
          <w:szCs w:val="16"/>
          <w:lang w:val="sr-Latn-BA"/>
        </w:rPr>
        <w:t xml:space="preserve"> 9,9%, </w:t>
      </w:r>
      <w:r w:rsidR="0078010E" w:rsidRPr="0078010E">
        <w:rPr>
          <w:sz w:val="14"/>
          <w:szCs w:val="16"/>
          <w:lang w:val="sr-Latn-BA"/>
        </w:rPr>
        <w:t>те</w:t>
      </w:r>
      <w:r w:rsidR="0078010E" w:rsidRPr="00A64B54">
        <w:rPr>
          <w:sz w:val="14"/>
          <w:szCs w:val="16"/>
          <w:lang w:val="sr-Latn-BA"/>
        </w:rPr>
        <w:t xml:space="preserve"> </w:t>
      </w:r>
      <w:r w:rsidR="0078010E" w:rsidRPr="0078010E">
        <w:rPr>
          <w:sz w:val="14"/>
          <w:szCs w:val="16"/>
          <w:lang w:val="sr-Latn-BA"/>
        </w:rPr>
        <w:t>стагнација</w:t>
      </w:r>
      <w:r w:rsidR="0078010E" w:rsidRPr="00A64B54">
        <w:rPr>
          <w:sz w:val="14"/>
          <w:szCs w:val="16"/>
          <w:lang w:val="sr-Latn-BA"/>
        </w:rPr>
        <w:t xml:space="preserve"> </w:t>
      </w:r>
      <w:r w:rsidR="0078010E" w:rsidRPr="0078010E">
        <w:rPr>
          <w:sz w:val="14"/>
          <w:szCs w:val="16"/>
          <w:lang w:val="sr-Latn-BA"/>
        </w:rPr>
        <w:t>и</w:t>
      </w:r>
      <w:r w:rsidR="0078010E" w:rsidRPr="00A64B54">
        <w:rPr>
          <w:sz w:val="14"/>
          <w:szCs w:val="16"/>
          <w:lang w:val="sr-Latn-BA"/>
        </w:rPr>
        <w:t xml:space="preserve"> </w:t>
      </w:r>
      <w:r w:rsidR="0078010E" w:rsidRPr="0078010E">
        <w:rPr>
          <w:sz w:val="14"/>
          <w:szCs w:val="16"/>
          <w:lang w:val="sr-Latn-BA"/>
        </w:rPr>
        <w:t>блажи</w:t>
      </w:r>
      <w:r w:rsidR="0078010E" w:rsidRPr="00A64B54">
        <w:rPr>
          <w:sz w:val="14"/>
          <w:szCs w:val="16"/>
          <w:lang w:val="sr-Latn-BA"/>
        </w:rPr>
        <w:t xml:space="preserve"> </w:t>
      </w:r>
      <w:r w:rsidR="0078010E" w:rsidRPr="0078010E">
        <w:rPr>
          <w:sz w:val="14"/>
          <w:szCs w:val="16"/>
          <w:lang w:val="sr-Latn-BA"/>
        </w:rPr>
        <w:t>пад</w:t>
      </w:r>
      <w:r w:rsidR="0078010E" w:rsidRPr="00A64B54">
        <w:rPr>
          <w:sz w:val="14"/>
          <w:szCs w:val="16"/>
          <w:lang w:val="sr-Latn-BA"/>
        </w:rPr>
        <w:t xml:space="preserve"> </w:t>
      </w:r>
      <w:r w:rsidR="0078010E" w:rsidRPr="0078010E">
        <w:rPr>
          <w:sz w:val="14"/>
          <w:szCs w:val="16"/>
          <w:lang w:val="sr-Latn-BA"/>
        </w:rPr>
        <w:t>прихода</w:t>
      </w:r>
      <w:r w:rsidR="0078010E" w:rsidRPr="00A64B54">
        <w:rPr>
          <w:sz w:val="14"/>
          <w:szCs w:val="16"/>
          <w:lang w:val="sr-Latn-BA"/>
        </w:rPr>
        <w:t xml:space="preserve"> </w:t>
      </w:r>
      <w:r w:rsidR="0078010E" w:rsidRPr="0078010E">
        <w:rPr>
          <w:sz w:val="14"/>
          <w:szCs w:val="16"/>
          <w:lang w:val="sr-Latn-BA"/>
        </w:rPr>
        <w:t>у</w:t>
      </w:r>
      <w:r w:rsidR="0078010E" w:rsidRPr="00A64B54">
        <w:rPr>
          <w:sz w:val="14"/>
          <w:szCs w:val="16"/>
          <w:lang w:val="sr-Latn-BA"/>
        </w:rPr>
        <w:t xml:space="preserve"> 2012. </w:t>
      </w:r>
      <w:r w:rsidR="0078010E" w:rsidRPr="0078010E">
        <w:rPr>
          <w:sz w:val="14"/>
          <w:szCs w:val="16"/>
          <w:lang w:val="sr-Latn-BA"/>
        </w:rPr>
        <w:t>и</w:t>
      </w:r>
      <w:r w:rsidR="0078010E" w:rsidRPr="00A64B54">
        <w:rPr>
          <w:sz w:val="14"/>
          <w:szCs w:val="16"/>
          <w:lang w:val="sr-Latn-BA"/>
        </w:rPr>
        <w:t xml:space="preserve"> 2013. </w:t>
      </w:r>
      <w:r w:rsidR="0078010E" w:rsidRPr="0078010E">
        <w:rPr>
          <w:sz w:val="14"/>
          <w:szCs w:val="16"/>
          <w:lang w:val="sr-Latn-BA"/>
        </w:rPr>
        <w:t>години</w:t>
      </w:r>
      <w:r w:rsidR="0078010E" w:rsidRPr="00A64B54">
        <w:rPr>
          <w:sz w:val="14"/>
          <w:szCs w:val="16"/>
          <w:lang w:val="sr-Latn-BA"/>
        </w:rPr>
        <w:t xml:space="preserve">, </w:t>
      </w:r>
      <w:r w:rsidR="0078010E" w:rsidRPr="0078010E">
        <w:rPr>
          <w:sz w:val="14"/>
          <w:szCs w:val="16"/>
          <w:lang w:val="sr-Latn-BA"/>
        </w:rPr>
        <w:t>респективно</w:t>
      </w:r>
      <w:r w:rsidR="0078010E" w:rsidRPr="00A64B54">
        <w:rPr>
          <w:sz w:val="14"/>
          <w:szCs w:val="16"/>
          <w:lang w:val="sr-Latn-BA"/>
        </w:rPr>
        <w:t xml:space="preserve"> (</w:t>
      </w:r>
      <w:r w:rsidR="0078010E" w:rsidRPr="0078010E">
        <w:rPr>
          <w:sz w:val="14"/>
          <w:szCs w:val="16"/>
          <w:lang w:val="sr-Latn-BA"/>
        </w:rPr>
        <w:t>Графикон</w:t>
      </w:r>
      <w:r w:rsidR="0078010E" w:rsidRPr="00A64B54">
        <w:rPr>
          <w:sz w:val="14"/>
          <w:szCs w:val="16"/>
          <w:lang w:val="sr-Latn-BA"/>
        </w:rPr>
        <w:t xml:space="preserve"> </w:t>
      </w:r>
      <w:r w:rsidR="0078010E">
        <w:rPr>
          <w:sz w:val="14"/>
          <w:szCs w:val="16"/>
          <w:lang w:val="sr-Latn-BA"/>
        </w:rPr>
        <w:t>II</w:t>
      </w:r>
      <w:r w:rsidR="0078010E" w:rsidRPr="00A64B54">
        <w:rPr>
          <w:sz w:val="14"/>
          <w:szCs w:val="16"/>
          <w:lang w:val="sr-Latn-BA"/>
        </w:rPr>
        <w:t>. 2).</w:t>
      </w:r>
    </w:p>
  </w:footnote>
  <w:footnote w:id="42">
    <w:p w14:paraId="3B013910" w14:textId="340EC635" w:rsidR="00EA0FD7" w:rsidRDefault="00EA0FD7" w:rsidP="00EA0FD7">
      <w:pPr>
        <w:pStyle w:val="Funote1"/>
        <w:jc w:val="both"/>
      </w:pPr>
      <w:r w:rsidRPr="0078010E">
        <w:rPr>
          <w:rStyle w:val="Referencafusnote"/>
          <w:sz w:val="14"/>
          <w:szCs w:val="16"/>
        </w:rPr>
        <w:footnoteRef/>
      </w:r>
      <w:r w:rsidRPr="0078010E">
        <w:rPr>
          <w:sz w:val="14"/>
          <w:szCs w:val="16"/>
        </w:rPr>
        <w:t xml:space="preserve"> </w:t>
      </w:r>
      <w:r w:rsidR="0078010E" w:rsidRPr="0078010E">
        <w:rPr>
          <w:sz w:val="14"/>
          <w:szCs w:val="16"/>
        </w:rPr>
        <w:t>Треба напоменути да ови износи не укључују заостале уплате индиректних пореза на рачуне ентитета, који су у почетним годинама након увођења ПДВ-а били значајнији.</w:t>
      </w:r>
    </w:p>
  </w:footnote>
  <w:footnote w:id="43">
    <w:p w14:paraId="38F6E897" w14:textId="09B940B5" w:rsidR="00EA0FD7" w:rsidRPr="0078010E" w:rsidRDefault="00EA0FD7" w:rsidP="0078010E">
      <w:pPr>
        <w:rPr>
          <w:rFonts w:ascii="Times New Roman" w:hAnsi="Times New Roman" w:cs="Times New Roman"/>
          <w:sz w:val="16"/>
          <w:szCs w:val="16"/>
        </w:rPr>
      </w:pPr>
      <w:bookmarkStart w:id="50" w:name="_Hlk107392838"/>
      <w:r w:rsidRPr="0078010E">
        <w:rPr>
          <w:rStyle w:val="Referencafusnote"/>
          <w:rFonts w:ascii="Times New Roman" w:hAnsi="Times New Roman" w:cs="Times New Roman"/>
          <w:sz w:val="16"/>
          <w:szCs w:val="16"/>
        </w:rPr>
        <w:footnoteRef/>
      </w:r>
      <w:r w:rsidRPr="0078010E">
        <w:rPr>
          <w:rFonts w:ascii="Times New Roman" w:hAnsi="Times New Roman" w:cs="Times New Roman"/>
          <w:sz w:val="16"/>
          <w:szCs w:val="16"/>
        </w:rPr>
        <w:t xml:space="preserve"> </w:t>
      </w:r>
      <w:bookmarkEnd w:id="50"/>
      <w:r w:rsidR="0078010E" w:rsidRPr="0078010E">
        <w:rPr>
          <w:rFonts w:ascii="Times New Roman" w:hAnsi="Times New Roman" w:cs="Times New Roman"/>
          <w:sz w:val="16"/>
          <w:szCs w:val="16"/>
        </w:rPr>
        <w:t>Бруто домаћи производ према производном, доходовном и расходовном приступу, 2020; 28.</w:t>
      </w:r>
      <w:r w:rsidR="0078010E" w:rsidRPr="0078010E">
        <w:rPr>
          <w:rFonts w:ascii="Times New Roman" w:hAnsi="Times New Roman" w:cs="Times New Roman"/>
          <w:sz w:val="16"/>
          <w:szCs w:val="16"/>
          <w:lang w:val="bs-Cyrl-BA"/>
        </w:rPr>
        <w:t xml:space="preserve"> </w:t>
      </w:r>
      <w:r w:rsidR="0078010E" w:rsidRPr="0078010E">
        <w:rPr>
          <w:rFonts w:ascii="Times New Roman" w:hAnsi="Times New Roman" w:cs="Times New Roman"/>
          <w:sz w:val="16"/>
          <w:szCs w:val="16"/>
        </w:rPr>
        <w:t>2.</w:t>
      </w:r>
      <w:r w:rsidR="0078010E" w:rsidRPr="0078010E">
        <w:rPr>
          <w:rFonts w:ascii="Times New Roman" w:hAnsi="Times New Roman" w:cs="Times New Roman"/>
          <w:sz w:val="16"/>
          <w:szCs w:val="16"/>
          <w:lang w:val="bs-Cyrl-BA"/>
        </w:rPr>
        <w:t xml:space="preserve"> </w:t>
      </w:r>
      <w:r w:rsidR="0078010E" w:rsidRPr="0078010E">
        <w:rPr>
          <w:rFonts w:ascii="Times New Roman" w:hAnsi="Times New Roman" w:cs="Times New Roman"/>
          <w:sz w:val="16"/>
          <w:szCs w:val="16"/>
        </w:rPr>
        <w:t xml:space="preserve">2022; Агенција за статистику БиХ и </w:t>
      </w:r>
      <w:r w:rsidR="0078010E" w:rsidRPr="0078010E">
        <w:rPr>
          <w:rFonts w:ascii="Times New Roman" w:hAnsi="Times New Roman" w:cs="Times New Roman"/>
          <w:iCs/>
          <w:sz w:val="16"/>
          <w:szCs w:val="16"/>
          <w:lang w:val="sr-Latn-BA" w:eastAsia="sr-Latn-BA"/>
        </w:rPr>
        <w:t xml:space="preserve">Бруто </w:t>
      </w:r>
      <w:r w:rsidR="0078010E" w:rsidRPr="0078010E">
        <w:rPr>
          <w:rFonts w:ascii="Times New Roman" w:hAnsi="Times New Roman" w:cs="Times New Roman"/>
          <w:iCs/>
          <w:sz w:val="16"/>
          <w:szCs w:val="16"/>
          <w:lang w:val="bs-Cyrl-BA" w:eastAsia="sr-Latn-BA"/>
        </w:rPr>
        <w:t xml:space="preserve"> </w:t>
      </w:r>
      <w:r w:rsidR="0078010E" w:rsidRPr="0078010E">
        <w:rPr>
          <w:rFonts w:ascii="Times New Roman" w:hAnsi="Times New Roman" w:cs="Times New Roman"/>
          <w:iCs/>
          <w:sz w:val="16"/>
          <w:szCs w:val="16"/>
          <w:lang w:val="sr-Latn-BA" w:eastAsia="sr-Latn-BA"/>
        </w:rPr>
        <w:t xml:space="preserve">домаћи производ </w:t>
      </w:r>
      <w:r w:rsidR="0078010E" w:rsidRPr="0078010E">
        <w:rPr>
          <w:rFonts w:ascii="Times New Roman" w:hAnsi="Times New Roman" w:cs="Times New Roman"/>
          <w:iCs/>
          <w:sz w:val="16"/>
          <w:szCs w:val="16"/>
          <w:lang w:val="sr-Latn-BA" w:eastAsia="sr-Latn-BA"/>
        </w:rPr>
        <w:t>–</w:t>
      </w:r>
      <w:r w:rsidR="0078010E" w:rsidRPr="0078010E">
        <w:rPr>
          <w:rFonts w:ascii="Times New Roman" w:hAnsi="Times New Roman" w:cs="Times New Roman"/>
          <w:iCs/>
          <w:sz w:val="16"/>
          <w:szCs w:val="16"/>
          <w:lang w:val="sr-Latn-BA" w:eastAsia="sr-Latn-BA"/>
        </w:rPr>
        <w:t xml:space="preserve"> </w:t>
      </w:r>
      <w:r w:rsidR="0078010E" w:rsidRPr="0078010E">
        <w:rPr>
          <w:rFonts w:ascii="Times New Roman" w:hAnsi="Times New Roman" w:cs="Times New Roman"/>
          <w:iCs/>
          <w:sz w:val="16"/>
          <w:szCs w:val="16"/>
          <w:lang w:val="bs-Cyrl-BA" w:eastAsia="sr-Latn-BA"/>
        </w:rPr>
        <w:t>в</w:t>
      </w:r>
      <w:r w:rsidR="0078010E" w:rsidRPr="0078010E">
        <w:rPr>
          <w:rFonts w:ascii="Times New Roman" w:hAnsi="Times New Roman" w:cs="Times New Roman"/>
          <w:iCs/>
          <w:sz w:val="16"/>
          <w:szCs w:val="16"/>
          <w:lang w:val="sr-Latn-BA" w:eastAsia="sr-Latn-BA"/>
        </w:rPr>
        <w:t>анредно саоп</w:t>
      </w:r>
      <w:r w:rsidR="0078010E" w:rsidRPr="0078010E">
        <w:rPr>
          <w:rFonts w:ascii="Times New Roman" w:hAnsi="Times New Roman" w:cs="Times New Roman"/>
          <w:iCs/>
          <w:sz w:val="16"/>
          <w:szCs w:val="16"/>
          <w:lang w:val="bs-Cyrl-BA" w:eastAsia="sr-Latn-BA"/>
        </w:rPr>
        <w:t>шт</w:t>
      </w:r>
      <w:r w:rsidR="0078010E" w:rsidRPr="0078010E">
        <w:rPr>
          <w:rFonts w:ascii="Times New Roman" w:hAnsi="Times New Roman" w:cs="Times New Roman"/>
          <w:iCs/>
          <w:sz w:val="16"/>
          <w:szCs w:val="16"/>
          <w:lang w:val="sr-Latn-BA" w:eastAsia="sr-Latn-BA"/>
        </w:rPr>
        <w:t>ење од 19.</w:t>
      </w:r>
      <w:r w:rsidR="0078010E" w:rsidRPr="0078010E">
        <w:rPr>
          <w:rFonts w:ascii="Times New Roman" w:hAnsi="Times New Roman" w:cs="Times New Roman"/>
          <w:iCs/>
          <w:sz w:val="16"/>
          <w:szCs w:val="16"/>
          <w:lang w:val="bs-Cyrl-BA" w:eastAsia="sr-Latn-BA"/>
        </w:rPr>
        <w:t xml:space="preserve"> </w:t>
      </w:r>
      <w:r w:rsidR="0078010E" w:rsidRPr="0078010E">
        <w:rPr>
          <w:rFonts w:ascii="Times New Roman" w:hAnsi="Times New Roman" w:cs="Times New Roman"/>
          <w:iCs/>
          <w:sz w:val="16"/>
          <w:szCs w:val="16"/>
          <w:lang w:val="sr-Latn-BA" w:eastAsia="sr-Latn-BA"/>
        </w:rPr>
        <w:t>7.</w:t>
      </w:r>
      <w:r w:rsidR="0078010E" w:rsidRPr="0078010E">
        <w:rPr>
          <w:rFonts w:ascii="Times New Roman" w:hAnsi="Times New Roman" w:cs="Times New Roman"/>
          <w:iCs/>
          <w:sz w:val="16"/>
          <w:szCs w:val="16"/>
          <w:lang w:val="bs-Cyrl-BA" w:eastAsia="sr-Latn-BA"/>
        </w:rPr>
        <w:t xml:space="preserve"> </w:t>
      </w:r>
      <w:r w:rsidR="0078010E" w:rsidRPr="0078010E">
        <w:rPr>
          <w:rFonts w:ascii="Times New Roman" w:hAnsi="Times New Roman" w:cs="Times New Roman"/>
          <w:iCs/>
          <w:sz w:val="16"/>
          <w:szCs w:val="16"/>
          <w:lang w:val="sr-Latn-BA" w:eastAsia="sr-Latn-BA"/>
        </w:rPr>
        <w:t>2021. године; Агенција за статистику БиХ</w:t>
      </w:r>
    </w:p>
  </w:footnote>
  <w:footnote w:id="44">
    <w:p w14:paraId="7345B129" w14:textId="646DCD5F" w:rsidR="00EA0FD7" w:rsidRPr="0078010E" w:rsidRDefault="00EA0FD7" w:rsidP="00EA0FD7">
      <w:pPr>
        <w:pStyle w:val="Funote1"/>
        <w:jc w:val="both"/>
        <w:rPr>
          <w:rFonts w:ascii="Times New Roman" w:hAnsi="Times New Roman" w:cs="Times New Roman"/>
          <w:sz w:val="16"/>
          <w:szCs w:val="16"/>
          <w:lang w:val="sr-Latn-BA"/>
        </w:rPr>
      </w:pPr>
      <w:r w:rsidRPr="0078010E">
        <w:rPr>
          <w:rStyle w:val="Referencafusnote"/>
          <w:rFonts w:ascii="Times New Roman" w:hAnsi="Times New Roman" w:cs="Times New Roman"/>
          <w:sz w:val="16"/>
          <w:szCs w:val="16"/>
        </w:rPr>
        <w:footnoteRef/>
      </w:r>
      <w:r w:rsidRPr="0078010E">
        <w:rPr>
          <w:rFonts w:ascii="Times New Roman" w:hAnsi="Times New Roman" w:cs="Times New Roman"/>
          <w:sz w:val="16"/>
          <w:szCs w:val="16"/>
        </w:rPr>
        <w:t xml:space="preserve"> </w:t>
      </w:r>
      <w:r w:rsidR="0078010E" w:rsidRPr="0078010E">
        <w:rPr>
          <w:rFonts w:ascii="Times New Roman" w:hAnsi="Times New Roman" w:cs="Times New Roman"/>
          <w:sz w:val="16"/>
          <w:szCs w:val="16"/>
          <w:lang w:val="bs-Cyrl-BA"/>
        </w:rPr>
        <w:t>ДЕП</w:t>
      </w:r>
      <w:r w:rsidRPr="0078010E">
        <w:rPr>
          <w:rFonts w:ascii="Times New Roman" w:hAnsi="Times New Roman" w:cs="Times New Roman"/>
          <w:sz w:val="16"/>
          <w:szCs w:val="16"/>
          <w:lang w:val="sr-Latn-BA"/>
        </w:rPr>
        <w:t xml:space="preserve">, </w:t>
      </w:r>
      <w:r w:rsidR="0078010E" w:rsidRPr="0078010E">
        <w:rPr>
          <w:rFonts w:ascii="Times New Roman" w:hAnsi="Times New Roman" w:cs="Times New Roman"/>
          <w:sz w:val="16"/>
          <w:szCs w:val="16"/>
          <w:lang w:val="bs-Cyrl-BA"/>
        </w:rPr>
        <w:t>март</w:t>
      </w:r>
      <w:r w:rsidRPr="0078010E">
        <w:rPr>
          <w:rFonts w:ascii="Times New Roman" w:hAnsi="Times New Roman" w:cs="Times New Roman"/>
          <w:sz w:val="16"/>
          <w:szCs w:val="16"/>
          <w:lang w:val="sr-Latn-BA"/>
        </w:rPr>
        <w:t xml:space="preserve"> 2022.</w:t>
      </w:r>
    </w:p>
  </w:footnote>
  <w:footnote w:id="45">
    <w:p w14:paraId="53AA5699" w14:textId="417CE332" w:rsidR="00EA0FD7" w:rsidRDefault="00EA0FD7" w:rsidP="00EA0FD7">
      <w:pPr>
        <w:pStyle w:val="Bezrazmaka"/>
        <w:jc w:val="both"/>
        <w:rPr>
          <w:lang w:val="sr-Latn-BA"/>
        </w:rPr>
      </w:pPr>
      <w:r w:rsidRPr="0078010E">
        <w:rPr>
          <w:rStyle w:val="Referencafusnote"/>
          <w:sz w:val="16"/>
          <w:szCs w:val="16"/>
        </w:rPr>
        <w:footnoteRef/>
      </w:r>
      <w:r w:rsidRPr="0078010E">
        <w:rPr>
          <w:sz w:val="16"/>
          <w:szCs w:val="16"/>
        </w:rPr>
        <w:t xml:space="preserve"> </w:t>
      </w:r>
      <w:r w:rsidRPr="0078010E">
        <w:rPr>
          <w:sz w:val="16"/>
          <w:szCs w:val="16"/>
          <w:shd w:val="clear" w:color="auto" w:fill="FFFFFF"/>
        </w:rPr>
        <w:t xml:space="preserve">Simon, H. and M. Harding (2020), </w:t>
      </w:r>
      <w:r w:rsidR="0078010E" w:rsidRPr="0078010E">
        <w:rPr>
          <w:sz w:val="16"/>
          <w:szCs w:val="16"/>
          <w:shd w:val="clear" w:color="auto" w:fill="FFFFFF"/>
          <w:lang w:val="bs-Cyrl-BA"/>
        </w:rPr>
        <w:t>„</w:t>
      </w:r>
      <w:r w:rsidRPr="0078010E">
        <w:rPr>
          <w:sz w:val="16"/>
          <w:szCs w:val="16"/>
          <w:shd w:val="clear" w:color="auto" w:fill="FFFFFF"/>
        </w:rPr>
        <w:t>What drives consumption tax revenues?: Disentangling policy and macroeconomic drivers” </w:t>
      </w:r>
      <w:r w:rsidRPr="0078010E">
        <w:rPr>
          <w:rStyle w:val="Naglaavanje"/>
          <w:sz w:val="16"/>
          <w:szCs w:val="16"/>
          <w:shd w:val="clear" w:color="auto" w:fill="FFFFFF"/>
        </w:rPr>
        <w:t xml:space="preserve"> </w:t>
      </w:r>
      <w:r w:rsidRPr="0078010E">
        <w:rPr>
          <w:rStyle w:val="Naglaavanje"/>
          <w:i w:val="0"/>
          <w:sz w:val="16"/>
          <w:szCs w:val="16"/>
          <w:shd w:val="clear" w:color="auto" w:fill="FFFFFF"/>
        </w:rPr>
        <w:t>OECD Taxation Working Papers.</w:t>
      </w:r>
    </w:p>
  </w:footnote>
  <w:footnote w:id="46">
    <w:p w14:paraId="2DD8264C" w14:textId="11E84ECE" w:rsidR="0078010E" w:rsidRPr="00A64B54" w:rsidRDefault="00EA0FD7" w:rsidP="0078010E">
      <w:r w:rsidRPr="0078010E">
        <w:rPr>
          <w:rStyle w:val="Referencafusnote"/>
        </w:rPr>
        <w:footnoteRef/>
      </w:r>
      <w:r w:rsidRPr="0078010E">
        <w:t xml:space="preserve"> </w:t>
      </w:r>
      <w:bookmarkStart w:id="51" w:name="_Hlk107393681"/>
      <w:r w:rsidR="0078010E" w:rsidRPr="0078010E">
        <w:rPr>
          <w:sz w:val="16"/>
          <w:szCs w:val="16"/>
          <w:lang w:val="sr-Latn-BA"/>
        </w:rPr>
        <w:t>Ради се о процјенама удјела, с обзиром да су подаци за националне рачуне за 2021. годину процјене ДЕП-а, а не званични подаци БХАС.</w:t>
      </w:r>
      <w:bookmarkEnd w:id="51"/>
    </w:p>
    <w:p w14:paraId="6DDFD26E" w14:textId="7F4FA775" w:rsidR="0078010E" w:rsidRPr="00A64B54" w:rsidRDefault="0078010E" w:rsidP="0078010E"/>
    <w:p w14:paraId="48C90A37" w14:textId="39A79A86" w:rsidR="00EA0FD7" w:rsidRDefault="00EA0FD7" w:rsidP="00EA0FD7">
      <w:pPr>
        <w:pStyle w:val="Funote1"/>
        <w:jc w:val="both"/>
        <w:rPr>
          <w:lang w:val="sr-Latn-BA"/>
        </w:rPr>
      </w:pPr>
    </w:p>
    <w:p w14:paraId="6399C9A1" w14:textId="77777777" w:rsidR="00EA0FD7" w:rsidRDefault="00EA0FD7" w:rsidP="00EA0FD7">
      <w:pPr>
        <w:pStyle w:val="Funote1"/>
        <w:jc w:val="both"/>
        <w:rPr>
          <w:lang w:val="sr-Latn-BA"/>
        </w:rPr>
      </w:pPr>
    </w:p>
    <w:p w14:paraId="1DD903AD" w14:textId="77777777" w:rsidR="00EA0FD7" w:rsidRDefault="00EA0FD7" w:rsidP="00EA0FD7">
      <w:pPr>
        <w:pStyle w:val="Funote1"/>
        <w:jc w:val="both"/>
        <w:rPr>
          <w:lang w:val="sr-Latn-BA"/>
        </w:rPr>
      </w:pPr>
    </w:p>
  </w:footnote>
  <w:footnote w:id="47">
    <w:p w14:paraId="3879B228" w14:textId="77777777" w:rsidR="0078010E" w:rsidRPr="0078010E" w:rsidRDefault="00EA0FD7" w:rsidP="0078010E">
      <w:pPr>
        <w:rPr>
          <w:sz w:val="16"/>
          <w:szCs w:val="16"/>
        </w:rPr>
      </w:pPr>
      <w:r w:rsidRPr="0078010E">
        <w:rPr>
          <w:rStyle w:val="Referencafusnote"/>
          <w:sz w:val="16"/>
          <w:szCs w:val="16"/>
        </w:rPr>
        <w:footnoteRef/>
      </w:r>
      <w:r w:rsidRPr="0078010E">
        <w:rPr>
          <w:sz w:val="16"/>
          <w:szCs w:val="16"/>
        </w:rPr>
        <w:t xml:space="preserve"> </w:t>
      </w:r>
      <w:bookmarkStart w:id="57" w:name="_Hlk107393795"/>
      <w:r w:rsidR="0078010E" w:rsidRPr="0078010E">
        <w:rPr>
          <w:sz w:val="16"/>
          <w:szCs w:val="16"/>
        </w:rPr>
        <w:t>Према подацима Агенције за статистику БиХ раст увоза из ЕУ у прва два мјесеца 2022. увоз из ЕУ је растао по стопи од 30,1%, а из трећих земаља чак 78%.</w:t>
      </w:r>
      <w:bookmarkEnd w:id="57"/>
    </w:p>
    <w:p w14:paraId="0AE37597" w14:textId="71612FF5" w:rsidR="0078010E" w:rsidRPr="00A64B54" w:rsidRDefault="0078010E" w:rsidP="0078010E"/>
    <w:p w14:paraId="296EC3B0" w14:textId="7F26B465" w:rsidR="00EA0FD7" w:rsidRDefault="00EA0FD7" w:rsidP="00EA0FD7">
      <w:pPr>
        <w:pStyle w:val="Funote1"/>
        <w:jc w:val="both"/>
      </w:pPr>
    </w:p>
  </w:footnote>
  <w:footnote w:id="48">
    <w:p w14:paraId="1956077D" w14:textId="31CC5352" w:rsidR="00EA0FD7" w:rsidRPr="0078010E" w:rsidRDefault="00EA0FD7" w:rsidP="00EA0FD7">
      <w:pPr>
        <w:jc w:val="both"/>
        <w:rPr>
          <w:sz w:val="16"/>
          <w:szCs w:val="16"/>
        </w:rPr>
      </w:pPr>
      <w:bookmarkStart w:id="63" w:name="_Hlk107393922"/>
      <w:r w:rsidRPr="0078010E">
        <w:rPr>
          <w:rStyle w:val="Referencafusnote"/>
          <w:sz w:val="16"/>
          <w:szCs w:val="16"/>
        </w:rPr>
        <w:footnoteRef/>
      </w:r>
      <w:r w:rsidRPr="0078010E">
        <w:rPr>
          <w:sz w:val="16"/>
          <w:szCs w:val="16"/>
        </w:rPr>
        <w:t xml:space="preserve"> </w:t>
      </w:r>
      <w:r w:rsidR="0078010E" w:rsidRPr="0078010E">
        <w:rPr>
          <w:sz w:val="16"/>
          <w:szCs w:val="16"/>
        </w:rPr>
        <w:t xml:space="preserve">Ради се о </w:t>
      </w:r>
      <w:r w:rsidR="0078010E" w:rsidRPr="0078010E">
        <w:rPr>
          <w:sz w:val="16"/>
          <w:szCs w:val="16"/>
          <w:lang w:val="pl-PL"/>
        </w:rPr>
        <w:t>реализацији измјена Правилника о примјени Закона о ПДВ-у, на снази од децембра 2020., којима су, након вишегодишњег застоја у примјени Закона о ПДВ-у, дефини</w:t>
      </w:r>
      <w:r w:rsidR="0078010E">
        <w:rPr>
          <w:sz w:val="16"/>
          <w:szCs w:val="16"/>
          <w:lang w:val="bs-Cyrl-BA"/>
        </w:rPr>
        <w:t>с</w:t>
      </w:r>
      <w:r w:rsidR="0078010E" w:rsidRPr="0078010E">
        <w:rPr>
          <w:sz w:val="16"/>
          <w:szCs w:val="16"/>
          <w:lang w:val="pl-PL"/>
        </w:rPr>
        <w:t>ана правила исплате поврата страним ПДВ обвезницима из активности на територију БиХ, а у складу са Тринаестом ПДВ Директивом ЕЗ и праксом чланица ЕУ.</w:t>
      </w:r>
    </w:p>
  </w:footnote>
  <w:footnote w:id="49">
    <w:p w14:paraId="146A0401" w14:textId="15F02732" w:rsidR="00EA0FD7" w:rsidRDefault="00EA0FD7" w:rsidP="00EA0FD7">
      <w:pPr>
        <w:pStyle w:val="Funote1"/>
        <w:jc w:val="both"/>
      </w:pPr>
      <w:r w:rsidRPr="0078010E">
        <w:rPr>
          <w:rStyle w:val="Referencafusnote"/>
          <w:sz w:val="16"/>
          <w:szCs w:val="16"/>
        </w:rPr>
        <w:footnoteRef/>
      </w:r>
      <w:r w:rsidRPr="0078010E">
        <w:rPr>
          <w:sz w:val="16"/>
          <w:szCs w:val="16"/>
        </w:rPr>
        <w:t xml:space="preserve"> </w:t>
      </w:r>
      <w:r w:rsidR="0078010E" w:rsidRPr="0078010E">
        <w:rPr>
          <w:sz w:val="16"/>
          <w:szCs w:val="16"/>
        </w:rPr>
        <w:t>У складу са одредбама Закона о ПДВ-у поврати претежним извозницима се исплаћују у року од 30 дана од подношења ПДВ пријаве за мјесец у којем је настао извоз, а осталим извозницима и увозницима поврати се исплаћују у року од 60 дана од подношења ПДВ пријаве за мјесец у којем је извршен увоз/извоз.</w:t>
      </w:r>
    </w:p>
  </w:footnote>
  <w:footnote w:id="50">
    <w:p w14:paraId="45CF67BA" w14:textId="77777777" w:rsidR="0078010E" w:rsidRPr="00A64B54" w:rsidRDefault="00EA0FD7" w:rsidP="0078010E">
      <w:r>
        <w:rPr>
          <w:rStyle w:val="Referencafusnote"/>
        </w:rPr>
        <w:footnoteRef/>
      </w:r>
      <w:r>
        <w:t xml:space="preserve"> </w:t>
      </w:r>
      <w:r w:rsidR="0078010E" w:rsidRPr="0078010E">
        <w:rPr>
          <w:sz w:val="16"/>
          <w:szCs w:val="16"/>
        </w:rPr>
        <w:t>Посљедње повећање специфичне акцизе на цигарете било је за 2019. годину.</w:t>
      </w:r>
    </w:p>
    <w:p w14:paraId="422859AE" w14:textId="2C90B07D" w:rsidR="00EA0FD7" w:rsidRDefault="00EA0FD7" w:rsidP="00EA0FD7">
      <w:pPr>
        <w:pStyle w:val="Funote1"/>
      </w:pPr>
    </w:p>
  </w:footnote>
  <w:footnote w:id="51">
    <w:p w14:paraId="21052E59" w14:textId="6B7C21A5" w:rsidR="00EA0FD7" w:rsidRDefault="00EA0FD7" w:rsidP="00EA0FD7">
      <w:pPr>
        <w:pStyle w:val="Funote1"/>
        <w:jc w:val="both"/>
        <w:rPr>
          <w:lang w:val="sr-Latn-BA"/>
        </w:rPr>
      </w:pPr>
      <w:bookmarkStart w:id="78" w:name="_Hlk107394031"/>
      <w:r w:rsidRPr="0078010E">
        <w:rPr>
          <w:rStyle w:val="Referencafusnote"/>
          <w:sz w:val="16"/>
          <w:szCs w:val="16"/>
        </w:rPr>
        <w:footnoteRef/>
      </w:r>
      <w:r w:rsidRPr="0078010E">
        <w:rPr>
          <w:sz w:val="16"/>
          <w:szCs w:val="16"/>
        </w:rPr>
        <w:t xml:space="preserve"> </w:t>
      </w:r>
      <w:bookmarkEnd w:id="78"/>
      <w:r w:rsidR="0078010E" w:rsidRPr="0078010E">
        <w:rPr>
          <w:sz w:val="16"/>
          <w:szCs w:val="16"/>
          <w:lang w:val="sr-Latn-BA"/>
        </w:rPr>
        <w:t>Опширније: Регоје, А. (2022). „Утицај пандемије вируса корона на динамику наплате прихода од индиректних пореза у 2020</w:t>
      </w:r>
      <w:r w:rsidR="0078010E">
        <w:rPr>
          <w:sz w:val="16"/>
          <w:szCs w:val="16"/>
          <w:lang w:val="bs-Cyrl-BA"/>
        </w:rPr>
        <w:t>.</w:t>
      </w:r>
      <w:r w:rsidR="0078010E" w:rsidRPr="0078010E">
        <w:rPr>
          <w:sz w:val="16"/>
          <w:szCs w:val="16"/>
          <w:lang w:val="sr-Latn-BA"/>
        </w:rPr>
        <w:t xml:space="preserve"> и 2021. години“. ОМА Билтен бр. 201-202, март/април 2022, </w:t>
      </w:r>
      <w:hyperlink r:id="rId13" w:history="1">
        <w:r w:rsidR="0078010E" w:rsidRPr="00DA6442">
          <w:rPr>
            <w:rStyle w:val="Hiperveza"/>
            <w:sz w:val="16"/>
            <w:szCs w:val="16"/>
            <w:lang w:val="sr-Latn-BA"/>
          </w:rPr>
          <w:t>www.oma.uinо.gov.bа</w:t>
        </w:r>
      </w:hyperlink>
      <w:r w:rsidR="0078010E" w:rsidRPr="0078010E">
        <w:rPr>
          <w:sz w:val="16"/>
          <w:szCs w:val="16"/>
          <w:lang w:val="sr-Latn-BA"/>
        </w:rPr>
        <w:t>. У анализи су,  након калкулације сезонских индекса на основу података из периода 2010-2019, постављени регресиони модели и израчунати коефицијенти детерминације сезонских индекса и стварних удјела мјесечних износа појединих врста прихода у одговарајућем периоду, како би се приказало колико добро се сезонски индекси уклапају</w:t>
      </w:r>
      <w:r w:rsidR="0078010E">
        <w:rPr>
          <w:sz w:val="16"/>
          <w:szCs w:val="16"/>
          <w:lang w:val="sr-Latn-BA"/>
        </w:rPr>
        <w:t xml:space="preserve"> </w:t>
      </w:r>
      <w:r w:rsidR="0078010E" w:rsidRPr="0078010E">
        <w:rPr>
          <w:sz w:val="16"/>
          <w:szCs w:val="16"/>
          <w:lang w:val="sr-Latn-BA"/>
        </w:rPr>
        <w:t>у стварне удјеле у поменутом периоду. Коефицијент детерминације сезонских индекса и стварних удјела мјесечних износа укупних нето прихода од индиректних пореза у периоду 2010-2019 износио је 77,5%. У 2020. години износио је свега 0,6%, док је у 2021. години порастао на 65,3%.</w:t>
      </w:r>
    </w:p>
  </w:footnote>
  <w:footnote w:id="52">
    <w:p w14:paraId="5ECFC068" w14:textId="4F8C3FB3" w:rsidR="00EA0FD7" w:rsidRPr="0078010E" w:rsidRDefault="00EA0FD7" w:rsidP="0078010E">
      <w:pPr>
        <w:rPr>
          <w:sz w:val="16"/>
          <w:szCs w:val="16"/>
        </w:rPr>
      </w:pPr>
      <w:r w:rsidRPr="0078010E">
        <w:rPr>
          <w:rStyle w:val="Referencafusnote"/>
          <w:sz w:val="16"/>
          <w:szCs w:val="16"/>
        </w:rPr>
        <w:footnoteRef/>
      </w:r>
      <w:r w:rsidRPr="0078010E">
        <w:rPr>
          <w:sz w:val="16"/>
          <w:szCs w:val="16"/>
        </w:rPr>
        <w:t xml:space="preserve"> </w:t>
      </w:r>
      <w:r w:rsidR="0078010E" w:rsidRPr="0078010E">
        <w:rPr>
          <w:sz w:val="16"/>
          <w:szCs w:val="16"/>
        </w:rPr>
        <w:t xml:space="preserve">На </w:t>
      </w:r>
      <w:r w:rsidR="0078010E" w:rsidRPr="0078010E">
        <w:rPr>
          <w:i/>
          <w:sz w:val="16"/>
          <w:szCs w:val="16"/>
          <w:lang w:val="bs-Cyrl-BA"/>
        </w:rPr>
        <w:t>в</w:t>
      </w:r>
      <w:r w:rsidR="0078010E" w:rsidRPr="0078010E">
        <w:rPr>
          <w:i/>
          <w:sz w:val="16"/>
          <w:szCs w:val="16"/>
        </w:rPr>
        <w:t>еб</w:t>
      </w:r>
      <w:r w:rsidR="0078010E" w:rsidRPr="0078010E">
        <w:rPr>
          <w:sz w:val="16"/>
          <w:szCs w:val="16"/>
          <w:lang w:val="bs-Cyrl-BA"/>
        </w:rPr>
        <w:t>-</w:t>
      </w:r>
      <w:r w:rsidR="0078010E" w:rsidRPr="0078010E">
        <w:rPr>
          <w:sz w:val="16"/>
          <w:szCs w:val="16"/>
        </w:rPr>
        <w:t xml:space="preserve">страници </w:t>
      </w:r>
      <w:r w:rsidR="0078010E" w:rsidRPr="0078010E">
        <w:rPr>
          <w:sz w:val="16"/>
          <w:szCs w:val="16"/>
          <w:lang w:val="bs-Cyrl-BA"/>
        </w:rPr>
        <w:t>Спољно</w:t>
      </w:r>
      <w:r w:rsidR="0078010E" w:rsidRPr="0078010E">
        <w:rPr>
          <w:sz w:val="16"/>
          <w:szCs w:val="16"/>
        </w:rPr>
        <w:t xml:space="preserve">трговинске коморе БиХ објављују се седмичне цијене деривата нафте на тржишту БиХ (подаци </w:t>
      </w:r>
      <w:r w:rsidR="0078010E" w:rsidRPr="0078010E">
        <w:rPr>
          <w:i/>
          <w:sz w:val="16"/>
          <w:szCs w:val="16"/>
        </w:rPr>
        <w:t>International</w:t>
      </w:r>
      <w:r w:rsidR="0078010E" w:rsidRPr="0078010E">
        <w:rPr>
          <w:i/>
          <w:sz w:val="16"/>
          <w:szCs w:val="16"/>
        </w:rPr>
        <w:t xml:space="preserve"> </w:t>
      </w:r>
      <w:r w:rsidR="0078010E" w:rsidRPr="0078010E">
        <w:rPr>
          <w:i/>
          <w:sz w:val="16"/>
          <w:szCs w:val="16"/>
        </w:rPr>
        <w:t>Road</w:t>
      </w:r>
      <w:r w:rsidR="0078010E" w:rsidRPr="0078010E">
        <w:rPr>
          <w:i/>
          <w:sz w:val="16"/>
          <w:szCs w:val="16"/>
        </w:rPr>
        <w:t xml:space="preserve"> </w:t>
      </w:r>
      <w:r w:rsidR="0078010E" w:rsidRPr="0078010E">
        <w:rPr>
          <w:i/>
          <w:sz w:val="16"/>
          <w:szCs w:val="16"/>
        </w:rPr>
        <w:t>Transport</w:t>
      </w:r>
      <w:r w:rsidR="0078010E" w:rsidRPr="0078010E">
        <w:rPr>
          <w:i/>
          <w:sz w:val="16"/>
          <w:szCs w:val="16"/>
        </w:rPr>
        <w:t xml:space="preserve"> </w:t>
      </w:r>
      <w:r w:rsidR="0078010E" w:rsidRPr="0078010E">
        <w:rPr>
          <w:i/>
          <w:sz w:val="16"/>
          <w:szCs w:val="16"/>
        </w:rPr>
        <w:t>Union</w:t>
      </w:r>
      <w:r w:rsidR="0078010E" w:rsidRPr="0078010E">
        <w:rPr>
          <w:sz w:val="16"/>
          <w:szCs w:val="16"/>
        </w:rPr>
        <w:t>). Извор:</w:t>
      </w:r>
      <w:r w:rsidR="0078010E" w:rsidRPr="0078010E">
        <w:rPr>
          <w:sz w:val="16"/>
          <w:szCs w:val="16"/>
        </w:rPr>
        <w:t xml:space="preserve"> </w:t>
      </w:r>
      <w:hyperlink r:id="rId14" w:history="1">
        <w:r w:rsidR="0078010E" w:rsidRPr="0078010E">
          <w:rPr>
            <w:rStyle w:val="Hiperveza"/>
            <w:sz w:val="16"/>
            <w:szCs w:val="16"/>
          </w:rPr>
          <w:t>https://www.komorabih.ba/</w:t>
        </w:r>
      </w:hyperlink>
      <w:r w:rsidR="0078010E" w:rsidRPr="0078010E">
        <w:rPr>
          <w:sz w:val="16"/>
          <w:szCs w:val="16"/>
        </w:rPr>
        <w:t xml:space="preserve"> </w:t>
      </w:r>
    </w:p>
  </w:footnote>
  <w:footnote w:id="53">
    <w:p w14:paraId="530E9A3B" w14:textId="77777777" w:rsidR="0078010E" w:rsidRPr="0078010E" w:rsidRDefault="00EA0FD7" w:rsidP="0078010E">
      <w:pPr>
        <w:rPr>
          <w:sz w:val="16"/>
          <w:szCs w:val="16"/>
        </w:rPr>
      </w:pPr>
      <w:r w:rsidRPr="0078010E">
        <w:rPr>
          <w:rStyle w:val="Referencafusnote"/>
          <w:sz w:val="16"/>
          <w:szCs w:val="16"/>
        </w:rPr>
        <w:footnoteRef/>
      </w:r>
      <w:r w:rsidRPr="0078010E">
        <w:rPr>
          <w:sz w:val="16"/>
          <w:szCs w:val="16"/>
        </w:rPr>
        <w:t xml:space="preserve"> </w:t>
      </w:r>
      <w:r w:rsidR="0078010E" w:rsidRPr="0078010E">
        <w:rPr>
          <w:sz w:val="16"/>
          <w:szCs w:val="16"/>
        </w:rPr>
        <w:t>За компарацију су узете цијене увезених цигарета у 2021. с обзиром да је од 2022. укинута производња домаћих цигарета.</w:t>
      </w:r>
    </w:p>
    <w:p w14:paraId="631538D6" w14:textId="496C192C" w:rsidR="00EA0FD7" w:rsidRDefault="00EA0FD7" w:rsidP="00EA0FD7">
      <w:pPr>
        <w:pStyle w:val="Funote1"/>
        <w:jc w:val="both"/>
      </w:pPr>
    </w:p>
  </w:footnote>
  <w:footnote w:id="54">
    <w:p w14:paraId="40324887" w14:textId="79B8E4E1" w:rsidR="00EA0FD7" w:rsidRPr="0078010E" w:rsidRDefault="00EA0FD7" w:rsidP="00EA0FD7">
      <w:pPr>
        <w:pStyle w:val="Funote1"/>
        <w:rPr>
          <w:sz w:val="16"/>
          <w:szCs w:val="16"/>
          <w:lang w:val="sr-Latn-BA"/>
        </w:rPr>
      </w:pPr>
      <w:r w:rsidRPr="0078010E">
        <w:rPr>
          <w:rStyle w:val="Referencafusnote"/>
          <w:sz w:val="16"/>
          <w:szCs w:val="16"/>
        </w:rPr>
        <w:footnoteRef/>
      </w:r>
      <w:r w:rsidRPr="0078010E">
        <w:rPr>
          <w:sz w:val="16"/>
          <w:szCs w:val="16"/>
        </w:rPr>
        <w:t xml:space="preserve"> </w:t>
      </w:r>
      <w:r w:rsidR="0078010E" w:rsidRPr="0078010E">
        <w:rPr>
          <w:sz w:val="16"/>
          <w:szCs w:val="16"/>
          <w:lang w:val="bs-Cyrl-BA"/>
        </w:rPr>
        <w:t>ДЕП</w:t>
      </w:r>
      <w:r w:rsidRPr="0078010E">
        <w:rPr>
          <w:sz w:val="16"/>
          <w:szCs w:val="16"/>
          <w:lang w:val="sr-Latn-BA"/>
        </w:rPr>
        <w:t xml:space="preserve">, </w:t>
      </w:r>
      <w:r w:rsidR="0078010E" w:rsidRPr="0078010E">
        <w:rPr>
          <w:sz w:val="16"/>
          <w:szCs w:val="16"/>
          <w:lang w:val="bs-Cyrl-BA"/>
        </w:rPr>
        <w:t>Макроекономске</w:t>
      </w:r>
      <w:r w:rsidRPr="0078010E">
        <w:rPr>
          <w:sz w:val="16"/>
          <w:szCs w:val="16"/>
          <w:lang w:val="sr-Latn-BA"/>
        </w:rPr>
        <w:t xml:space="preserve"> </w:t>
      </w:r>
      <w:r w:rsidR="0078010E" w:rsidRPr="0078010E">
        <w:rPr>
          <w:sz w:val="16"/>
          <w:szCs w:val="16"/>
          <w:lang w:val="bs-Cyrl-BA"/>
        </w:rPr>
        <w:t>пројекције</w:t>
      </w:r>
      <w:r w:rsidRPr="0078010E">
        <w:rPr>
          <w:sz w:val="16"/>
          <w:szCs w:val="16"/>
          <w:lang w:val="sr-Latn-BA"/>
        </w:rPr>
        <w:t xml:space="preserve"> 2023</w:t>
      </w:r>
      <w:r w:rsidR="0078010E" w:rsidRPr="0078010E">
        <w:rPr>
          <w:sz w:val="16"/>
          <w:szCs w:val="16"/>
          <w:lang w:val="sr-Latn-BA"/>
        </w:rPr>
        <w:t>–</w:t>
      </w:r>
      <w:r w:rsidRPr="0078010E">
        <w:rPr>
          <w:sz w:val="16"/>
          <w:szCs w:val="16"/>
          <w:lang w:val="sr-Latn-BA"/>
        </w:rPr>
        <w:t xml:space="preserve">2025, </w:t>
      </w:r>
      <w:r w:rsidR="0078010E" w:rsidRPr="0078010E">
        <w:rPr>
          <w:sz w:val="16"/>
          <w:szCs w:val="16"/>
          <w:lang w:val="bs-Cyrl-BA"/>
        </w:rPr>
        <w:t>март</w:t>
      </w:r>
      <w:r w:rsidRPr="0078010E">
        <w:rPr>
          <w:sz w:val="16"/>
          <w:szCs w:val="16"/>
          <w:lang w:val="sr-Latn-BA"/>
        </w:rPr>
        <w:t xml:space="preserve"> 2022, </w:t>
      </w:r>
      <w:r w:rsidR="0078010E" w:rsidRPr="0078010E">
        <w:rPr>
          <w:sz w:val="16"/>
          <w:szCs w:val="16"/>
          <w:lang w:val="bs-Cyrl-BA"/>
        </w:rPr>
        <w:t>стр</w:t>
      </w:r>
      <w:r w:rsidRPr="0078010E">
        <w:rPr>
          <w:sz w:val="16"/>
          <w:szCs w:val="16"/>
          <w:lang w:val="sr-Latn-BA"/>
        </w:rPr>
        <w:t>. 6</w:t>
      </w:r>
    </w:p>
  </w:footnote>
  <w:footnote w:id="55">
    <w:p w14:paraId="64153443" w14:textId="26395F39" w:rsidR="00EA0FD7" w:rsidRPr="0078010E" w:rsidRDefault="00EA0FD7" w:rsidP="00EA0FD7">
      <w:pPr>
        <w:pStyle w:val="Funote1"/>
        <w:rPr>
          <w:sz w:val="16"/>
          <w:szCs w:val="16"/>
          <w:lang w:val="bs-Cyrl-BA"/>
        </w:rPr>
      </w:pPr>
      <w:r w:rsidRPr="0078010E">
        <w:rPr>
          <w:rStyle w:val="Referencafusnote"/>
          <w:sz w:val="16"/>
          <w:szCs w:val="16"/>
        </w:rPr>
        <w:footnoteRef/>
      </w:r>
      <w:r w:rsidRPr="0078010E">
        <w:rPr>
          <w:sz w:val="16"/>
          <w:szCs w:val="16"/>
        </w:rPr>
        <w:t xml:space="preserve"> European Commission. (2022). </w:t>
      </w:r>
      <w:r w:rsidR="0078010E" w:rsidRPr="0078010E">
        <w:rPr>
          <w:sz w:val="16"/>
          <w:szCs w:val="16"/>
          <w:lang w:val="bs-Cyrl-BA"/>
        </w:rPr>
        <w:t>„</w:t>
      </w:r>
      <w:r w:rsidRPr="0078010E">
        <w:rPr>
          <w:sz w:val="16"/>
          <w:szCs w:val="16"/>
        </w:rPr>
        <w:t>European Economic Forecast Winter 2022</w:t>
      </w:r>
      <w:r w:rsidR="0078010E" w:rsidRPr="0078010E">
        <w:rPr>
          <w:sz w:val="16"/>
          <w:szCs w:val="16"/>
          <w:lang w:val="bs-Cyrl-BA"/>
        </w:rPr>
        <w:t>“</w:t>
      </w:r>
      <w:r w:rsidRPr="0078010E">
        <w:rPr>
          <w:sz w:val="16"/>
          <w:szCs w:val="16"/>
        </w:rPr>
        <w:t xml:space="preserve">. </w:t>
      </w:r>
      <w:r w:rsidRPr="0078010E">
        <w:rPr>
          <w:sz w:val="16"/>
          <w:szCs w:val="16"/>
          <w:lang w:val="sr-Latn-BA"/>
        </w:rPr>
        <w:t>Institutional Paper</w:t>
      </w:r>
      <w:r w:rsidRPr="0078010E">
        <w:rPr>
          <w:sz w:val="16"/>
          <w:szCs w:val="16"/>
        </w:rPr>
        <w:t xml:space="preserve"> 169</w:t>
      </w:r>
      <w:r w:rsidRPr="0078010E">
        <w:rPr>
          <w:sz w:val="16"/>
          <w:szCs w:val="16"/>
          <w:lang w:val="sr-Latn-BA"/>
        </w:rPr>
        <w:t>, February 2022.</w:t>
      </w:r>
      <w:r w:rsidR="0078010E" w:rsidRPr="0078010E">
        <w:rPr>
          <w:sz w:val="16"/>
          <w:szCs w:val="16"/>
          <w:lang w:val="bs-Cyrl-BA"/>
        </w:rPr>
        <w:t xml:space="preserve"> </w:t>
      </w:r>
    </w:p>
  </w:footnote>
  <w:footnote w:id="56">
    <w:p w14:paraId="1C82EAA6" w14:textId="77777777" w:rsidR="00EA0FD7" w:rsidRPr="0078010E" w:rsidRDefault="00EA0FD7" w:rsidP="00EA0FD7">
      <w:pPr>
        <w:pStyle w:val="Funote1"/>
        <w:rPr>
          <w:sz w:val="16"/>
          <w:szCs w:val="16"/>
          <w:lang w:val="sr-Latn-BA"/>
        </w:rPr>
      </w:pPr>
      <w:r w:rsidRPr="0078010E">
        <w:rPr>
          <w:rStyle w:val="Referencafusnote"/>
          <w:sz w:val="16"/>
          <w:szCs w:val="16"/>
        </w:rPr>
        <w:footnoteRef/>
      </w:r>
      <w:r w:rsidRPr="0078010E">
        <w:rPr>
          <w:sz w:val="16"/>
          <w:szCs w:val="16"/>
        </w:rPr>
        <w:t xml:space="preserve"> IMF, World Economic Outlook,  </w:t>
      </w:r>
      <w:r w:rsidRPr="0078010E">
        <w:rPr>
          <w:sz w:val="16"/>
          <w:szCs w:val="16"/>
          <w:lang w:val="sr-Latn-BA"/>
        </w:rPr>
        <w:t xml:space="preserve">January </w:t>
      </w:r>
      <w:r w:rsidRPr="0078010E">
        <w:rPr>
          <w:sz w:val="16"/>
          <w:szCs w:val="16"/>
        </w:rPr>
        <w:t>202</w:t>
      </w:r>
      <w:r w:rsidRPr="0078010E">
        <w:rPr>
          <w:sz w:val="16"/>
          <w:szCs w:val="16"/>
          <w:lang w:val="sr-Latn-BA"/>
        </w:rPr>
        <w:t>2.</w:t>
      </w:r>
    </w:p>
  </w:footnote>
  <w:footnote w:id="57">
    <w:p w14:paraId="6570A2E4" w14:textId="37D49A46" w:rsidR="00EA0FD7" w:rsidRPr="0078010E" w:rsidRDefault="00EA0FD7" w:rsidP="00EA0FD7">
      <w:pPr>
        <w:pStyle w:val="Funote1"/>
        <w:rPr>
          <w:sz w:val="16"/>
          <w:szCs w:val="16"/>
          <w:lang w:val="sr-Latn-BA"/>
        </w:rPr>
      </w:pPr>
      <w:r w:rsidRPr="0078010E">
        <w:rPr>
          <w:rStyle w:val="Referencafusnote"/>
          <w:sz w:val="16"/>
          <w:szCs w:val="16"/>
        </w:rPr>
        <w:footnoteRef/>
      </w:r>
      <w:r w:rsidRPr="0078010E">
        <w:rPr>
          <w:sz w:val="16"/>
          <w:szCs w:val="16"/>
        </w:rPr>
        <w:t xml:space="preserve"> </w:t>
      </w:r>
      <w:r w:rsidRPr="0078010E">
        <w:rPr>
          <w:sz w:val="16"/>
          <w:szCs w:val="16"/>
          <w:lang w:val="sr-Latn-BA"/>
        </w:rPr>
        <w:t>IMF „</w:t>
      </w:r>
      <w:r w:rsidRPr="0078010E">
        <w:rPr>
          <w:sz w:val="16"/>
          <w:szCs w:val="16"/>
        </w:rPr>
        <w:t>Bosnia and Herzegovina: Staff Concluding Statement of the 2022 Article IV Mission</w:t>
      </w:r>
      <w:r w:rsidRPr="0078010E">
        <w:rPr>
          <w:sz w:val="16"/>
          <w:szCs w:val="16"/>
          <w:lang w:val="sr-Latn-BA"/>
        </w:rPr>
        <w:t>“,</w:t>
      </w:r>
      <w:r w:rsidRPr="0078010E">
        <w:rPr>
          <w:sz w:val="16"/>
          <w:szCs w:val="16"/>
        </w:rPr>
        <w:t xml:space="preserve"> March 25, 2022</w:t>
      </w:r>
      <w:r w:rsidR="0078010E" w:rsidRPr="0078010E">
        <w:rPr>
          <w:sz w:val="16"/>
          <w:szCs w:val="16"/>
          <w:lang w:val="bs-Cyrl-BA"/>
        </w:rPr>
        <w:t>.</w:t>
      </w:r>
      <w:r w:rsidRPr="0078010E">
        <w:rPr>
          <w:sz w:val="16"/>
          <w:szCs w:val="16"/>
          <w:lang w:val="sr-Latn-BA"/>
        </w:rPr>
        <w:t xml:space="preserve"> </w:t>
      </w:r>
    </w:p>
  </w:footnote>
  <w:footnote w:id="58">
    <w:p w14:paraId="2D25F4B3" w14:textId="2BC175E5" w:rsidR="00EA0FD7" w:rsidRPr="0078010E" w:rsidRDefault="00EA0FD7" w:rsidP="00EA0FD7">
      <w:pPr>
        <w:pStyle w:val="Funote1"/>
        <w:rPr>
          <w:lang w:val="bs-Cyrl-BA"/>
        </w:rPr>
      </w:pPr>
      <w:r w:rsidRPr="0078010E">
        <w:rPr>
          <w:rStyle w:val="Referencafusnote"/>
          <w:sz w:val="16"/>
          <w:szCs w:val="16"/>
        </w:rPr>
        <w:footnoteRef/>
      </w:r>
      <w:r w:rsidRPr="0078010E">
        <w:rPr>
          <w:sz w:val="16"/>
          <w:szCs w:val="16"/>
        </w:rPr>
        <w:t xml:space="preserve"> </w:t>
      </w:r>
      <w:r w:rsidRPr="0078010E">
        <w:rPr>
          <w:sz w:val="16"/>
          <w:szCs w:val="16"/>
          <w:lang w:val="sr-Latn-BA"/>
        </w:rPr>
        <w:t>ECB, „</w:t>
      </w:r>
      <w:r w:rsidRPr="0078010E">
        <w:rPr>
          <w:sz w:val="16"/>
          <w:szCs w:val="16"/>
        </w:rPr>
        <w:t>ECB staff macroeconomicprojections for the euro</w:t>
      </w:r>
      <w:r w:rsidRPr="0078010E">
        <w:rPr>
          <w:sz w:val="16"/>
          <w:szCs w:val="16"/>
          <w:lang w:val="sr-Latn-BA"/>
        </w:rPr>
        <w:t xml:space="preserve"> </w:t>
      </w:r>
      <w:r w:rsidRPr="0078010E">
        <w:rPr>
          <w:sz w:val="16"/>
          <w:szCs w:val="16"/>
        </w:rPr>
        <w:t>area</w:t>
      </w:r>
      <w:r w:rsidRPr="0078010E">
        <w:rPr>
          <w:sz w:val="16"/>
          <w:szCs w:val="16"/>
          <w:lang w:val="sr-Latn-BA"/>
        </w:rPr>
        <w:t>“, mart 2022</w:t>
      </w:r>
      <w:r w:rsidR="0078010E" w:rsidRPr="0078010E">
        <w:rPr>
          <w:sz w:val="16"/>
          <w:szCs w:val="16"/>
          <w:lang w:val="bs-Cyrl-B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02701"/>
    <w:multiLevelType w:val="hybridMultilevel"/>
    <w:tmpl w:val="22AA53C6"/>
    <w:lvl w:ilvl="0" w:tplc="3670C522">
      <w:start w:val="1"/>
      <w:numFmt w:val="bullet"/>
      <w:lvlText w:val="-"/>
      <w:lvlJc w:val="left"/>
      <w:pPr>
        <w:tabs>
          <w:tab w:val="num" w:pos="576"/>
        </w:tabs>
        <w:ind w:left="504" w:hanging="288"/>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541E83"/>
    <w:multiLevelType w:val="hybridMultilevel"/>
    <w:tmpl w:val="70E8F0B2"/>
    <w:lvl w:ilvl="0" w:tplc="3670C522">
      <w:start w:val="1"/>
      <w:numFmt w:val="bullet"/>
      <w:lvlText w:val="-"/>
      <w:lvlJc w:val="left"/>
      <w:pPr>
        <w:ind w:left="1440" w:hanging="360"/>
      </w:pPr>
      <w:rPr>
        <w:rFonts w:ascii="Times New Roman" w:eastAsia="Times New Roman" w:hAnsi="Times New Roman" w:cs="Times New Roman" w:hint="default"/>
      </w:rPr>
    </w:lvl>
    <w:lvl w:ilvl="1" w:tplc="181A0003">
      <w:start w:val="1"/>
      <w:numFmt w:val="bullet"/>
      <w:lvlText w:val="o"/>
      <w:lvlJc w:val="left"/>
      <w:pPr>
        <w:tabs>
          <w:tab w:val="num" w:pos="1440"/>
        </w:tabs>
        <w:ind w:left="1440" w:hanging="360"/>
      </w:pPr>
      <w:rPr>
        <w:rFonts w:ascii="Courier New" w:hAnsi="Courier New" w:cs="Courier New" w:hint="default"/>
      </w:rPr>
    </w:lvl>
    <w:lvl w:ilvl="2" w:tplc="181A0005">
      <w:start w:val="1"/>
      <w:numFmt w:val="bullet"/>
      <w:lvlText w:val=""/>
      <w:lvlJc w:val="left"/>
      <w:pPr>
        <w:tabs>
          <w:tab w:val="num" w:pos="2160"/>
        </w:tabs>
        <w:ind w:left="2160" w:hanging="360"/>
      </w:pPr>
      <w:rPr>
        <w:rFonts w:ascii="Wingdings" w:hAnsi="Wingdings" w:hint="default"/>
      </w:rPr>
    </w:lvl>
    <w:lvl w:ilvl="3" w:tplc="181A0001">
      <w:start w:val="1"/>
      <w:numFmt w:val="bullet"/>
      <w:lvlText w:val=""/>
      <w:lvlJc w:val="left"/>
      <w:pPr>
        <w:tabs>
          <w:tab w:val="num" w:pos="2880"/>
        </w:tabs>
        <w:ind w:left="2880" w:hanging="360"/>
      </w:pPr>
      <w:rPr>
        <w:rFonts w:ascii="Symbol" w:hAnsi="Symbol" w:hint="default"/>
      </w:rPr>
    </w:lvl>
    <w:lvl w:ilvl="4" w:tplc="181A0003">
      <w:start w:val="1"/>
      <w:numFmt w:val="bullet"/>
      <w:lvlText w:val="o"/>
      <w:lvlJc w:val="left"/>
      <w:pPr>
        <w:tabs>
          <w:tab w:val="num" w:pos="3600"/>
        </w:tabs>
        <w:ind w:left="3600" w:hanging="360"/>
      </w:pPr>
      <w:rPr>
        <w:rFonts w:ascii="Courier New" w:hAnsi="Courier New" w:cs="Courier New" w:hint="default"/>
      </w:rPr>
    </w:lvl>
    <w:lvl w:ilvl="5" w:tplc="181A0005">
      <w:start w:val="1"/>
      <w:numFmt w:val="bullet"/>
      <w:lvlText w:val=""/>
      <w:lvlJc w:val="left"/>
      <w:pPr>
        <w:tabs>
          <w:tab w:val="num" w:pos="4320"/>
        </w:tabs>
        <w:ind w:left="4320" w:hanging="360"/>
      </w:pPr>
      <w:rPr>
        <w:rFonts w:ascii="Wingdings" w:hAnsi="Wingdings" w:hint="default"/>
      </w:rPr>
    </w:lvl>
    <w:lvl w:ilvl="6" w:tplc="181A0001">
      <w:start w:val="1"/>
      <w:numFmt w:val="bullet"/>
      <w:lvlText w:val=""/>
      <w:lvlJc w:val="left"/>
      <w:pPr>
        <w:tabs>
          <w:tab w:val="num" w:pos="5040"/>
        </w:tabs>
        <w:ind w:left="5040" w:hanging="360"/>
      </w:pPr>
      <w:rPr>
        <w:rFonts w:ascii="Symbol" w:hAnsi="Symbol" w:hint="default"/>
      </w:rPr>
    </w:lvl>
    <w:lvl w:ilvl="7" w:tplc="181A0003">
      <w:start w:val="1"/>
      <w:numFmt w:val="bullet"/>
      <w:lvlText w:val="o"/>
      <w:lvlJc w:val="left"/>
      <w:pPr>
        <w:tabs>
          <w:tab w:val="num" w:pos="5760"/>
        </w:tabs>
        <w:ind w:left="5760" w:hanging="360"/>
      </w:pPr>
      <w:rPr>
        <w:rFonts w:ascii="Courier New" w:hAnsi="Courier New" w:cs="Courier New" w:hint="default"/>
      </w:rPr>
    </w:lvl>
    <w:lvl w:ilvl="8" w:tplc="181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7631BA"/>
    <w:multiLevelType w:val="hybridMultilevel"/>
    <w:tmpl w:val="567C4C6A"/>
    <w:lvl w:ilvl="0" w:tplc="CCF2DA1E">
      <w:start w:val="1"/>
      <w:numFmt w:val="bullet"/>
      <w:lvlText w:val="-"/>
      <w:lvlJc w:val="left"/>
      <w:pPr>
        <w:tabs>
          <w:tab w:val="num" w:pos="1152"/>
        </w:tabs>
        <w:ind w:left="1152" w:hanging="432"/>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8B28C6"/>
    <w:multiLevelType w:val="hybridMultilevel"/>
    <w:tmpl w:val="22AA53C6"/>
    <w:lvl w:ilvl="0" w:tplc="E8F0C8D8">
      <w:start w:val="1"/>
      <w:numFmt w:val="bullet"/>
      <w:lvlText w:val="-"/>
      <w:lvlJc w:val="left"/>
      <w:pPr>
        <w:tabs>
          <w:tab w:val="num" w:pos="1152"/>
        </w:tabs>
        <w:ind w:left="1152" w:hanging="432"/>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09D153B"/>
    <w:multiLevelType w:val="multilevel"/>
    <w:tmpl w:val="465A7AE2"/>
    <w:lvl w:ilvl="0">
      <w:start w:val="1"/>
      <w:numFmt w:val="decimal"/>
      <w:pStyle w:val="Naslov2"/>
      <w:lvlText w:val="%1."/>
      <w:lvlJc w:val="left"/>
      <w:pPr>
        <w:ind w:left="720" w:hanging="360"/>
      </w:pPr>
      <w:rPr>
        <w:b w:val="0"/>
      </w:rPr>
    </w:lvl>
    <w:lvl w:ilvl="1">
      <w:start w:val="1"/>
      <w:numFmt w:val="decimal"/>
      <w:isLgl/>
      <w:lvlText w:val="%1.%2."/>
      <w:lvlJc w:val="left"/>
      <w:pPr>
        <w:ind w:left="802" w:hanging="660"/>
      </w:pPr>
      <w:rPr>
        <w:lang w:val="hr-HR"/>
      </w:rPr>
    </w:lvl>
    <w:lvl w:ilvl="2">
      <w:start w:val="10"/>
      <w:numFmt w:val="decimal"/>
      <w:isLgl/>
      <w:lvlText w:val="%1.%2.%3."/>
      <w:lvlJc w:val="left"/>
      <w:pPr>
        <w:ind w:left="143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732D451B"/>
    <w:multiLevelType w:val="hybridMultilevel"/>
    <w:tmpl w:val="84705432"/>
    <w:lvl w:ilvl="0" w:tplc="D390BC4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F280713"/>
    <w:multiLevelType w:val="hybridMultilevel"/>
    <w:tmpl w:val="A33E0A64"/>
    <w:lvl w:ilvl="0" w:tplc="141A0017">
      <w:start w:val="1"/>
      <w:numFmt w:val="lowerLetter"/>
      <w:lvlText w:val="%1)"/>
      <w:lvlJc w:val="left"/>
      <w:pPr>
        <w:tabs>
          <w:tab w:val="num" w:pos="720"/>
        </w:tabs>
        <w:ind w:left="720" w:hanging="360"/>
      </w:pPr>
    </w:lvl>
    <w:lvl w:ilvl="1" w:tplc="141A0019">
      <w:start w:val="1"/>
      <w:numFmt w:val="lowerLetter"/>
      <w:lvlText w:val="%2."/>
      <w:lvlJc w:val="left"/>
      <w:pPr>
        <w:tabs>
          <w:tab w:val="num" w:pos="1440"/>
        </w:tabs>
        <w:ind w:left="1440" w:hanging="360"/>
      </w:pPr>
    </w:lvl>
    <w:lvl w:ilvl="2" w:tplc="141A001B">
      <w:start w:val="1"/>
      <w:numFmt w:val="lowerRoman"/>
      <w:lvlText w:val="%3."/>
      <w:lvlJc w:val="right"/>
      <w:pPr>
        <w:tabs>
          <w:tab w:val="num" w:pos="2160"/>
        </w:tabs>
        <w:ind w:left="2160" w:hanging="180"/>
      </w:pPr>
    </w:lvl>
    <w:lvl w:ilvl="3" w:tplc="141A000F">
      <w:start w:val="1"/>
      <w:numFmt w:val="decimal"/>
      <w:lvlText w:val="%4."/>
      <w:lvlJc w:val="left"/>
      <w:pPr>
        <w:tabs>
          <w:tab w:val="num" w:pos="2880"/>
        </w:tabs>
        <w:ind w:left="2880" w:hanging="360"/>
      </w:pPr>
    </w:lvl>
    <w:lvl w:ilvl="4" w:tplc="141A0019">
      <w:start w:val="1"/>
      <w:numFmt w:val="lowerLetter"/>
      <w:lvlText w:val="%5."/>
      <w:lvlJc w:val="left"/>
      <w:pPr>
        <w:tabs>
          <w:tab w:val="num" w:pos="3600"/>
        </w:tabs>
        <w:ind w:left="3600" w:hanging="360"/>
      </w:pPr>
    </w:lvl>
    <w:lvl w:ilvl="5" w:tplc="141A001B">
      <w:start w:val="1"/>
      <w:numFmt w:val="lowerRoman"/>
      <w:lvlText w:val="%6."/>
      <w:lvlJc w:val="right"/>
      <w:pPr>
        <w:tabs>
          <w:tab w:val="num" w:pos="4320"/>
        </w:tabs>
        <w:ind w:left="4320" w:hanging="180"/>
      </w:pPr>
    </w:lvl>
    <w:lvl w:ilvl="6" w:tplc="141A000F">
      <w:start w:val="1"/>
      <w:numFmt w:val="decimal"/>
      <w:lvlText w:val="%7."/>
      <w:lvlJc w:val="left"/>
      <w:pPr>
        <w:tabs>
          <w:tab w:val="num" w:pos="5040"/>
        </w:tabs>
        <w:ind w:left="5040" w:hanging="360"/>
      </w:pPr>
    </w:lvl>
    <w:lvl w:ilvl="7" w:tplc="141A0019">
      <w:start w:val="1"/>
      <w:numFmt w:val="lowerLetter"/>
      <w:lvlText w:val="%8."/>
      <w:lvlJc w:val="left"/>
      <w:pPr>
        <w:tabs>
          <w:tab w:val="num" w:pos="5760"/>
        </w:tabs>
        <w:ind w:left="5760" w:hanging="360"/>
      </w:pPr>
    </w:lvl>
    <w:lvl w:ilvl="8" w:tplc="141A001B">
      <w:start w:val="1"/>
      <w:numFmt w:val="lowerRoman"/>
      <w:lvlText w:val="%9."/>
      <w:lvlJc w:val="right"/>
      <w:pPr>
        <w:tabs>
          <w:tab w:val="num" w:pos="6480"/>
        </w:tabs>
        <w:ind w:left="6480" w:hanging="180"/>
      </w:pPr>
    </w:lvl>
  </w:abstractNum>
  <w:num w:numId="1">
    <w:abstractNumId w:val="4"/>
  </w:num>
  <w:num w:numId="2">
    <w:abstractNumId w:val="4"/>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num>
  <w:num w:numId="7">
    <w:abstractNumId w:val="0"/>
  </w:num>
  <w:num w:numId="8">
    <w:abstractNumId w:val="0"/>
  </w:num>
  <w:num w:numId="9">
    <w:abstractNumId w:val="1"/>
  </w:num>
  <w:num w:numId="10">
    <w:abstractNumId w:val="1"/>
  </w:num>
  <w:num w:numId="11">
    <w:abstractNumId w:val="2"/>
  </w:num>
  <w:num w:numId="12">
    <w:abstractNumId w:val="2"/>
  </w:num>
  <w:num w:numId="13">
    <w:abstractNumId w:val="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ECD"/>
    <w:rsid w:val="00066096"/>
    <w:rsid w:val="000B23B2"/>
    <w:rsid w:val="000C192B"/>
    <w:rsid w:val="001A0D32"/>
    <w:rsid w:val="00274C41"/>
    <w:rsid w:val="00303EB7"/>
    <w:rsid w:val="006D6AED"/>
    <w:rsid w:val="00725290"/>
    <w:rsid w:val="00740ECD"/>
    <w:rsid w:val="00752F04"/>
    <w:rsid w:val="0078010E"/>
    <w:rsid w:val="008E35C7"/>
    <w:rsid w:val="00907568"/>
    <w:rsid w:val="009E1E82"/>
    <w:rsid w:val="00A10E7A"/>
    <w:rsid w:val="00AE5455"/>
    <w:rsid w:val="00B01F3D"/>
    <w:rsid w:val="00BD6D80"/>
    <w:rsid w:val="00D21440"/>
    <w:rsid w:val="00EA0FD7"/>
    <w:rsid w:val="00F42184"/>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7E70A"/>
  <w15:chartTrackingRefBased/>
  <w15:docId w15:val="{340AA9BF-A6EF-4BA9-8525-46C11BE3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1">
    <w:name w:val="heading 1"/>
    <w:basedOn w:val="Normal"/>
    <w:next w:val="Normal"/>
    <w:link w:val="Naslov1Char"/>
    <w:qFormat/>
    <w:rsid w:val="00EA0FD7"/>
    <w:pPr>
      <w:keepNext/>
      <w:spacing w:after="0" w:line="240" w:lineRule="auto"/>
      <w:outlineLvl w:val="0"/>
    </w:pPr>
    <w:rPr>
      <w:rFonts w:ascii="Times New Roman" w:eastAsia="Times New Roman" w:hAnsi="Times New Roman" w:cs="Times New Roman"/>
      <w:b/>
      <w:kern w:val="24"/>
      <w:sz w:val="28"/>
      <w:szCs w:val="20"/>
      <w:lang w:val="hr-HR" w:eastAsia="hr-HR"/>
    </w:rPr>
  </w:style>
  <w:style w:type="paragraph" w:styleId="Naslov2">
    <w:name w:val="heading 2"/>
    <w:aliases w:val="Text"/>
    <w:basedOn w:val="Normal"/>
    <w:next w:val="Normal"/>
    <w:link w:val="Naslov2Char"/>
    <w:semiHidden/>
    <w:unhideWhenUsed/>
    <w:qFormat/>
    <w:rsid w:val="00EA0FD7"/>
    <w:pPr>
      <w:keepNext/>
      <w:numPr>
        <w:numId w:val="1"/>
      </w:numPr>
      <w:tabs>
        <w:tab w:val="left" w:pos="3010"/>
        <w:tab w:val="left" w:pos="3294"/>
        <w:tab w:val="left" w:pos="5196"/>
      </w:tabs>
      <w:spacing w:after="0" w:line="240" w:lineRule="auto"/>
      <w:outlineLvl w:val="1"/>
    </w:pPr>
    <w:rPr>
      <w:rFonts w:ascii="Times New Roman" w:eastAsia="Times New Roman" w:hAnsi="Times New Roman" w:cs="Times New Roman"/>
      <w:b/>
      <w:sz w:val="28"/>
      <w:szCs w:val="20"/>
      <w:lang w:val="hr-HR" w:eastAsia="hr-HR"/>
    </w:rPr>
  </w:style>
  <w:style w:type="paragraph" w:styleId="Naslov3">
    <w:name w:val="heading 3"/>
    <w:aliases w:val="(text)"/>
    <w:basedOn w:val="Normal"/>
    <w:next w:val="Normal"/>
    <w:link w:val="Naslov3Char"/>
    <w:semiHidden/>
    <w:unhideWhenUsed/>
    <w:qFormat/>
    <w:rsid w:val="00EA0FD7"/>
    <w:pPr>
      <w:keepNext/>
      <w:keepLines/>
      <w:spacing w:before="40" w:after="0" w:line="240" w:lineRule="auto"/>
      <w:outlineLvl w:val="2"/>
    </w:pPr>
    <w:rPr>
      <w:rFonts w:ascii="Times New Roman" w:eastAsia="Times New Roman" w:hAnsi="Times New Roman" w:cs="Times New Roman"/>
      <w:b/>
      <w:sz w:val="24"/>
      <w:szCs w:val="24"/>
      <w:lang w:val="sr-Cyrl-CS" w:eastAsia="hr-HR"/>
    </w:rPr>
  </w:style>
  <w:style w:type="paragraph" w:styleId="Naslov4">
    <w:name w:val="heading 4"/>
    <w:basedOn w:val="Normal"/>
    <w:next w:val="Normal"/>
    <w:link w:val="Naslov4Char"/>
    <w:semiHidden/>
    <w:unhideWhenUsed/>
    <w:qFormat/>
    <w:rsid w:val="00EA0FD7"/>
    <w:pPr>
      <w:keepNext/>
      <w:spacing w:after="0" w:line="240" w:lineRule="auto"/>
      <w:outlineLvl w:val="3"/>
    </w:pPr>
    <w:rPr>
      <w:rFonts w:ascii="Times New Roman" w:eastAsia="Times New Roman" w:hAnsi="Times New Roman" w:cs="Arial"/>
      <w:b/>
      <w:iCs/>
      <w:sz w:val="24"/>
      <w:szCs w:val="24"/>
      <w:lang w:val="sr-Cyrl-CS"/>
    </w:rPr>
  </w:style>
  <w:style w:type="paragraph" w:styleId="Naslov5">
    <w:name w:val="heading 5"/>
    <w:basedOn w:val="Normal"/>
    <w:next w:val="Normal"/>
    <w:link w:val="Naslov5Char"/>
    <w:semiHidden/>
    <w:unhideWhenUsed/>
    <w:qFormat/>
    <w:rsid w:val="00EA0FD7"/>
    <w:pPr>
      <w:keepNext/>
      <w:spacing w:after="0" w:line="240" w:lineRule="auto"/>
      <w:outlineLvl w:val="4"/>
    </w:pPr>
    <w:rPr>
      <w:rFonts w:ascii="Times New Roman" w:eastAsia="Times New Roman" w:hAnsi="Times New Roman" w:cs="Times New Roman"/>
      <w:b/>
      <w:bCs/>
      <w:sz w:val="24"/>
      <w:szCs w:val="24"/>
      <w:lang w:val="hr-HR"/>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1Char">
    <w:name w:val="Naslov 1 Char"/>
    <w:basedOn w:val="Podrazumevanifontpasusa"/>
    <w:link w:val="Naslov1"/>
    <w:rsid w:val="00EA0FD7"/>
    <w:rPr>
      <w:rFonts w:ascii="Times New Roman" w:eastAsia="Times New Roman" w:hAnsi="Times New Roman" w:cs="Times New Roman"/>
      <w:b/>
      <w:kern w:val="24"/>
      <w:sz w:val="28"/>
      <w:szCs w:val="20"/>
      <w:lang w:val="hr-HR" w:eastAsia="hr-HR"/>
    </w:rPr>
  </w:style>
  <w:style w:type="character" w:customStyle="1" w:styleId="Naslov2Char">
    <w:name w:val="Naslov 2 Char"/>
    <w:aliases w:val="Text Char"/>
    <w:basedOn w:val="Podrazumevanifontpasusa"/>
    <w:link w:val="Naslov2"/>
    <w:semiHidden/>
    <w:rsid w:val="00EA0FD7"/>
    <w:rPr>
      <w:rFonts w:ascii="Times New Roman" w:eastAsia="Times New Roman" w:hAnsi="Times New Roman" w:cs="Times New Roman"/>
      <w:b/>
      <w:sz w:val="28"/>
      <w:szCs w:val="20"/>
      <w:lang w:val="hr-HR" w:eastAsia="hr-HR"/>
    </w:rPr>
  </w:style>
  <w:style w:type="character" w:customStyle="1" w:styleId="Naslov3Char">
    <w:name w:val="Naslov 3 Char"/>
    <w:aliases w:val="(text) Char"/>
    <w:basedOn w:val="Podrazumevanifontpasusa"/>
    <w:link w:val="Naslov3"/>
    <w:semiHidden/>
    <w:rsid w:val="00EA0FD7"/>
    <w:rPr>
      <w:rFonts w:ascii="Times New Roman" w:eastAsia="Times New Roman" w:hAnsi="Times New Roman" w:cs="Times New Roman"/>
      <w:b/>
      <w:sz w:val="24"/>
      <w:szCs w:val="24"/>
      <w:lang w:val="sr-Cyrl-CS" w:eastAsia="hr-HR"/>
    </w:rPr>
  </w:style>
  <w:style w:type="character" w:customStyle="1" w:styleId="Naslov4Char">
    <w:name w:val="Naslov 4 Char"/>
    <w:basedOn w:val="Podrazumevanifontpasusa"/>
    <w:link w:val="Naslov4"/>
    <w:semiHidden/>
    <w:rsid w:val="00EA0FD7"/>
    <w:rPr>
      <w:rFonts w:ascii="Times New Roman" w:eastAsia="Times New Roman" w:hAnsi="Times New Roman" w:cs="Arial"/>
      <w:b/>
      <w:iCs/>
      <w:sz w:val="24"/>
      <w:szCs w:val="24"/>
      <w:lang w:val="sr-Cyrl-CS"/>
    </w:rPr>
  </w:style>
  <w:style w:type="character" w:customStyle="1" w:styleId="Naslov5Char">
    <w:name w:val="Naslov 5 Char"/>
    <w:basedOn w:val="Podrazumevanifontpasusa"/>
    <w:link w:val="Naslov5"/>
    <w:semiHidden/>
    <w:rsid w:val="00EA0FD7"/>
    <w:rPr>
      <w:rFonts w:ascii="Times New Roman" w:eastAsia="Times New Roman" w:hAnsi="Times New Roman" w:cs="Times New Roman"/>
      <w:b/>
      <w:bCs/>
      <w:sz w:val="24"/>
      <w:szCs w:val="24"/>
      <w:lang w:val="hr-HR"/>
    </w:rPr>
  </w:style>
  <w:style w:type="numbering" w:customStyle="1" w:styleId="Bezliste1">
    <w:name w:val="Bez liste1"/>
    <w:next w:val="Bezliste"/>
    <w:uiPriority w:val="99"/>
    <w:semiHidden/>
    <w:unhideWhenUsed/>
    <w:rsid w:val="00EA0FD7"/>
  </w:style>
  <w:style w:type="character" w:styleId="Hiperveza">
    <w:name w:val="Hyperlink"/>
    <w:uiPriority w:val="99"/>
    <w:unhideWhenUsed/>
    <w:rsid w:val="00EA0FD7"/>
    <w:rPr>
      <w:color w:val="0000FF"/>
      <w:u w:val="single"/>
    </w:rPr>
  </w:style>
  <w:style w:type="character" w:customStyle="1" w:styleId="Ispraenahiperveza1">
    <w:name w:val="Ispraćena hiperveza1"/>
    <w:basedOn w:val="Podrazumevanifontpasusa"/>
    <w:uiPriority w:val="99"/>
    <w:semiHidden/>
    <w:unhideWhenUsed/>
    <w:rsid w:val="00EA0FD7"/>
    <w:rPr>
      <w:color w:val="954F72"/>
      <w:u w:val="single"/>
    </w:rPr>
  </w:style>
  <w:style w:type="character" w:customStyle="1" w:styleId="Naslov2Char1">
    <w:name w:val="Naslov 2 Char1"/>
    <w:aliases w:val="Text Char1"/>
    <w:basedOn w:val="Podrazumevanifontpasusa"/>
    <w:semiHidden/>
    <w:rsid w:val="00EA0FD7"/>
    <w:rPr>
      <w:rFonts w:ascii="Calibri Light" w:eastAsia="Times New Roman" w:hAnsi="Calibri Light" w:cs="Times New Roman"/>
      <w:color w:val="2F5496"/>
      <w:sz w:val="26"/>
      <w:szCs w:val="26"/>
      <w:lang w:val="sr-Cyrl-CS" w:eastAsia="hr-HR"/>
    </w:rPr>
  </w:style>
  <w:style w:type="character" w:customStyle="1" w:styleId="Naslov3Char1">
    <w:name w:val="Naslov 3 Char1"/>
    <w:aliases w:val="(text) Char1"/>
    <w:basedOn w:val="Podrazumevanifontpasusa"/>
    <w:semiHidden/>
    <w:rsid w:val="00EA0FD7"/>
    <w:rPr>
      <w:rFonts w:ascii="Calibri Light" w:eastAsia="Times New Roman" w:hAnsi="Calibri Light" w:cs="Times New Roman"/>
      <w:color w:val="1F3763"/>
      <w:sz w:val="24"/>
      <w:szCs w:val="24"/>
      <w:lang w:val="sr-Cyrl-CS" w:eastAsia="hr-HR"/>
    </w:rPr>
  </w:style>
  <w:style w:type="paragraph" w:customStyle="1" w:styleId="msonormal0">
    <w:name w:val="msonormal"/>
    <w:basedOn w:val="Normal"/>
    <w:uiPriority w:val="99"/>
    <w:rsid w:val="00EA0FD7"/>
    <w:pPr>
      <w:spacing w:before="100" w:beforeAutospacing="1" w:after="100" w:afterAutospacing="1" w:line="240" w:lineRule="auto"/>
    </w:pPr>
    <w:rPr>
      <w:rFonts w:ascii="Times New Roman" w:eastAsia="Times New Roman" w:hAnsi="Times New Roman" w:cs="Times New Roman"/>
      <w:sz w:val="24"/>
      <w:szCs w:val="24"/>
      <w:lang w:eastAsia="bs-Latn-BA"/>
    </w:rPr>
  </w:style>
  <w:style w:type="paragraph" w:styleId="NormalWeb">
    <w:name w:val="Normal (Web)"/>
    <w:basedOn w:val="Normal"/>
    <w:uiPriority w:val="99"/>
    <w:semiHidden/>
    <w:unhideWhenUsed/>
    <w:rsid w:val="00EA0FD7"/>
    <w:pPr>
      <w:spacing w:before="100" w:beforeAutospacing="1" w:after="100" w:afterAutospacing="1" w:line="240" w:lineRule="auto"/>
    </w:pPr>
    <w:rPr>
      <w:rFonts w:ascii="Times New Roman" w:eastAsia="Times New Roman" w:hAnsi="Times New Roman" w:cs="Times New Roman"/>
      <w:sz w:val="24"/>
      <w:szCs w:val="24"/>
      <w:lang w:eastAsia="bs-Latn-BA"/>
    </w:rPr>
  </w:style>
  <w:style w:type="paragraph" w:styleId="SADRAJ1">
    <w:name w:val="toc 1"/>
    <w:basedOn w:val="Normal"/>
    <w:next w:val="Normal"/>
    <w:autoRedefine/>
    <w:uiPriority w:val="39"/>
    <w:semiHidden/>
    <w:unhideWhenUsed/>
    <w:qFormat/>
    <w:rsid w:val="00EA0FD7"/>
    <w:pPr>
      <w:spacing w:after="0" w:line="240" w:lineRule="auto"/>
    </w:pPr>
    <w:rPr>
      <w:rFonts w:ascii="Times New Roman" w:eastAsia="Times New Roman" w:hAnsi="Times New Roman" w:cs="Times New Roman"/>
      <w:sz w:val="24"/>
      <w:szCs w:val="24"/>
      <w:lang w:val="en-GB"/>
    </w:rPr>
  </w:style>
  <w:style w:type="paragraph" w:styleId="SADRAJ2">
    <w:name w:val="toc 2"/>
    <w:basedOn w:val="Normal"/>
    <w:next w:val="Normal"/>
    <w:autoRedefine/>
    <w:uiPriority w:val="39"/>
    <w:semiHidden/>
    <w:unhideWhenUsed/>
    <w:qFormat/>
    <w:rsid w:val="00EA0FD7"/>
    <w:pPr>
      <w:spacing w:after="0" w:line="240" w:lineRule="auto"/>
      <w:ind w:left="240"/>
    </w:pPr>
    <w:rPr>
      <w:rFonts w:ascii="Times New Roman" w:eastAsia="Times New Roman" w:hAnsi="Times New Roman" w:cs="Times New Roman"/>
      <w:sz w:val="24"/>
      <w:szCs w:val="24"/>
      <w:lang w:val="en-GB"/>
    </w:rPr>
  </w:style>
  <w:style w:type="paragraph" w:styleId="SADRAJ3">
    <w:name w:val="toc 3"/>
    <w:basedOn w:val="Normal"/>
    <w:next w:val="Normal"/>
    <w:autoRedefine/>
    <w:uiPriority w:val="39"/>
    <w:semiHidden/>
    <w:unhideWhenUsed/>
    <w:qFormat/>
    <w:rsid w:val="00EA0FD7"/>
    <w:pPr>
      <w:spacing w:after="0" w:line="240" w:lineRule="auto"/>
      <w:ind w:left="480"/>
    </w:pPr>
    <w:rPr>
      <w:rFonts w:ascii="Times New Roman" w:eastAsia="Times New Roman" w:hAnsi="Times New Roman" w:cs="Times New Roman"/>
      <w:sz w:val="24"/>
      <w:szCs w:val="24"/>
      <w:lang w:val="en-GB"/>
    </w:rPr>
  </w:style>
  <w:style w:type="character" w:customStyle="1" w:styleId="TekstfusnoteChar">
    <w:name w:val="Tekst fusnote Char"/>
    <w:basedOn w:val="Podrazumevanifontpasusa"/>
    <w:link w:val="Tekstfusnote"/>
    <w:semiHidden/>
    <w:locked/>
    <w:rsid w:val="00EA0FD7"/>
  </w:style>
  <w:style w:type="paragraph" w:customStyle="1" w:styleId="Funote1">
    <w:name w:val="Fußnote1"/>
    <w:basedOn w:val="Normal"/>
    <w:next w:val="Tekstfusnote"/>
    <w:semiHidden/>
    <w:unhideWhenUsed/>
    <w:rsid w:val="00EA0FD7"/>
    <w:pPr>
      <w:spacing w:after="0" w:line="240" w:lineRule="auto"/>
    </w:pPr>
  </w:style>
  <w:style w:type="character" w:customStyle="1" w:styleId="TekstfusnoteChar1">
    <w:name w:val="Tekst fusnote Char1"/>
    <w:aliases w:val="Char Char1,Footnote Text Char1 Char1,Footnote Text Blue Char1,Footnote Text1 Char1,Footnote Text Char Char Char1,Char Char Char Char1,Char1 Char Char2,Char1 Char Char Char1,Podrozdział Char1,fn Char1,FOOTNOTES Char1,single space Char"/>
    <w:basedOn w:val="Podrazumevanifontpasusa"/>
    <w:semiHidden/>
    <w:rsid w:val="00EA0FD7"/>
    <w:rPr>
      <w:rFonts w:ascii="Times New Roman" w:eastAsia="Times New Roman" w:hAnsi="Times New Roman" w:cs="Times New Roman"/>
      <w:sz w:val="20"/>
      <w:szCs w:val="20"/>
      <w:lang w:val="sr-Cyrl-CS" w:eastAsia="hr-HR"/>
    </w:rPr>
  </w:style>
  <w:style w:type="paragraph" w:styleId="Zaglavljestranice">
    <w:name w:val="header"/>
    <w:basedOn w:val="Normal"/>
    <w:link w:val="ZaglavljestraniceChar"/>
    <w:uiPriority w:val="99"/>
    <w:semiHidden/>
    <w:unhideWhenUsed/>
    <w:rsid w:val="00EA0FD7"/>
    <w:pPr>
      <w:tabs>
        <w:tab w:val="center" w:pos="4320"/>
        <w:tab w:val="right" w:pos="8640"/>
      </w:tabs>
      <w:spacing w:after="0" w:line="240" w:lineRule="auto"/>
    </w:pPr>
    <w:rPr>
      <w:rFonts w:ascii="Times New Roman" w:eastAsia="Times New Roman" w:hAnsi="Times New Roman" w:cs="Times New Roman"/>
      <w:sz w:val="24"/>
      <w:szCs w:val="24"/>
      <w:lang w:val="en-GB" w:eastAsia="x-none"/>
    </w:rPr>
  </w:style>
  <w:style w:type="character" w:customStyle="1" w:styleId="ZaglavljestraniceChar">
    <w:name w:val="Zaglavlje stranice Char"/>
    <w:basedOn w:val="Podrazumevanifontpasusa"/>
    <w:link w:val="Zaglavljestranice"/>
    <w:uiPriority w:val="99"/>
    <w:semiHidden/>
    <w:rsid w:val="00EA0FD7"/>
    <w:rPr>
      <w:rFonts w:ascii="Times New Roman" w:eastAsia="Times New Roman" w:hAnsi="Times New Roman" w:cs="Times New Roman"/>
      <w:sz w:val="24"/>
      <w:szCs w:val="24"/>
      <w:lang w:val="en-GB" w:eastAsia="x-none"/>
    </w:rPr>
  </w:style>
  <w:style w:type="paragraph" w:styleId="Podnojestranice">
    <w:name w:val="footer"/>
    <w:basedOn w:val="Normal"/>
    <w:link w:val="PodnojestraniceChar"/>
    <w:uiPriority w:val="99"/>
    <w:semiHidden/>
    <w:unhideWhenUsed/>
    <w:rsid w:val="00EA0FD7"/>
    <w:pPr>
      <w:tabs>
        <w:tab w:val="center" w:pos="4320"/>
        <w:tab w:val="right" w:pos="8640"/>
      </w:tabs>
      <w:spacing w:after="0" w:line="240" w:lineRule="auto"/>
    </w:pPr>
    <w:rPr>
      <w:rFonts w:ascii="Times New Roman" w:eastAsia="Times New Roman" w:hAnsi="Times New Roman" w:cs="Times New Roman"/>
      <w:sz w:val="24"/>
      <w:szCs w:val="24"/>
      <w:lang w:val="en-GB" w:eastAsia="x-none"/>
    </w:rPr>
  </w:style>
  <w:style w:type="character" w:customStyle="1" w:styleId="PodnojestraniceChar">
    <w:name w:val="Podnožje stranice Char"/>
    <w:basedOn w:val="Podrazumevanifontpasusa"/>
    <w:link w:val="Podnojestranice"/>
    <w:uiPriority w:val="99"/>
    <w:semiHidden/>
    <w:rsid w:val="00EA0FD7"/>
    <w:rPr>
      <w:rFonts w:ascii="Times New Roman" w:eastAsia="Times New Roman" w:hAnsi="Times New Roman" w:cs="Times New Roman"/>
      <w:sz w:val="24"/>
      <w:szCs w:val="24"/>
      <w:lang w:val="en-GB" w:eastAsia="x-none"/>
    </w:rPr>
  </w:style>
  <w:style w:type="paragraph" w:styleId="Natpis">
    <w:name w:val="caption"/>
    <w:basedOn w:val="Normal"/>
    <w:uiPriority w:val="99"/>
    <w:semiHidden/>
    <w:unhideWhenUsed/>
    <w:qFormat/>
    <w:rsid w:val="00EA0FD7"/>
    <w:pPr>
      <w:suppressLineNumbers/>
      <w:suppressAutoHyphens/>
      <w:spacing w:before="120" w:after="120" w:line="276" w:lineRule="auto"/>
    </w:pPr>
    <w:rPr>
      <w:rFonts w:ascii="Calibri" w:eastAsia="Times New Roman" w:hAnsi="Calibri" w:cs="Tahoma"/>
      <w:i/>
      <w:iCs/>
      <w:sz w:val="24"/>
      <w:szCs w:val="24"/>
      <w:lang w:val="hr-BA" w:eastAsia="ar-SA"/>
    </w:rPr>
  </w:style>
  <w:style w:type="paragraph" w:styleId="Tabelailustracija">
    <w:name w:val="table of figures"/>
    <w:basedOn w:val="Normal"/>
    <w:next w:val="Normal"/>
    <w:uiPriority w:val="99"/>
    <w:semiHidden/>
    <w:unhideWhenUsed/>
    <w:rsid w:val="00EA0FD7"/>
    <w:pPr>
      <w:spacing w:after="0" w:line="240" w:lineRule="auto"/>
    </w:pPr>
    <w:rPr>
      <w:rFonts w:ascii="Times New Roman" w:eastAsia="Times New Roman" w:hAnsi="Times New Roman" w:cs="Times New Roman"/>
      <w:sz w:val="24"/>
      <w:szCs w:val="24"/>
      <w:lang w:val="en-GB"/>
    </w:rPr>
  </w:style>
  <w:style w:type="paragraph" w:styleId="Teloteksta">
    <w:name w:val="Body Text"/>
    <w:basedOn w:val="Normal"/>
    <w:link w:val="TelotekstaChar"/>
    <w:uiPriority w:val="99"/>
    <w:semiHidden/>
    <w:unhideWhenUsed/>
    <w:rsid w:val="00EA0FD7"/>
    <w:pPr>
      <w:spacing w:after="120" w:line="240" w:lineRule="auto"/>
    </w:pPr>
    <w:rPr>
      <w:rFonts w:ascii="Times New Roman" w:eastAsia="Times New Roman" w:hAnsi="Times New Roman" w:cs="Times New Roman"/>
      <w:sz w:val="24"/>
      <w:szCs w:val="24"/>
      <w:lang w:val="en-GB"/>
    </w:rPr>
  </w:style>
  <w:style w:type="character" w:customStyle="1" w:styleId="TelotekstaChar">
    <w:name w:val="Telo teksta Char"/>
    <w:basedOn w:val="Podrazumevanifontpasusa"/>
    <w:link w:val="Teloteksta"/>
    <w:uiPriority w:val="99"/>
    <w:semiHidden/>
    <w:rsid w:val="00EA0FD7"/>
    <w:rPr>
      <w:rFonts w:ascii="Times New Roman" w:eastAsia="Times New Roman" w:hAnsi="Times New Roman" w:cs="Times New Roman"/>
      <w:sz w:val="24"/>
      <w:szCs w:val="24"/>
      <w:lang w:val="en-GB"/>
    </w:rPr>
  </w:style>
  <w:style w:type="paragraph" w:styleId="Zaglavljeporuke">
    <w:name w:val="Message Header"/>
    <w:basedOn w:val="Teloteksta"/>
    <w:link w:val="ZaglavljeporukeChar"/>
    <w:uiPriority w:val="99"/>
    <w:semiHidden/>
    <w:unhideWhenUsed/>
    <w:rsid w:val="00EA0FD7"/>
    <w:pPr>
      <w:keepLines/>
      <w:spacing w:after="40" w:line="140" w:lineRule="atLeast"/>
      <w:ind w:left="360"/>
    </w:pPr>
    <w:rPr>
      <w:rFonts w:ascii="Garamond" w:hAnsi="Garamond"/>
      <w:spacing w:val="-5"/>
      <w:szCs w:val="20"/>
    </w:rPr>
  </w:style>
  <w:style w:type="character" w:customStyle="1" w:styleId="ZaglavljeporukeChar">
    <w:name w:val="Zaglavlje poruke Char"/>
    <w:basedOn w:val="Podrazumevanifontpasusa"/>
    <w:link w:val="Zaglavljeporuke"/>
    <w:uiPriority w:val="99"/>
    <w:semiHidden/>
    <w:rsid w:val="00EA0FD7"/>
    <w:rPr>
      <w:rFonts w:ascii="Garamond" w:eastAsia="Times New Roman" w:hAnsi="Garamond" w:cs="Times New Roman"/>
      <w:spacing w:val="-5"/>
      <w:sz w:val="24"/>
      <w:szCs w:val="20"/>
      <w:lang w:val="en-GB"/>
    </w:rPr>
  </w:style>
  <w:style w:type="paragraph" w:styleId="Teloteksta2">
    <w:name w:val="Body Text 2"/>
    <w:basedOn w:val="Normal"/>
    <w:link w:val="Teloteksta2Char"/>
    <w:uiPriority w:val="99"/>
    <w:semiHidden/>
    <w:unhideWhenUsed/>
    <w:rsid w:val="00EA0FD7"/>
    <w:pPr>
      <w:spacing w:after="0" w:line="240" w:lineRule="auto"/>
      <w:jc w:val="both"/>
    </w:pPr>
    <w:rPr>
      <w:rFonts w:ascii="Times New Roman" w:eastAsia="Times New Roman" w:hAnsi="Times New Roman" w:cs="Times New Roman"/>
      <w:bCs/>
      <w:sz w:val="24"/>
      <w:szCs w:val="32"/>
      <w:lang w:val="hr-HR"/>
    </w:rPr>
  </w:style>
  <w:style w:type="character" w:customStyle="1" w:styleId="Teloteksta2Char">
    <w:name w:val="Telo teksta 2 Char"/>
    <w:basedOn w:val="Podrazumevanifontpasusa"/>
    <w:link w:val="Teloteksta2"/>
    <w:uiPriority w:val="99"/>
    <w:semiHidden/>
    <w:rsid w:val="00EA0FD7"/>
    <w:rPr>
      <w:rFonts w:ascii="Times New Roman" w:eastAsia="Times New Roman" w:hAnsi="Times New Roman" w:cs="Times New Roman"/>
      <w:bCs/>
      <w:sz w:val="24"/>
      <w:szCs w:val="32"/>
      <w:lang w:val="hr-HR"/>
    </w:rPr>
  </w:style>
  <w:style w:type="paragraph" w:styleId="Tekstubaloniu">
    <w:name w:val="Balloon Text"/>
    <w:basedOn w:val="Normal"/>
    <w:link w:val="TekstubaloniuChar"/>
    <w:uiPriority w:val="99"/>
    <w:semiHidden/>
    <w:unhideWhenUsed/>
    <w:rsid w:val="00EA0FD7"/>
    <w:pPr>
      <w:spacing w:after="0" w:line="240" w:lineRule="auto"/>
    </w:pPr>
    <w:rPr>
      <w:rFonts w:ascii="Segoe UI" w:eastAsia="Times New Roman" w:hAnsi="Segoe UI" w:cs="Segoe UI"/>
      <w:sz w:val="18"/>
      <w:szCs w:val="18"/>
      <w:lang w:val="sr-Cyrl-CS" w:eastAsia="hr-HR"/>
    </w:rPr>
  </w:style>
  <w:style w:type="character" w:customStyle="1" w:styleId="TekstubaloniuChar">
    <w:name w:val="Tekst u balončiću Char"/>
    <w:basedOn w:val="Podrazumevanifontpasusa"/>
    <w:link w:val="Tekstubaloniu"/>
    <w:uiPriority w:val="99"/>
    <w:semiHidden/>
    <w:rsid w:val="00EA0FD7"/>
    <w:rPr>
      <w:rFonts w:ascii="Segoe UI" w:eastAsia="Times New Roman" w:hAnsi="Segoe UI" w:cs="Segoe UI"/>
      <w:sz w:val="18"/>
      <w:szCs w:val="18"/>
      <w:lang w:val="sr-Cyrl-CS" w:eastAsia="hr-HR"/>
    </w:rPr>
  </w:style>
  <w:style w:type="paragraph" w:styleId="Bezrazmaka">
    <w:name w:val="No Spacing"/>
    <w:uiPriority w:val="1"/>
    <w:qFormat/>
    <w:rsid w:val="00EA0FD7"/>
    <w:pPr>
      <w:spacing w:after="0" w:line="240" w:lineRule="auto"/>
    </w:pPr>
    <w:rPr>
      <w:rFonts w:ascii="Times New Roman" w:eastAsia="Times New Roman" w:hAnsi="Times New Roman" w:cs="Times New Roman"/>
      <w:sz w:val="24"/>
      <w:szCs w:val="24"/>
      <w:lang w:val="en-GB"/>
    </w:rPr>
  </w:style>
  <w:style w:type="paragraph" w:styleId="Pasussalistom">
    <w:name w:val="List Paragraph"/>
    <w:basedOn w:val="Normal"/>
    <w:uiPriority w:val="99"/>
    <w:qFormat/>
    <w:rsid w:val="00EA0FD7"/>
    <w:pPr>
      <w:spacing w:after="0" w:line="240" w:lineRule="auto"/>
      <w:ind w:left="720"/>
      <w:contextualSpacing/>
    </w:pPr>
    <w:rPr>
      <w:rFonts w:ascii="Times New Roman" w:eastAsia="Times New Roman" w:hAnsi="Times New Roman" w:cs="Times New Roman"/>
      <w:sz w:val="24"/>
      <w:szCs w:val="24"/>
      <w:lang w:val="sr-Cyrl-CS" w:eastAsia="hr-HR"/>
    </w:rPr>
  </w:style>
  <w:style w:type="paragraph" w:styleId="Naslovsadraja">
    <w:name w:val="TOC Heading"/>
    <w:basedOn w:val="Naslov1"/>
    <w:next w:val="Normal"/>
    <w:uiPriority w:val="39"/>
    <w:semiHidden/>
    <w:unhideWhenUsed/>
    <w:qFormat/>
    <w:rsid w:val="00EA0FD7"/>
    <w:pPr>
      <w:keepLines/>
      <w:spacing w:before="480" w:line="276" w:lineRule="auto"/>
      <w:outlineLvl w:val="9"/>
    </w:pPr>
    <w:rPr>
      <w:rFonts w:ascii="Cambria" w:eastAsia="MS Gothic" w:hAnsi="Cambria"/>
      <w:bCs/>
      <w:color w:val="365F91"/>
      <w:kern w:val="0"/>
      <w:szCs w:val="28"/>
      <w:lang w:val="en-US" w:eastAsia="ja-JP"/>
    </w:rPr>
  </w:style>
  <w:style w:type="character" w:customStyle="1" w:styleId="FootnoteChar">
    <w:name w:val="Footnote Char"/>
    <w:link w:val="Footnote"/>
    <w:uiPriority w:val="1"/>
    <w:locked/>
    <w:rsid w:val="00EA0FD7"/>
    <w:rPr>
      <w:rFonts w:ascii="Times New Roman" w:hAnsi="Times New Roman" w:cs="Times New Roman"/>
      <w:noProof/>
      <w:color w:val="000000"/>
      <w:sz w:val="18"/>
    </w:rPr>
  </w:style>
  <w:style w:type="paragraph" w:customStyle="1" w:styleId="Footnote">
    <w:name w:val="Footnote"/>
    <w:basedOn w:val="Normal"/>
    <w:link w:val="FootnoteChar"/>
    <w:uiPriority w:val="1"/>
    <w:qFormat/>
    <w:rsid w:val="00EA0FD7"/>
    <w:pPr>
      <w:spacing w:after="0" w:line="240" w:lineRule="auto"/>
      <w:jc w:val="both"/>
    </w:pPr>
    <w:rPr>
      <w:rFonts w:ascii="Times New Roman" w:hAnsi="Times New Roman" w:cs="Times New Roman"/>
      <w:noProof/>
      <w:color w:val="000000"/>
      <w:sz w:val="18"/>
    </w:rPr>
  </w:style>
  <w:style w:type="character" w:customStyle="1" w:styleId="GrafikoniizvorChar">
    <w:name w:val="Grafikoni izvor Char"/>
    <w:link w:val="Grafikoniizvor"/>
    <w:locked/>
    <w:rsid w:val="00EA0FD7"/>
    <w:rPr>
      <w:rFonts w:ascii="Times New Roman" w:hAnsi="Times New Roman" w:cs="Times New Roman"/>
      <w:noProof/>
      <w:color w:val="000000"/>
      <w:sz w:val="18"/>
    </w:rPr>
  </w:style>
  <w:style w:type="paragraph" w:customStyle="1" w:styleId="Grafikoniizvor">
    <w:name w:val="Grafikoni izvor"/>
    <w:basedOn w:val="Normal"/>
    <w:link w:val="GrafikoniizvorChar"/>
    <w:qFormat/>
    <w:rsid w:val="00EA0FD7"/>
    <w:pPr>
      <w:spacing w:after="0" w:line="240" w:lineRule="auto"/>
      <w:jc w:val="center"/>
    </w:pPr>
    <w:rPr>
      <w:rFonts w:ascii="Times New Roman" w:hAnsi="Times New Roman" w:cs="Times New Roman"/>
      <w:noProof/>
      <w:color w:val="000000"/>
      <w:sz w:val="18"/>
    </w:rPr>
  </w:style>
  <w:style w:type="character" w:customStyle="1" w:styleId="GrafikoninaslovChar">
    <w:name w:val="Grafikoni naslov Char"/>
    <w:link w:val="Grafikoninaslov"/>
    <w:uiPriority w:val="1"/>
    <w:locked/>
    <w:rsid w:val="00EA0FD7"/>
    <w:rPr>
      <w:rFonts w:ascii="Times New Roman" w:hAnsi="Times New Roman" w:cs="Times New Roman"/>
      <w:b/>
      <w:noProof/>
      <w:color w:val="000000"/>
    </w:rPr>
  </w:style>
  <w:style w:type="paragraph" w:customStyle="1" w:styleId="Grafikoninaslov">
    <w:name w:val="Grafikoni naslov"/>
    <w:basedOn w:val="Normal"/>
    <w:link w:val="GrafikoninaslovChar"/>
    <w:uiPriority w:val="1"/>
    <w:qFormat/>
    <w:rsid w:val="00EA0FD7"/>
    <w:pPr>
      <w:spacing w:after="0" w:line="240" w:lineRule="auto"/>
      <w:jc w:val="center"/>
    </w:pPr>
    <w:rPr>
      <w:rFonts w:ascii="Times New Roman" w:hAnsi="Times New Roman" w:cs="Times New Roman"/>
      <w:b/>
      <w:noProof/>
      <w:color w:val="000000"/>
    </w:rPr>
  </w:style>
  <w:style w:type="paragraph" w:customStyle="1" w:styleId="CompanyName">
    <w:name w:val="Company Name"/>
    <w:basedOn w:val="Teloteksta"/>
    <w:uiPriority w:val="99"/>
    <w:rsid w:val="00EA0FD7"/>
    <w:pPr>
      <w:keepLines/>
      <w:spacing w:after="80" w:line="240" w:lineRule="atLeast"/>
      <w:jc w:val="center"/>
    </w:pPr>
    <w:rPr>
      <w:rFonts w:ascii="Garamond" w:hAnsi="Garamond"/>
      <w:caps/>
      <w:spacing w:val="75"/>
      <w:sz w:val="21"/>
      <w:szCs w:val="20"/>
    </w:rPr>
  </w:style>
  <w:style w:type="paragraph" w:customStyle="1" w:styleId="MessageHeaderFirst">
    <w:name w:val="Message Header First"/>
    <w:basedOn w:val="Zaglavljeporuke"/>
    <w:next w:val="Zaglavljeporuke"/>
    <w:uiPriority w:val="99"/>
    <w:rsid w:val="00EA0FD7"/>
  </w:style>
  <w:style w:type="paragraph" w:customStyle="1" w:styleId="MessageHeaderLabel">
    <w:name w:val="Message Header Label"/>
    <w:basedOn w:val="Zaglavljeporuke"/>
    <w:next w:val="Zaglavljeporuke"/>
    <w:uiPriority w:val="99"/>
    <w:rsid w:val="00EA0FD7"/>
    <w:pPr>
      <w:spacing w:before="40" w:after="0"/>
      <w:ind w:left="0"/>
    </w:pPr>
    <w:rPr>
      <w:caps/>
      <w:spacing w:val="6"/>
      <w:sz w:val="14"/>
    </w:rPr>
  </w:style>
  <w:style w:type="paragraph" w:customStyle="1" w:styleId="CM4">
    <w:name w:val="CM4"/>
    <w:basedOn w:val="Normal"/>
    <w:next w:val="Normal"/>
    <w:uiPriority w:val="99"/>
    <w:rsid w:val="00EA0FD7"/>
    <w:pPr>
      <w:autoSpaceDE w:val="0"/>
      <w:autoSpaceDN w:val="0"/>
      <w:adjustRightInd w:val="0"/>
      <w:spacing w:before="60" w:after="60" w:line="240" w:lineRule="auto"/>
    </w:pPr>
    <w:rPr>
      <w:rFonts w:ascii="EUAlbertina" w:eastAsia="Times New Roman" w:hAnsi="EUAlbertina" w:cs="Times New Roman"/>
      <w:sz w:val="24"/>
      <w:szCs w:val="24"/>
      <w:lang w:val="en-US"/>
    </w:rPr>
  </w:style>
  <w:style w:type="paragraph" w:customStyle="1" w:styleId="Default">
    <w:name w:val="Default"/>
    <w:uiPriority w:val="99"/>
    <w:rsid w:val="00EA0FD7"/>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Tekst">
    <w:name w:val="Tekst"/>
    <w:uiPriority w:val="99"/>
    <w:rsid w:val="00EA0FD7"/>
    <w:pPr>
      <w:spacing w:after="0" w:line="240" w:lineRule="auto"/>
      <w:jc w:val="both"/>
    </w:pPr>
    <w:rPr>
      <w:rFonts w:ascii="Times New Roman" w:eastAsia="Times New Roman" w:hAnsi="Times New Roman" w:cs="Times New Roman"/>
      <w:noProof/>
      <w:color w:val="000000"/>
      <w:sz w:val="24"/>
    </w:rPr>
  </w:style>
  <w:style w:type="paragraph" w:customStyle="1" w:styleId="paragraph">
    <w:name w:val="paragraph"/>
    <w:basedOn w:val="Normal"/>
    <w:uiPriority w:val="99"/>
    <w:rsid w:val="00EA0FD7"/>
    <w:pPr>
      <w:spacing w:before="100" w:beforeAutospacing="1" w:after="100" w:afterAutospacing="1" w:line="240" w:lineRule="auto"/>
    </w:pPr>
    <w:rPr>
      <w:rFonts w:ascii="Times New Roman" w:eastAsia="Calibri" w:hAnsi="Times New Roman" w:cs="Times New Roman"/>
      <w:sz w:val="24"/>
      <w:szCs w:val="24"/>
      <w:lang w:val="en-GB" w:eastAsia="en-GB"/>
    </w:rPr>
  </w:style>
  <w:style w:type="paragraph" w:customStyle="1" w:styleId="StyleHeading1Arial14pt">
    <w:name w:val="Style Heading 1 + Arial 14 pt"/>
    <w:basedOn w:val="Naslov1"/>
    <w:uiPriority w:val="99"/>
    <w:rsid w:val="00EA0FD7"/>
    <w:pPr>
      <w:spacing w:before="360" w:after="120"/>
    </w:pPr>
    <w:rPr>
      <w:rFonts w:ascii="Arial" w:hAnsi="Arial"/>
      <w:bCs/>
      <w:kern w:val="28"/>
      <w:lang w:val="en-GB" w:eastAsia="en-US"/>
    </w:rPr>
  </w:style>
  <w:style w:type="character" w:customStyle="1" w:styleId="Style1Char">
    <w:name w:val="Style1 Char"/>
    <w:link w:val="Style1"/>
    <w:locked/>
    <w:rsid w:val="00EA0FD7"/>
    <w:rPr>
      <w:rFonts w:ascii="Times New Roman" w:eastAsia="Times New Roman" w:hAnsi="Times New Roman" w:cs="Times New Roman"/>
      <w:sz w:val="24"/>
      <w:szCs w:val="24"/>
      <w:lang w:val="hr-BA"/>
    </w:rPr>
  </w:style>
  <w:style w:type="paragraph" w:customStyle="1" w:styleId="Style1">
    <w:name w:val="Style1"/>
    <w:basedOn w:val="Normal"/>
    <w:link w:val="Style1Char"/>
    <w:rsid w:val="00EA0FD7"/>
    <w:pPr>
      <w:spacing w:line="256" w:lineRule="auto"/>
      <w:jc w:val="both"/>
    </w:pPr>
    <w:rPr>
      <w:rFonts w:ascii="Times New Roman" w:eastAsia="Times New Roman" w:hAnsi="Times New Roman" w:cs="Times New Roman"/>
      <w:sz w:val="24"/>
      <w:szCs w:val="24"/>
      <w:lang w:val="hr-BA"/>
    </w:rPr>
  </w:style>
  <w:style w:type="character" w:styleId="Referencafusnote">
    <w:name w:val="footnote reference"/>
    <w:aliases w:val="ftref,Footnote Reference Superscript,BVI fnr"/>
    <w:uiPriority w:val="99"/>
    <w:semiHidden/>
    <w:unhideWhenUsed/>
    <w:rsid w:val="00EA0FD7"/>
    <w:rPr>
      <w:vertAlign w:val="superscript"/>
    </w:rPr>
  </w:style>
  <w:style w:type="character" w:customStyle="1" w:styleId="fontstyle01">
    <w:name w:val="fontstyle01"/>
    <w:rsid w:val="00EA0FD7"/>
    <w:rPr>
      <w:rFonts w:ascii="CenturySchoolbook" w:hAnsi="CenturySchoolbook" w:hint="default"/>
      <w:b w:val="0"/>
      <w:bCs w:val="0"/>
      <w:i w:val="0"/>
      <w:iCs w:val="0"/>
      <w:color w:val="000000"/>
      <w:sz w:val="22"/>
      <w:szCs w:val="22"/>
    </w:rPr>
  </w:style>
  <w:style w:type="character" w:customStyle="1" w:styleId="st">
    <w:name w:val="st"/>
    <w:rsid w:val="00EA0FD7"/>
  </w:style>
  <w:style w:type="character" w:customStyle="1" w:styleId="normaltextrun">
    <w:name w:val="normaltextrun"/>
    <w:rsid w:val="00EA0FD7"/>
    <w:rPr>
      <w:rFonts w:ascii="Times New Roman" w:hAnsi="Times New Roman" w:cs="Times New Roman" w:hint="default"/>
    </w:rPr>
  </w:style>
  <w:style w:type="character" w:customStyle="1" w:styleId="eop">
    <w:name w:val="eop"/>
    <w:rsid w:val="00EA0FD7"/>
    <w:rPr>
      <w:rFonts w:ascii="Times New Roman" w:hAnsi="Times New Roman" w:cs="Times New Roman" w:hint="default"/>
    </w:rPr>
  </w:style>
  <w:style w:type="character" w:customStyle="1" w:styleId="CharChar17">
    <w:name w:val="Char Char17"/>
    <w:rsid w:val="00EA0FD7"/>
    <w:rPr>
      <w:rFonts w:ascii="Times New Roman" w:eastAsia="Times New Roman" w:hAnsi="Times New Roman" w:cs="Times New Roman" w:hint="default"/>
      <w:b/>
      <w:bCs w:val="0"/>
      <w:kern w:val="24"/>
      <w:sz w:val="28"/>
      <w:szCs w:val="20"/>
      <w:lang w:val="hr-HR" w:eastAsia="hr-HR"/>
    </w:rPr>
  </w:style>
  <w:style w:type="character" w:customStyle="1" w:styleId="TextCharChar1">
    <w:name w:val="Text Char Char1"/>
    <w:rsid w:val="00EA0FD7"/>
    <w:rPr>
      <w:rFonts w:ascii="Times New Roman" w:eastAsia="Times New Roman" w:hAnsi="Times New Roman" w:cs="Times New Roman" w:hint="default"/>
      <w:b/>
      <w:bCs w:val="0"/>
      <w:sz w:val="28"/>
      <w:szCs w:val="20"/>
      <w:lang w:val="hr-HR" w:eastAsia="hr-HR"/>
    </w:rPr>
  </w:style>
  <w:style w:type="character" w:customStyle="1" w:styleId="textCharChar">
    <w:name w:val="(text) Char Char"/>
    <w:rsid w:val="00EA0FD7"/>
    <w:rPr>
      <w:rFonts w:ascii="Times New Roman" w:eastAsia="Times New Roman" w:hAnsi="Times New Roman" w:cs="Times New Roman" w:hint="default"/>
      <w:b/>
      <w:bCs w:val="0"/>
      <w:sz w:val="24"/>
      <w:szCs w:val="24"/>
      <w:lang w:val="sr-Cyrl-CS" w:eastAsia="hr-HR"/>
    </w:rPr>
  </w:style>
  <w:style w:type="character" w:customStyle="1" w:styleId="CharChar16">
    <w:name w:val="Char Char16"/>
    <w:rsid w:val="00EA0FD7"/>
    <w:rPr>
      <w:rFonts w:ascii="Times New Roman" w:eastAsia="Times New Roman" w:hAnsi="Times New Roman" w:cs="Arial" w:hint="default"/>
      <w:b/>
      <w:bCs w:val="0"/>
      <w:iCs/>
      <w:sz w:val="24"/>
      <w:szCs w:val="24"/>
      <w:lang w:val="sr-Cyrl-CS"/>
    </w:rPr>
  </w:style>
  <w:style w:type="table" w:styleId="Koordinatnamreatabele">
    <w:name w:val="Table Grid"/>
    <w:basedOn w:val="Normalnatabela"/>
    <w:rsid w:val="00EA0FD7"/>
    <w:pPr>
      <w:spacing w:after="0" w:line="240" w:lineRule="auto"/>
    </w:pPr>
    <w:rPr>
      <w:rFonts w:ascii="Times New Roman" w:eastAsia="Times New Roman" w:hAnsi="Times New Roman" w:cs="Times New Roman"/>
      <w:sz w:val="20"/>
      <w:szCs w:val="20"/>
      <w:lang w:eastAsia="sr-Latn-B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alista2naglaavanje1">
    <w:name w:val="Medium List 2 Accent 1"/>
    <w:basedOn w:val="Normalnatabela"/>
    <w:uiPriority w:val="66"/>
    <w:semiHidden/>
    <w:unhideWhenUsed/>
    <w:rsid w:val="00EA0FD7"/>
    <w:pPr>
      <w:spacing w:after="0" w:line="240" w:lineRule="auto"/>
    </w:pPr>
    <w:rPr>
      <w:rFonts w:ascii="Cambria" w:eastAsia="Times New Roman" w:hAnsi="Cambria" w:cs="Calibri"/>
      <w:color w:val="000000"/>
      <w:sz w:val="20"/>
      <w:szCs w:val="20"/>
      <w:lang w:eastAsia="sr-Latn-BA"/>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dTable4-Accent111">
    <w:name w:val="Grid Table 4 - Accent 111"/>
    <w:basedOn w:val="Normalnatabela"/>
    <w:uiPriority w:val="49"/>
    <w:rsid w:val="00EA0FD7"/>
    <w:pPr>
      <w:spacing w:after="0" w:line="240" w:lineRule="auto"/>
    </w:pPr>
    <w:rPr>
      <w:rFonts w:ascii="Times New Roman" w:eastAsia="Calibri" w:hAnsi="Times New Roman" w:cs="Times New Roman"/>
      <w:i/>
      <w:sz w:val="24"/>
      <w:szCs w:val="24"/>
      <w:lang w:eastAsia="bs-Latn-BA"/>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Naglaavanje">
    <w:name w:val="Emphasis"/>
    <w:basedOn w:val="Podrazumevanifontpasusa"/>
    <w:uiPriority w:val="20"/>
    <w:qFormat/>
    <w:rsid w:val="00EA0FD7"/>
    <w:rPr>
      <w:i/>
      <w:iCs/>
    </w:rPr>
  </w:style>
  <w:style w:type="character" w:styleId="Ispraenahiperveza">
    <w:name w:val="FollowedHyperlink"/>
    <w:basedOn w:val="Podrazumevanifontpasusa"/>
    <w:uiPriority w:val="99"/>
    <w:semiHidden/>
    <w:unhideWhenUsed/>
    <w:rsid w:val="00EA0FD7"/>
    <w:rPr>
      <w:color w:val="954F72" w:themeColor="followedHyperlink"/>
      <w:u w:val="single"/>
    </w:rPr>
  </w:style>
  <w:style w:type="paragraph" w:styleId="Tekstfusnote">
    <w:name w:val="footnote text"/>
    <w:basedOn w:val="Normal"/>
    <w:link w:val="TekstfusnoteChar"/>
    <w:semiHidden/>
    <w:unhideWhenUsed/>
    <w:rsid w:val="00EA0FD7"/>
    <w:pPr>
      <w:spacing w:after="0" w:line="240" w:lineRule="auto"/>
    </w:pPr>
  </w:style>
  <w:style w:type="character" w:customStyle="1" w:styleId="TekstfusnoteChar2">
    <w:name w:val="Tekst fusnote Char2"/>
    <w:basedOn w:val="Podrazumevanifontpasusa"/>
    <w:uiPriority w:val="99"/>
    <w:semiHidden/>
    <w:rsid w:val="00EA0FD7"/>
    <w:rPr>
      <w:sz w:val="20"/>
      <w:szCs w:val="20"/>
    </w:rPr>
  </w:style>
  <w:style w:type="character" w:styleId="Nerazreenopominjanje">
    <w:name w:val="Unresolved Mention"/>
    <w:basedOn w:val="Podrazumevanifontpasusa"/>
    <w:uiPriority w:val="99"/>
    <w:semiHidden/>
    <w:unhideWhenUsed/>
    <w:rsid w:val="00AE5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24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www.komorabih.ba/" TargetMode="External"/><Relationship Id="rId50" Type="http://schemas.openxmlformats.org/officeDocument/2006/relationships/image" Target="media/image42.png"/><Relationship Id="rId55" Type="http://schemas.openxmlformats.org/officeDocument/2006/relationships/image" Target="media/image47.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emf"/><Relationship Id="rId58" Type="http://schemas.openxmlformats.org/officeDocument/2006/relationships/image" Target="media/image50.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emf"/><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8.emf"/><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oma.uino.gov.ba" TargetMode="External"/><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emf"/></Relationships>
</file>

<file path=word/_rels/footnotes.xml.rels><?xml version="1.0" encoding="UTF-8" standalone="yes"?>
<Relationships xmlns="http://schemas.openxmlformats.org/package/2006/relationships"><Relationship Id="rId8" Type="http://schemas.openxmlformats.org/officeDocument/2006/relationships/hyperlink" Target="https://www.srbija.gov.rs/vest/497512/srbija-od-2014-godine-ulozila-u-rs-59-miliona-evra.php" TargetMode="External"/><Relationship Id="rId13" Type="http://schemas.openxmlformats.org/officeDocument/2006/relationships/hyperlink" Target="http://www.oma.uin&#1086;.gov.b&#1072;" TargetMode="External"/><Relationship Id="rId3" Type="http://schemas.openxmlformats.org/officeDocument/2006/relationships/hyperlink" Target="https://www.narodnaskupstinars.net/?q=la/vijesti/okon%C4%8Dana-26-posebna-sjednica-usvojen-bud%C5%BEet-i-set-zakona-o-pove%C4%87anju-plata" TargetMode="External"/><Relationship Id="rId7" Type="http://schemas.openxmlformats.org/officeDocument/2006/relationships/hyperlink" Target="http://www.autoputevirs.com/aprs/Doc.aspx?cat=5&amp;subcat=24&amp;id=24&amp;lang=cir&amp;txt=295" TargetMode="External"/><Relationship Id="rId12" Type="http://schemas.openxmlformats.org/officeDocument/2006/relationships/hyperlink" Target="https://www.energy-community.org/implementation/Bosnia_Herzegovina.html" TargetMode="External"/><Relationship Id="rId2" Type="http://schemas.openxmlformats.org/officeDocument/2006/relationships/hyperlink" Target="https://www.narodnaskupstinars.net/?q=la/vijesti/narodna-skup%C5%A1tina-usvojila-set-zakona-o-pove%C4%87anju-plata-u-srpskoj" TargetMode="External"/><Relationship Id="rId1" Type="http://schemas.openxmlformats.org/officeDocument/2006/relationships/hyperlink" Target="https://www.imf.org/en/News/Articles/2022/03/05/pr2261-imf-staff-statement-on-the-economic-impact-of-war-in-ukraine" TargetMode="External"/><Relationship Id="rId6" Type="http://schemas.openxmlformats.org/officeDocument/2006/relationships/hyperlink" Target="http://www.vladars.net/sr-SP-Cyrl/Vlada/Ministarstva/mper/media/vijesti/Pages/Potpisan-sporazum-o-izgradnji-TE-Gacko2" TargetMode="External"/><Relationship Id="rId11" Type="http://schemas.openxmlformats.org/officeDocument/2006/relationships/hyperlink" Target="https://europa.ba/wp-content/uploads/2020/11/Green-Agenda-Factsheet-2020.pdf" TargetMode="External"/><Relationship Id="rId5" Type="http://schemas.openxmlformats.org/officeDocument/2006/relationships/hyperlink" Target="https://balkangreenenergynews.com/rs/firme-iz-kine-poljske-potpisale-ugovor-o-izgradnji-termoelektrane-ugljevik-3/" TargetMode="External"/><Relationship Id="rId10" Type="http://schemas.openxmlformats.org/officeDocument/2006/relationships/hyperlink" Target="https://www.vladars.net/eng/vlada/ministries/MIEM/news/Pages/Italian-company-interested-in-construction-of-solar-power-plants-in-the-Republic-of-Srpska.aspx" TargetMode="External"/><Relationship Id="rId4" Type="http://schemas.openxmlformats.org/officeDocument/2006/relationships/hyperlink" Target="http://www.upfbih.ba/vlada-fbih-utvrdila-iznos-najnize-place-u-fbih" TargetMode="External"/><Relationship Id="rId9" Type="http://schemas.openxmlformats.org/officeDocument/2006/relationships/hyperlink" Target="https://www.vladars.net/sr-SP-Cyrl/Vlada/media/aktuelnosti/Pages/11.zajednickasjednica.aspx" TargetMode="External"/><Relationship Id="rId14" Type="http://schemas.openxmlformats.org/officeDocument/2006/relationships/hyperlink" Target="https://www.komorabih.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656</TotalTime>
  <Pages>109</Pages>
  <Words>34085</Words>
  <Characters>194287</Characters>
  <Application>Microsoft Office Word</Application>
  <DocSecurity>0</DocSecurity>
  <Lines>1619</Lines>
  <Paragraphs>455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Čučić</dc:creator>
  <cp:keywords/>
  <dc:description/>
  <cp:lastModifiedBy>Nada Čučić</cp:lastModifiedBy>
  <cp:revision>22</cp:revision>
  <dcterms:created xsi:type="dcterms:W3CDTF">2022-06-27T09:57:00Z</dcterms:created>
  <dcterms:modified xsi:type="dcterms:W3CDTF">2022-06-29T09:53:00Z</dcterms:modified>
</cp:coreProperties>
</file>